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180"/>
        <w:jc w:val="left"/>
        <w:rPr/>
      </w:pPr>
      <w:hyperlink w:anchor="toc">
        <w:bookmarkStart w:id="0" w:name="bcab-20211231.htm"/>
        <w:bookmarkStart w:id="1" w:name="ksbcab20211231"/>
        <w:bookmarkEnd w:id="0"/>
        <w:bookmarkEnd w:id="1"/>
        <w:r>
          <w:rPr>
            <w:rStyle w:val="InternetLink"/>
            <w:rFonts w:ascii="Times New Roman" w:hAnsi="Times New Roman"/>
            <w:b/>
            <w:sz w:val="18"/>
            <w:u w:val="single"/>
          </w:rPr>
          <w:t>Table of Contents</w:t>
        </w:r>
      </w:hyperlink>
    </w:p>
    <w:p>
      <w:pPr>
        <w:pStyle w:val="TextBody"/>
        <w:pBdr>
          <w:bottom w:val="double" w:sz="6" w:space="1" w:color="000000"/>
        </w:pBdr>
        <w:spacing w:lineRule="auto" w:line="273" w:before="0" w:after="0"/>
        <w:jc w:val="left"/>
        <w:rPr>
          <w:rFonts w:ascii="Times New Roman" w:hAnsi="Times New Roman"/>
          <w:b w:val="false"/>
          <w:sz w:val="2"/>
        </w:rPr>
      </w:pPr>
      <w:r>
        <w:rPr>
          <w:rFonts w:ascii="Times New Roman" w:hAnsi="Times New Roman"/>
          <w:b w:val="false"/>
          <w:sz w:val="2"/>
        </w:rPr>
        <w:t>re</w:t>
      </w:r>
    </w:p>
    <w:p>
      <w:pPr>
        <w:pStyle w:val="TextBody"/>
        <w:spacing w:lineRule="auto" w:line="273" w:before="40" w:after="0"/>
        <w:jc w:val="center"/>
        <w:rPr>
          <w:rFonts w:ascii="Times New Roman" w:hAnsi="Times New Roman"/>
          <w:b/>
          <w:sz w:val="32"/>
        </w:rPr>
      </w:pPr>
      <w:r>
        <w:rPr>
          <w:rFonts w:ascii="Times New Roman" w:hAnsi="Times New Roman"/>
          <w:b/>
          <w:sz w:val="32"/>
        </w:rPr>
        <w:t>UNITED STATES</w:t>
      </w:r>
    </w:p>
    <w:p>
      <w:pPr>
        <w:pStyle w:val="TextBody"/>
        <w:spacing w:lineRule="auto" w:line="273" w:before="0" w:after="0"/>
        <w:jc w:val="center"/>
        <w:rPr>
          <w:rFonts w:ascii="Times New Roman" w:hAnsi="Times New Roman"/>
          <w:b/>
          <w:sz w:val="32"/>
        </w:rPr>
      </w:pPr>
      <w:r>
        <w:rPr>
          <w:rFonts w:ascii="Times New Roman" w:hAnsi="Times New Roman"/>
          <w:b/>
          <w:sz w:val="32"/>
        </w:rPr>
        <w:t>SECURITIES AND EXCHANGE COMMISSION</w:t>
      </w:r>
    </w:p>
    <w:p>
      <w:pPr>
        <w:pStyle w:val="TextBody"/>
        <w:spacing w:lineRule="auto" w:line="273" w:before="0" w:after="0"/>
        <w:jc w:val="center"/>
        <w:rPr>
          <w:rFonts w:ascii="Times New Roman" w:hAnsi="Times New Roman"/>
          <w:b/>
          <w:sz w:val="18"/>
        </w:rPr>
      </w:pPr>
      <w:r>
        <w:rPr>
          <w:rFonts w:ascii="Times New Roman" w:hAnsi="Times New Roman"/>
          <w:b/>
          <w:sz w:val="18"/>
        </w:rPr>
        <w:t>Washington, D.C. 20549</w:t>
      </w:r>
    </w:p>
    <w:p>
      <w:pPr>
        <w:pStyle w:val="TextBody"/>
        <w:spacing w:lineRule="auto" w:line="273" w:before="0" w:after="0"/>
        <w:jc w:val="left"/>
        <w:rPr/>
      </w:pPr>
      <w:r>
        <w:rPr/>
        <w:t> </w:t>
      </w:r>
    </w:p>
    <w:p>
      <w:pPr>
        <w:pStyle w:val="TextBody"/>
        <w:pBdr>
          <w:bottom w:val="single" w:sz="7" w:space="1" w:color="000000"/>
        </w:pBdr>
        <w:spacing w:lineRule="auto" w:line="273" w:before="0" w:after="0"/>
        <w:jc w:val="center"/>
        <w:rPr/>
      </w:pPr>
      <w:r>
        <w:rPr/>
        <w:t> </w:t>
      </w:r>
    </w:p>
    <w:p>
      <w:pPr>
        <w:pStyle w:val="TextBody"/>
        <w:spacing w:lineRule="auto" w:line="273" w:before="40" w:after="0"/>
        <w:jc w:val="center"/>
        <w:rPr>
          <w:rFonts w:ascii="Times New Roman" w:hAnsi="Times New Roman"/>
          <w:b/>
          <w:sz w:val="32"/>
        </w:rPr>
      </w:pPr>
      <w:r>
        <w:rPr>
          <w:rFonts w:ascii="Times New Roman" w:hAnsi="Times New Roman"/>
          <w:b/>
          <w:sz w:val="32"/>
        </w:rPr>
        <w:t>Form 10-K</w:t>
      </w:r>
    </w:p>
    <w:p>
      <w:pPr>
        <w:pStyle w:val="TextBody"/>
        <w:pBdr>
          <w:bottom w:val="single" w:sz="7" w:space="1" w:color="000000"/>
        </w:pBdr>
        <w:spacing w:lineRule="auto" w:line="273" w:before="0" w:after="0"/>
        <w:jc w:val="center"/>
        <w:rPr/>
      </w:pPr>
      <w:r>
        <w:rPr/>
        <w:t> </w:t>
      </w:r>
    </w:p>
    <w:p>
      <w:pPr>
        <w:pStyle w:val="TextBody"/>
        <w:spacing w:lineRule="auto" w:line="273" w:before="54" w:after="0"/>
        <w:jc w:val="left"/>
        <w:rPr>
          <w:rFonts w:ascii="Times New Roman" w:hAnsi="Times New Roman"/>
          <w:b/>
          <w:sz w:val="18"/>
        </w:rPr>
      </w:pPr>
      <w:r>
        <w:rPr>
          <w:rFonts w:ascii="Times New Roman" w:hAnsi="Times New Roman"/>
          <w:b/>
          <w:sz w:val="18"/>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lineRule="auto" w:line="252" w:before="0" w:after="0"/>
              <w:ind w:left="0" w:right="0" w:hanging="0"/>
              <w:jc w:val="left"/>
              <w:rPr/>
            </w:pPr>
            <w:r>
              <w:rPr/>
              <w:t>☒</w:t>
            </w:r>
          </w:p>
        </w:tc>
        <w:tc>
          <w:tcPr>
            <w:tcW w:w="9874" w:type="dxa"/>
            <w:tcBorders/>
            <w:shd w:fill="auto" w:val="clear"/>
            <w:vAlign w:val="center"/>
          </w:tcPr>
          <w:p>
            <w:pPr>
              <w:pStyle w:val="TableContents"/>
              <w:spacing w:lineRule="auto" w:line="252" w:before="0" w:after="0"/>
              <w:ind w:left="0" w:right="0" w:hanging="0"/>
              <w:jc w:val="left"/>
              <w:rPr>
                <w:rFonts w:ascii="Times New Roman" w:hAnsi="Times New Roman"/>
                <w:b/>
                <w:sz w:val="21"/>
              </w:rPr>
            </w:pPr>
            <w:r>
              <w:rPr>
                <w:rFonts w:ascii="Times New Roman" w:hAnsi="Times New Roman"/>
                <w:b/>
                <w:sz w:val="21"/>
              </w:rPr>
              <w:t>ANNUAL REPORT PURSUANT TO SECTION 13 OR 15(d) OF THE SECURITIES EXCHANGE ACT OF 1934</w:t>
            </w:r>
          </w:p>
        </w:tc>
      </w:tr>
    </w:tbl>
    <w:p>
      <w:pPr>
        <w:pStyle w:val="TextBody"/>
        <w:spacing w:lineRule="auto" w:line="273" w:before="40" w:after="0"/>
        <w:jc w:val="center"/>
        <w:rPr>
          <w:rFonts w:ascii="Times New Roman" w:hAnsi="Times New Roman"/>
          <w:b/>
          <w:sz w:val="18"/>
        </w:rPr>
      </w:pPr>
      <w:r>
        <w:rPr>
          <w:rFonts w:ascii="Times New Roman" w:hAnsi="Times New Roman"/>
          <w:b/>
          <w:sz w:val="18"/>
        </w:rPr>
        <w:t>For the fiscal year ended December 31, 2021</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lineRule="auto" w:line="252" w:before="0" w:after="0"/>
              <w:ind w:left="0" w:right="0" w:hanging="0"/>
              <w:jc w:val="left"/>
              <w:rPr/>
            </w:pPr>
            <w:r>
              <w:rPr/>
              <w:t>☐</w:t>
            </w:r>
          </w:p>
        </w:tc>
        <w:tc>
          <w:tcPr>
            <w:tcW w:w="9874"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lineRule="auto" w:line="273" w:before="40" w:after="0"/>
        <w:jc w:val="center"/>
        <w:rPr>
          <w:rFonts w:ascii="Times New Roman" w:hAnsi="Times New Roman"/>
          <w:b/>
          <w:sz w:val="18"/>
        </w:rPr>
      </w:pPr>
      <w:r>
        <w:rPr>
          <w:rFonts w:ascii="Times New Roman" w:hAnsi="Times New Roman"/>
          <w:b/>
          <w:sz w:val="18"/>
        </w:rPr>
        <w:t>For the transition period from to .</w:t>
      </w:r>
    </w:p>
    <w:p>
      <w:pPr>
        <w:pStyle w:val="TextBody"/>
        <w:spacing w:lineRule="auto" w:line="273" w:before="40" w:after="0"/>
        <w:jc w:val="center"/>
        <w:rPr>
          <w:rFonts w:ascii="Times New Roman" w:hAnsi="Times New Roman"/>
          <w:b/>
          <w:sz w:val="18"/>
        </w:rPr>
      </w:pPr>
      <w:r>
        <w:rPr>
          <w:rFonts w:ascii="Times New Roman" w:hAnsi="Times New Roman"/>
          <w:b/>
          <w:sz w:val="18"/>
        </w:rPr>
        <w:t>Commission file number 001-39787</w:t>
      </w:r>
    </w:p>
    <w:p>
      <w:pPr>
        <w:pStyle w:val="TextBody"/>
        <w:pBdr>
          <w:bottom w:val="single" w:sz="7" w:space="1" w:color="000000"/>
        </w:pBdr>
        <w:spacing w:lineRule="auto" w:line="273" w:before="0" w:after="0"/>
        <w:jc w:val="center"/>
        <w:rPr/>
      </w:pPr>
      <w:r>
        <w:rPr/>
        <w:t> </w:t>
      </w:r>
    </w:p>
    <w:p>
      <w:pPr>
        <w:pStyle w:val="TextBody"/>
        <w:spacing w:lineRule="auto" w:line="273" w:before="40" w:after="0"/>
        <w:jc w:val="center"/>
        <w:rPr>
          <w:rFonts w:ascii="Times New Roman" w:hAnsi="Times New Roman"/>
          <w:b/>
          <w:sz w:val="44"/>
        </w:rPr>
      </w:pPr>
      <w:r>
        <w:rPr>
          <w:rFonts w:ascii="Times New Roman" w:hAnsi="Times New Roman"/>
          <w:b/>
          <w:sz w:val="44"/>
        </w:rPr>
        <w:t>BIOATLA, INC.</w:t>
      </w:r>
    </w:p>
    <w:p>
      <w:pPr>
        <w:pStyle w:val="TextBody"/>
        <w:spacing w:lineRule="auto" w:line="273" w:before="0" w:after="0"/>
        <w:jc w:val="center"/>
        <w:rPr>
          <w:rFonts w:ascii="Times New Roman" w:hAnsi="Times New Roman"/>
          <w:b/>
          <w:sz w:val="18"/>
        </w:rPr>
      </w:pPr>
      <w:r>
        <w:rPr>
          <w:rFonts w:ascii="Times New Roman" w:hAnsi="Times New Roman"/>
          <w:b/>
          <w:sz w:val="18"/>
        </w:rPr>
        <w:t>(Exact name of registrant as specified in its charter)</w:t>
      </w:r>
    </w:p>
    <w:p>
      <w:pPr>
        <w:pStyle w:val="TextBody"/>
        <w:spacing w:lineRule="auto" w:line="273" w:before="0" w:after="0"/>
        <w:jc w:val="left"/>
        <w:rPr/>
      </w:pPr>
      <w:r>
        <w:rPr/>
        <w:t> </w:t>
      </w:r>
    </w:p>
    <w:p>
      <w:pPr>
        <w:pStyle w:val="TextBody"/>
        <w:pBdr>
          <w:bottom w:val="single" w:sz="7" w:space="1" w:color="000000"/>
        </w:pBdr>
        <w:spacing w:lineRule="auto" w:line="273" w:before="0" w:after="0"/>
        <w:jc w:val="center"/>
        <w:rPr/>
      </w:pPr>
      <w:r>
        <w:rPr/>
        <w:t> </w:t>
      </w:r>
    </w:p>
    <w:p>
      <w:pPr>
        <w:pStyle w:val="TextBody"/>
        <w:spacing w:lineRule="auto" w:line="273" w:before="54" w:after="0"/>
        <w:jc w:val="left"/>
        <w:rPr/>
      </w:pPr>
      <w:r>
        <w:rPr/>
        <w:t> </w:t>
      </w:r>
    </w:p>
    <w:tbl>
      <w:tblPr>
        <w:tblW w:w="4888" w:type="dxa"/>
        <w:jc w:val="left"/>
        <w:tblInd w:w="0" w:type="dxa"/>
        <w:tblCellMar>
          <w:top w:w="28" w:type="dxa"/>
          <w:left w:w="28" w:type="dxa"/>
          <w:bottom w:w="28" w:type="dxa"/>
          <w:right w:w="28" w:type="dxa"/>
        </w:tblCellMar>
      </w:tblPr>
      <w:tblGrid>
        <w:gridCol w:w="3496"/>
        <w:gridCol w:w="146"/>
        <w:gridCol w:w="1246"/>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246" w:type="dxa"/>
            <w:tcBorders/>
            <w:shd w:fill="auto" w:val="clear"/>
            <w:vAlign w:val="center"/>
          </w:tcPr>
          <w:p>
            <w:pPr>
              <w:pStyle w:val="TableContents"/>
              <w:spacing w:lineRule="atLeast" w:line="141" w:before="0" w:after="0"/>
              <w:ind w:left="0" w:right="0" w:hanging="0"/>
              <w:jc w:val="left"/>
              <w:rPr/>
            </w:pPr>
            <w:r>
              <w:rPr/>
              <w:t> </w:t>
            </w:r>
          </w:p>
        </w:tc>
      </w:tr>
      <w:tr>
        <w:trPr/>
        <w:tc>
          <w:tcPr>
            <w:tcW w:w="349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Delaware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85-1922320</w:t>
            </w:r>
          </w:p>
        </w:tc>
      </w:tr>
      <w:tr>
        <w:trPr/>
        <w:tc>
          <w:tcPr>
            <w:tcW w:w="349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(State or other jurisdiction of</w:t>
              <w:br/>
              <w:t>incorporation or organization)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3496" w:type="dxa"/>
            <w:tcBorders/>
            <w:shd w:fill="auto" w:val="clear"/>
            <w:vAlign w:val="center"/>
          </w:tcPr>
          <w:p>
            <w:pPr>
              <w:pStyle w:val="TableContents"/>
              <w:spacing w:lineRule="atLeast" w:line="141" w:before="0" w:after="0"/>
              <w:ind w:left="0" w:right="0" w:hanging="0"/>
              <w:jc w:val="left"/>
              <w:rPr/>
            </w:pPr>
            <w:r>
              <w:rPr/>
              <w:t> </w:t>
            </w:r>
          </w:p>
        </w:tc>
        <w:tc>
          <w:tcPr>
            <w:tcW w:w="1392" w:type="dxa"/>
            <w:gridSpan w:val="2"/>
            <w:tcBorders/>
            <w:shd w:fill="auto" w:val="clear"/>
            <w:vAlign w:val="center"/>
          </w:tcPr>
          <w:p>
            <w:pPr>
              <w:pStyle w:val="TableContents"/>
              <w:spacing w:lineRule="atLeast" w:line="141" w:before="0" w:after="0"/>
              <w:ind w:left="0" w:right="0" w:hanging="0"/>
              <w:jc w:val="left"/>
              <w:rPr/>
            </w:pPr>
            <w:r>
              <w:rPr/>
              <w:t> </w:t>
            </w:r>
          </w:p>
        </w:tc>
      </w:tr>
      <w:tr>
        <w:trPr/>
        <w:tc>
          <w:tcPr>
            <w:tcW w:w="349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11085 Torreyana Road, San Diego, California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92121</w:t>
            </w:r>
          </w:p>
        </w:tc>
      </w:tr>
      <w:tr>
        <w:trPr/>
        <w:tc>
          <w:tcPr>
            <w:tcW w:w="349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tcBorders/>
            <w:shd w:fill="auto" w:val="cle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273" w:before="54"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lineRule="auto" w:line="273" w:before="0" w:after="0"/>
        <w:jc w:val="center"/>
        <w:rPr>
          <w:rFonts w:ascii="Times New Roman" w:hAnsi="Times New Roman"/>
          <w:b/>
          <w:sz w:val="16"/>
        </w:rPr>
      </w:pPr>
      <w:r>
        <w:rPr>
          <w:rFonts w:ascii="Times New Roman" w:hAnsi="Times New Roman"/>
          <w:b/>
          <w:sz w:val="16"/>
        </w:rPr>
        <w:t>(858) 558-0708</w:t>
      </w:r>
    </w:p>
    <w:p>
      <w:pPr>
        <w:pStyle w:val="TextBody"/>
        <w:spacing w:lineRule="auto" w:line="273" w:before="54" w:after="0"/>
        <w:jc w:val="center"/>
        <w:rPr>
          <w:rFonts w:ascii="Times New Roman" w:hAnsi="Times New Roman"/>
          <w:b/>
          <w:sz w:val="16"/>
        </w:rPr>
      </w:pPr>
      <w:r>
        <w:rPr>
          <w:rFonts w:ascii="Times New Roman" w:hAnsi="Times New Roman"/>
          <w:b/>
          <w:sz w:val="16"/>
        </w:rPr>
        <w:t>Securities registered pursuant to Section 12(b) of the Act:</w:t>
      </w:r>
    </w:p>
    <w:p>
      <w:pPr>
        <w:pStyle w:val="TextBody"/>
        <w:spacing w:lineRule="auto" w:line="273" w:before="0" w:after="0"/>
        <w:jc w:val="left"/>
        <w:rPr/>
      </w:pPr>
      <w:r>
        <w:rPr/>
        <w:t> </w:t>
      </w:r>
    </w:p>
    <w:tbl>
      <w:tblPr>
        <w:tblW w:w="6490" w:type="dxa"/>
        <w:jc w:val="left"/>
        <w:tblInd w:w="0" w:type="dxa"/>
        <w:tblCellMar>
          <w:top w:w="28" w:type="dxa"/>
          <w:left w:w="28" w:type="dxa"/>
          <w:bottom w:w="28" w:type="dxa"/>
          <w:right w:w="28" w:type="dxa"/>
        </w:tblCellMar>
      </w:tblPr>
      <w:tblGrid>
        <w:gridCol w:w="3361"/>
        <w:gridCol w:w="146"/>
        <w:gridCol w:w="706"/>
        <w:gridCol w:w="146"/>
        <w:gridCol w:w="2131"/>
      </w:tblGrid>
      <w:tr>
        <w:trPr/>
        <w:tc>
          <w:tcPr>
            <w:tcW w:w="3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70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2131" w:type="dxa"/>
            <w:tcBorders/>
            <w:shd w:fill="auto" w:val="clear"/>
            <w:vAlign w:val="center"/>
          </w:tcPr>
          <w:p>
            <w:pPr>
              <w:pStyle w:val="TableContents"/>
              <w:spacing w:lineRule="atLeast" w:line="141" w:before="0" w:after="0"/>
              <w:ind w:left="0" w:right="0" w:hanging="0"/>
              <w:jc w:val="left"/>
              <w:rPr/>
            </w:pPr>
            <w:r>
              <w:rPr/>
              <w:t> </w:t>
            </w:r>
          </w:p>
        </w:tc>
      </w:tr>
      <w:tr>
        <w:trPr/>
        <w:tc>
          <w:tcPr>
            <w:tcW w:w="3361"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Title of each class</w:t>
            </w:r>
          </w:p>
        </w:tc>
        <w:tc>
          <w:tcPr>
            <w:tcW w:w="146"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6"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Trading</w:t>
              <w:br/>
              <w:t>Symbol(s)</w:t>
            </w:r>
          </w:p>
        </w:tc>
        <w:tc>
          <w:tcPr>
            <w:tcW w:w="146"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31"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Name of each exchange</w:t>
              <w:br/>
              <w:t>on which registered</w:t>
            </w:r>
          </w:p>
        </w:tc>
      </w:tr>
      <w:tr>
        <w:trPr/>
        <w:tc>
          <w:tcPr>
            <w:tcW w:w="336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Common Stock, $0.0001 par value per share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BCAB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3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The Nasdaq Global Market</w:t>
            </w:r>
          </w:p>
        </w:tc>
      </w:tr>
    </w:tbl>
    <w:p>
      <w:pPr>
        <w:pStyle w:val="TextBody"/>
        <w:spacing w:lineRule="auto" w:line="273" w:before="40" w:after="0"/>
        <w:jc w:val="center"/>
        <w:rPr>
          <w:rFonts w:ascii="Times New Roman" w:hAnsi="Times New Roman"/>
          <w:b/>
          <w:sz w:val="16"/>
        </w:rPr>
      </w:pPr>
      <w:r>
        <w:rPr>
          <w:rFonts w:ascii="Times New Roman" w:hAnsi="Times New Roman"/>
          <w:b/>
          <w:sz w:val="16"/>
        </w:rPr>
        <w:t>Securities registered pursuant to Section 12(g) of the Act: None</w:t>
      </w:r>
    </w:p>
    <w:p>
      <w:pPr>
        <w:pStyle w:val="TextBody"/>
        <w:pBdr>
          <w:bottom w:val="single" w:sz="7" w:space="1" w:color="000000"/>
        </w:pBdr>
        <w:spacing w:lineRule="auto" w:line="273" w:before="0" w:after="0"/>
        <w:jc w:val="center"/>
        <w:rPr/>
      </w:pPr>
      <w:r>
        <w:rPr/>
        <w:t> </w:t>
      </w:r>
    </w:p>
    <w:p>
      <w:pPr>
        <w:pStyle w:val="TextBody"/>
        <w:spacing w:lineRule="auto" w:line="273" w:before="40" w:after="0"/>
        <w:jc w:val="left"/>
        <w:rPr>
          <w:rFonts w:ascii="Times New Roman" w:hAnsi="Times New Roman"/>
          <w:sz w:val="20"/>
        </w:rPr>
      </w:pPr>
      <w:r>
        <w:rPr>
          <w:rFonts w:ascii="Times New Roman" w:hAnsi="Times New Roman"/>
          <w:b w:val="false"/>
          <w:sz w:val="16"/>
        </w:rPr>
        <w:t>Indicate by check mark if the registrant is a well-known seasoned issuer, as defined in Rule 405 of the Securities Act. Yes ☐ or No</w:t>
      </w:r>
      <w:r>
        <w:rPr>
          <w:rFonts w:ascii="Times New Roman" w:hAnsi="Times New Roman"/>
          <w:sz w:val="20"/>
        </w:rPr>
        <w:t xml:space="preserve"> ☒</w:t>
      </w:r>
    </w:p>
    <w:p>
      <w:pPr>
        <w:pStyle w:val="TextBody"/>
        <w:spacing w:lineRule="auto" w:line="273" w:before="40" w:after="0"/>
        <w:jc w:val="left"/>
        <w:rPr>
          <w:rFonts w:ascii="Times New Roman" w:hAnsi="Times New Roman"/>
          <w:sz w:val="20"/>
        </w:rPr>
      </w:pPr>
      <w:r>
        <w:rPr>
          <w:rFonts w:ascii="Times New Roman" w:hAnsi="Times New Roman"/>
          <w:b w:val="false"/>
          <w:sz w:val="16"/>
        </w:rPr>
        <w:t>Indicate by check mark if the registrant is not required to file reports pursuant to Section 13 or Section 15(d) of the Act. Yes ☐ or No</w:t>
      </w:r>
      <w:r>
        <w:rPr>
          <w:rFonts w:ascii="Times New Roman" w:hAnsi="Times New Roman"/>
          <w:sz w:val="20"/>
        </w:rPr>
        <w:t xml:space="preserve"> ☒</w:t>
      </w:r>
    </w:p>
    <w:p>
      <w:pPr>
        <w:pStyle w:val="TextBody"/>
        <w:spacing w:lineRule="auto" w:line="273" w:before="40" w:after="0"/>
        <w:jc w:val="left"/>
        <w:rPr>
          <w:rFonts w:ascii="Times New Roman" w:hAnsi="Times New Roman"/>
          <w:sz w:val="20"/>
        </w:rPr>
      </w:pPr>
      <w:r>
        <w:rPr>
          <w:rFonts w:ascii="Times New Roman" w:hAnsi="Times New Roman"/>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6"/>
        </w:rPr>
        <w:t>or No ☐</w:t>
      </w:r>
    </w:p>
    <w:p>
      <w:pPr>
        <w:pStyle w:val="TextBody"/>
        <w:spacing w:lineRule="auto" w:line="273" w:before="40" w:after="0"/>
        <w:jc w:val="left"/>
        <w:rPr>
          <w:rFonts w:ascii="Times New Roman" w:hAnsi="Times New Roman"/>
          <w:sz w:val="20"/>
        </w:rPr>
      </w:pPr>
      <w:r>
        <w:rPr>
          <w:rFonts w:ascii="Times New Roman" w:hAnsi="Times New Roman"/>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6"/>
        </w:rPr>
        <w:t>No ☐</w:t>
      </w:r>
    </w:p>
    <w:p>
      <w:pPr>
        <w:pStyle w:val="TextBody"/>
        <w:spacing w:lineRule="auto" w:line="273" w:before="40" w:after="0"/>
        <w:jc w:val="left"/>
        <w:rPr>
          <w:rFonts w:ascii="Times New Roman" w:hAnsi="Times New Roman"/>
          <w:b w:val="false"/>
          <w:sz w:val="16"/>
        </w:rPr>
      </w:pPr>
      <w:r>
        <w:rPr>
          <w:rFonts w:ascii="Times New Roman" w:hAnsi="Times New Roman"/>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40" w:after="0"/>
        <w:jc w:val="left"/>
        <w:rPr/>
      </w:pPr>
      <w:r>
        <w:rPr/>
        <w:t> </w:t>
      </w:r>
    </w:p>
    <w:tbl>
      <w:tblPr>
        <w:tblW w:w="5167" w:type="dxa"/>
        <w:jc w:val="left"/>
        <w:tblInd w:w="0" w:type="dxa"/>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Large accelerated filer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Accelerated filer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Non-accelerated filer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Smaller reporting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2041" w:type="dxa"/>
            <w:tcBorders/>
            <w:shd w:fill="auto" w:val="clear"/>
            <w:vAlign w:val="center"/>
          </w:tcPr>
          <w:p>
            <w:pPr>
              <w:pStyle w:val="TableContents"/>
              <w:spacing w:lineRule="auto" w:line="252" w:before="0" w:after="0"/>
              <w:ind w:left="0" w:right="0" w:hanging="0"/>
              <w:jc w:val="left"/>
              <w:rPr>
                <w:rFonts w:ascii="Times New Roman" w:hAnsi="Times New Roman"/>
                <w:b w:val="false"/>
                <w:sz w:val="16"/>
              </w:rPr>
            </w:pPr>
            <w:r>
              <w:rPr>
                <w:rFonts w:ascii="Times New Roman" w:hAnsi="Times New Roman"/>
                <w:b w:val="false"/>
                <w:sz w:val="16"/>
              </w:rPr>
              <w:t>Emerging growth company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40" w:after="0"/>
        <w:jc w:val="left"/>
        <w:rPr>
          <w:rFonts w:ascii="Times New Roman" w:hAnsi="Times New Roman"/>
          <w:b w:val="false"/>
          <w:sz w:val="16"/>
        </w:rPr>
      </w:pPr>
      <w:r>
        <w:rPr>
          <w:rFonts w:ascii="Times New Roman" w:hAnsi="Times New Roman"/>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73" w:before="40" w:after="0"/>
        <w:jc w:val="left"/>
        <w:rPr>
          <w:rFonts w:ascii="Times New Roman" w:hAnsi="Times New Roman"/>
          <w:sz w:val="20"/>
        </w:rPr>
      </w:pPr>
      <w:r>
        <w:rPr>
          <w:rFonts w:ascii="Times New Roman" w:hAnsi="Times New Roman"/>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lineRule="auto" w:line="273" w:before="40" w:after="0"/>
        <w:jc w:val="left"/>
        <w:rPr>
          <w:rFonts w:ascii="Times New Roman" w:hAnsi="Times New Roman"/>
          <w:sz w:val="20"/>
        </w:rPr>
      </w:pPr>
      <w:r>
        <w:rPr>
          <w:rFonts w:ascii="Times New Roman" w:hAnsi="Times New Roman"/>
          <w:b w:val="false"/>
          <w:sz w:val="16"/>
        </w:rPr>
        <w:t xml:space="preserve">Indicate by check mark whether the registrant is a shell company (as defined in Rule 12b-2 of the Act). Yes ☐ No </w:t>
      </w:r>
      <w:r>
        <w:rPr>
          <w:rFonts w:ascii="Times New Roman" w:hAnsi="Times New Roman"/>
          <w:sz w:val="20"/>
        </w:rPr>
        <w:t>☒</w:t>
      </w:r>
    </w:p>
    <w:p>
      <w:pPr>
        <w:pStyle w:val="TextBody"/>
        <w:spacing w:lineRule="auto" w:line="273" w:before="40" w:after="0"/>
        <w:jc w:val="left"/>
        <w:rPr>
          <w:rFonts w:ascii="Times New Roman" w:hAnsi="Times New Roman"/>
          <w:sz w:val="20"/>
        </w:rPr>
      </w:pPr>
      <w:r>
        <w:rPr>
          <w:rFonts w:ascii="Times New Roman" w:hAnsi="Times New Roman"/>
          <w:b w:val="false"/>
          <w:sz w:val="16"/>
        </w:rPr>
        <w:t>As of June 30, 2021, the last business day of the registrant’s most recently completed second fiscal quarter, the aggregate market value of the registrant’s common stock held by non-affiliates of the registrant was approximately $1.0</w:t>
      </w:r>
      <w:r>
        <w:rPr>
          <w:rFonts w:ascii="Times New Roman" w:hAnsi="Times New Roman"/>
          <w:sz w:val="20"/>
        </w:rPr>
        <w:t xml:space="preserve"> </w:t>
      </w:r>
      <w:r>
        <w:rPr>
          <w:rFonts w:ascii="Times New Roman" w:hAnsi="Times New Roman"/>
          <w:b w:val="false"/>
          <w:sz w:val="16"/>
        </w:rPr>
        <w:t>billion based on the closing sales price of $42.38 per share as reported on the Nasdaq Global Select Market.</w:t>
      </w:r>
    </w:p>
    <w:p>
      <w:pPr>
        <w:pStyle w:val="TextBody"/>
        <w:spacing w:lineRule="auto" w:line="273" w:before="40" w:after="0"/>
        <w:jc w:val="left"/>
        <w:rPr>
          <w:rFonts w:ascii="Times New Roman" w:hAnsi="Times New Roman"/>
          <w:sz w:val="20"/>
        </w:rPr>
      </w:pPr>
      <w:r>
        <w:rPr>
          <w:rFonts w:ascii="Times New Roman" w:hAnsi="Times New Roman"/>
          <w:b w:val="false"/>
          <w:sz w:val="16"/>
        </w:rPr>
        <w:t>As of February 25, 2022, the number of shares of the registrant’s common stock outstanding was 35,829,127</w:t>
      </w:r>
      <w:r>
        <w:rPr>
          <w:rFonts w:ascii="Times New Roman" w:hAnsi="Times New Roman"/>
          <w:sz w:val="20"/>
        </w:rPr>
        <w:t xml:space="preserve"> </w:t>
      </w:r>
      <w:r>
        <w:rPr>
          <w:rFonts w:ascii="Times New Roman" w:hAnsi="Times New Roman"/>
          <w:b w:val="false"/>
          <w:sz w:val="16"/>
        </w:rPr>
        <w:t>and the number of shares of the registrant’s Class B common stock outstanding was 1,492,059.</w:t>
      </w:r>
    </w:p>
    <w:p>
      <w:pPr>
        <w:pStyle w:val="TextBody"/>
        <w:spacing w:lineRule="auto" w:line="273" w:before="40" w:after="0"/>
        <w:jc w:val="center"/>
        <w:rPr>
          <w:rFonts w:ascii="Times New Roman" w:hAnsi="Times New Roman"/>
          <w:b/>
          <w:sz w:val="16"/>
        </w:rPr>
      </w:pPr>
      <w:r>
        <w:rPr>
          <w:rFonts w:ascii="Times New Roman" w:hAnsi="Times New Roman"/>
          <w:b/>
          <w:sz w:val="16"/>
        </w:rPr>
        <w:t>DOCUMENTS INCORPORATED BY REFERENCE</w:t>
      </w:r>
    </w:p>
    <w:p>
      <w:pPr>
        <w:pStyle w:val="TextBody"/>
        <w:spacing w:lineRule="auto" w:line="273" w:before="40" w:after="0"/>
        <w:jc w:val="left"/>
        <w:rPr>
          <w:rFonts w:ascii="Times New Roman" w:hAnsi="Times New Roman"/>
          <w:b w:val="false"/>
          <w:sz w:val="16"/>
        </w:rPr>
      </w:pPr>
      <w:r>
        <w:rPr>
          <w:rFonts w:ascii="Times New Roman" w:hAnsi="Times New Roman"/>
          <w:b w:val="false"/>
          <w:sz w:val="16"/>
        </w:rPr>
        <w:t>Part III incorporates by reference certain information from the registrant’s definitive proxy statement (the “Proxy Statement”) relating to its 2022 Annual Meeting of Stockholders. The Proxy Statement will be filed with the United States Securities and Exchange Commission within 120 days after the end of the fiscal year to which this report relates.</w:t>
      </w:r>
    </w:p>
    <w:p>
      <w:pPr>
        <w:pStyle w:val="TextBody"/>
        <w:spacing w:lineRule="auto" w:line="273" w:before="20" w:after="0"/>
        <w:jc w:val="center"/>
        <w:rPr/>
      </w:pPr>
      <w:r>
        <w:rPr/>
        <w:t> </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center"/>
        <w:rPr>
          <w:rFonts w:ascii="Times New Roman" w:hAnsi="Times New Roman"/>
          <w:b/>
          <w:sz w:val="18"/>
        </w:rPr>
      </w:pPr>
      <w:r>
        <w:rPr>
          <w:rFonts w:ascii="Times New Roman" w:hAnsi="Times New Roman"/>
          <w:b/>
          <w:sz w:val="18"/>
        </w:rPr>
        <w:t>BIOATLA, INC.</w:t>
      </w:r>
    </w:p>
    <w:p>
      <w:pPr>
        <w:pStyle w:val="TextBody"/>
        <w:spacing w:lineRule="auto" w:line="273" w:before="0" w:after="0"/>
        <w:jc w:val="center"/>
        <w:rPr>
          <w:rFonts w:ascii="Times New Roman" w:hAnsi="Times New Roman"/>
          <w:b w:val="false"/>
          <w:sz w:val="18"/>
        </w:rPr>
      </w:pPr>
      <w:r>
        <w:rPr>
          <w:rFonts w:ascii="Times New Roman" w:hAnsi="Times New Roman"/>
          <w:b w:val="false"/>
          <w:sz w:val="18"/>
        </w:rPr>
        <w:t>Annual Report on Form 10-K</w:t>
      </w:r>
    </w:p>
    <w:p>
      <w:pPr>
        <w:pStyle w:val="TextBody"/>
        <w:spacing w:lineRule="auto" w:line="273" w:before="0" w:after="0"/>
        <w:jc w:val="center"/>
        <w:rPr>
          <w:rFonts w:ascii="Times New Roman" w:hAnsi="Times New Roman"/>
          <w:b w:val="false"/>
          <w:sz w:val="18"/>
        </w:rPr>
      </w:pPr>
      <w:r>
        <w:rPr>
          <w:rFonts w:ascii="Times New Roman" w:hAnsi="Times New Roman"/>
          <w:b w:val="false"/>
          <w:sz w:val="18"/>
        </w:rPr>
        <w:t>For the Fiscal Year Ended December 31, 2021</w:t>
      </w:r>
    </w:p>
    <w:p>
      <w:pPr>
        <w:pStyle w:val="TextBody"/>
        <w:spacing w:lineRule="auto" w:line="273" w:before="216" w:after="0"/>
        <w:jc w:val="center"/>
        <w:rPr>
          <w:rFonts w:ascii="Times New Roman" w:hAnsi="Times New Roman"/>
          <w:b/>
          <w:sz w:val="18"/>
        </w:rPr>
      </w:pPr>
      <w:bookmarkStart w:id="2" w:name="toc"/>
      <w:bookmarkEnd w:id="2"/>
      <w:r>
        <w:rPr>
          <w:rFonts w:ascii="Times New Roman" w:hAnsi="Times New Roman"/>
          <w:b/>
          <w:sz w:val="18"/>
        </w:rPr>
        <w:t>TABLE OF CONTENTS</w:t>
      </w:r>
    </w:p>
    <w:p>
      <w:pPr>
        <w:pStyle w:val="TextBody"/>
        <w:spacing w:lineRule="auto" w:line="273" w:before="0" w:after="0"/>
        <w:jc w:val="left"/>
        <w:rPr/>
      </w:pPr>
      <w:r>
        <w:rPr/>
        <w:t> </w:t>
      </w:r>
    </w:p>
    <w:tbl>
      <w:tblPr>
        <w:tblW w:w="9827" w:type="dxa"/>
        <w:jc w:val="left"/>
        <w:tblInd w:w="0" w:type="dxa"/>
        <w:tblCellMar>
          <w:top w:w="28" w:type="dxa"/>
          <w:left w:w="28" w:type="dxa"/>
          <w:bottom w:w="28" w:type="dxa"/>
          <w:right w:w="28" w:type="dxa"/>
        </w:tblCellMar>
      </w:tblPr>
      <w:tblGrid>
        <w:gridCol w:w="751"/>
        <w:gridCol w:w="146"/>
        <w:gridCol w:w="8071"/>
        <w:gridCol w:w="146"/>
        <w:gridCol w:w="146"/>
        <w:gridCol w:w="376"/>
        <w:gridCol w:w="191"/>
      </w:tblGrid>
      <w:tr>
        <w:trPr/>
        <w:tc>
          <w:tcPr>
            <w:tcW w:w="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5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807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376" w:type="dxa"/>
            <w:tcBorders/>
            <w:shd w:fill="auto" w:val="clear"/>
            <w:vAlign w:val="center"/>
          </w:tcPr>
          <w:p>
            <w:pPr>
              <w:pStyle w:val="TableContents"/>
              <w:spacing w:lineRule="atLeast" w:line="141" w:before="0" w:after="0"/>
              <w:ind w:left="0" w:right="0" w:hanging="0"/>
              <w:jc w:val="left"/>
              <w:rPr/>
            </w:pPr>
            <w:r>
              <w:rPr/>
              <w:t> </w:t>
            </w:r>
          </w:p>
        </w:tc>
        <w:tc>
          <w:tcPr>
            <w:tcW w:w="191" w:type="dxa"/>
            <w:tcBorders/>
            <w:shd w:fill="auto" w:val="clear"/>
            <w:vAlign w:val="center"/>
          </w:tcPr>
          <w:p>
            <w:pPr>
              <w:pStyle w:val="TableContents"/>
              <w:spacing w:lineRule="atLeast" w:line="141" w:before="0" w:after="0"/>
              <w:ind w:left="0" w:right="0" w:hanging="0"/>
              <w:jc w:val="left"/>
              <w:rPr/>
            </w:pPr>
            <w:r>
              <w:rPr/>
              <w:t> </w:t>
            </w:r>
          </w:p>
        </w:tc>
      </w:tr>
      <w:tr>
        <w:trPr/>
        <w:tc>
          <w:tcPr>
            <w:tcW w:w="9636" w:type="dxa"/>
            <w:gridSpan w:val="6"/>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SPECIAL NOTE REGARDING FORWARD-LOOKING STATEMENTS</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9827" w:type="dxa"/>
            <w:gridSpan w:val="7"/>
            <w:tcBorders/>
            <w:shd w:fill="auto" w:val="clear"/>
            <w:vAlign w:val="center"/>
          </w:tcPr>
          <w:p>
            <w:pPr>
              <w:pStyle w:val="TableContents"/>
              <w:spacing w:lineRule="atLeast" w:line="141" w:before="0" w:after="0"/>
              <w:ind w:left="0" w:right="0" w:hanging="0"/>
              <w:jc w:val="left"/>
              <w:rPr/>
            </w:pPr>
            <w:r>
              <w:rPr/>
              <w:t> </w:t>
            </w:r>
          </w:p>
        </w:tc>
      </w:tr>
      <w:tr>
        <w:trPr/>
        <w:tc>
          <w:tcPr>
            <w:tcW w:w="9636" w:type="dxa"/>
            <w:gridSpan w:val="6"/>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PART I</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_business">
              <w:r>
                <w:rPr>
                  <w:rStyle w:val="InternetLink"/>
                  <w:rFonts w:ascii="Times New Roman" w:hAnsi="Times New Roman"/>
                  <w:b w:val="false"/>
                  <w:sz w:val="18"/>
                  <w:u w:val="single"/>
                </w:rPr>
                <w:t>Business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sz w:val="18"/>
                  <w:u w:val="single"/>
                </w:rPr>
                <w:t>Risk Factors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b_unresolved_staff_comments">
              <w:r>
                <w:rPr>
                  <w:rStyle w:val="InternetLink"/>
                  <w:rFonts w:ascii="Times New Roman" w:hAnsi="Times New Roman"/>
                  <w:b w:val="false"/>
                  <w:sz w:val="18"/>
                  <w:u w:val="single"/>
                </w:rPr>
                <w:t>Unresolved Staff Comments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2_properties">
              <w:r>
                <w:rPr>
                  <w:rStyle w:val="InternetLink"/>
                  <w:rFonts w:ascii="Times New Roman" w:hAnsi="Times New Roman"/>
                  <w:b w:val="false"/>
                  <w:sz w:val="18"/>
                  <w:u w:val="single"/>
                </w:rPr>
                <w:t>Properties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3_legal_proceedings">
              <w:r>
                <w:rPr>
                  <w:rStyle w:val="InternetLink"/>
                  <w:rFonts w:ascii="Times New Roman" w:hAnsi="Times New Roman"/>
                  <w:b w:val="false"/>
                  <w:sz w:val="18"/>
                  <w:u w:val="single"/>
                </w:rPr>
                <w:t>Legal Proceedings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4_mine_safety_disclosures">
              <w:r>
                <w:rPr>
                  <w:rStyle w:val="InternetLink"/>
                  <w:rFonts w:ascii="Times New Roman" w:hAnsi="Times New Roman"/>
                  <w:b w:val="false"/>
                  <w:sz w:val="18"/>
                  <w:u w:val="single"/>
                </w:rPr>
                <w:t>Mine Safety Disclosures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8968" w:type="dxa"/>
            <w:gridSpan w:val="3"/>
            <w:tcBorders/>
            <w:shd w:fill="auto" w:val="clear"/>
            <w:vAlign w:val="center"/>
          </w:tcPr>
          <w:p>
            <w:pPr>
              <w:pStyle w:val="TableContents"/>
              <w:spacing w:lineRule="atLeast" w:line="141" w:before="0" w:after="0"/>
              <w:ind w:left="0" w:right="0" w:hanging="0"/>
              <w:jc w:val="left"/>
              <w:rPr/>
            </w:pPr>
            <w:r>
              <w:rPr/>
              <w:t> </w:t>
            </w:r>
          </w:p>
        </w:tc>
        <w:tc>
          <w:tcPr>
            <w:tcW w:w="859" w:type="dxa"/>
            <w:gridSpan w:val="4"/>
            <w:tcBorders/>
            <w:shd w:fill="auto" w:val="clear"/>
            <w:vAlign w:val="center"/>
          </w:tcPr>
          <w:p>
            <w:pPr>
              <w:pStyle w:val="TableContents"/>
              <w:spacing w:lineRule="atLeast" w:line="141" w:before="0" w:after="0"/>
              <w:ind w:left="0" w:right="0" w:hanging="0"/>
              <w:jc w:val="left"/>
              <w:rPr/>
            </w:pPr>
            <w:r>
              <w:rPr/>
              <w:t> </w:t>
            </w:r>
          </w:p>
        </w:tc>
      </w:tr>
      <w:tr>
        <w:trPr/>
        <w:tc>
          <w:tcPr>
            <w:tcW w:w="8968"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PART II</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376" w:type="dxa"/>
            <w:tcBorders/>
            <w:shd w:fill="auto" w:val="clear"/>
            <w:vAlign w:val="center"/>
          </w:tcPr>
          <w:p>
            <w:pPr>
              <w:pStyle w:val="TableContents"/>
              <w:spacing w:lineRule="atLeast" w:line="141" w:before="0" w:after="0"/>
              <w:ind w:left="0" w:right="0" w:hanging="0"/>
              <w:jc w:val="left"/>
              <w:rPr/>
            </w:pPr>
            <w:r>
              <w:rPr/>
              <w:t> </w:t>
            </w:r>
          </w:p>
        </w:tc>
        <w:tc>
          <w:tcPr>
            <w:tcW w:w="191" w:type="dxa"/>
            <w:tcBorders/>
            <w:shd w:fill="auto" w:val="clear"/>
            <w:vAlign w:val="center"/>
          </w:tcPr>
          <w:p>
            <w:pPr>
              <w:pStyle w:val="TableContents"/>
              <w:spacing w:lineRule="atLeast" w:line="141"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5_market_for_registrant">
              <w:r>
                <w:rPr>
                  <w:rStyle w:val="InternetLink"/>
                  <w:rFonts w:ascii="Times New Roman" w:hAnsi="Times New Roman"/>
                  <w:b w:val="false"/>
                  <w:sz w:val="18"/>
                  <w:u w:val="single"/>
                </w:rPr>
                <w:t>Market for Registrant’s Common Equity, Related Stockholder Matters and Issuer Purchases of Equity Securities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6_selected_financial_data">
              <w:r>
                <w:rPr>
                  <w:rStyle w:val="InternetLink"/>
                  <w:rFonts w:ascii="Times New Roman" w:hAnsi="Times New Roman"/>
                  <w:b w:val="false"/>
                  <w:sz w:val="18"/>
                  <w:u w:val="single"/>
                </w:rPr>
                <w:t>Selected Financial Data</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7_management_discussion">
              <w:r>
                <w:rPr>
                  <w:rStyle w:val="InternetLink"/>
                  <w:rFonts w:ascii="Times New Roman" w:hAnsi="Times New Roman"/>
                  <w:b w:val="false"/>
                  <w:sz w:val="18"/>
                  <w:u w:val="single"/>
                </w:rPr>
                <w:t>Management’s Discussion and Analysis of Financial Condition and Results of Operations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7A.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7a_quantitative_and_qualitative">
              <w:r>
                <w:rPr>
                  <w:rStyle w:val="InternetLink"/>
                  <w:rFonts w:ascii="Times New Roman" w:hAnsi="Times New Roman"/>
                  <w:b w:val="false"/>
                  <w:sz w:val="18"/>
                  <w:u w:val="single"/>
                </w:rPr>
                <w:t>Quantitative and Qualitative Disclosures About Market Risk</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8_financial_statements">
              <w:r>
                <w:rPr>
                  <w:rStyle w:val="InternetLink"/>
                  <w:rFonts w:ascii="Times New Roman" w:hAnsi="Times New Roman"/>
                  <w:b w:val="false"/>
                  <w:sz w:val="18"/>
                  <w:u w:val="single"/>
                </w:rPr>
                <w:t>Financial Statements and Supplementary Data</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9_changes_in_and_disagreements">
              <w:r>
                <w:rPr>
                  <w:rStyle w:val="InternetLink"/>
                  <w:rFonts w:ascii="Times New Roman" w:hAnsi="Times New Roman"/>
                  <w:b w:val="false"/>
                  <w:sz w:val="18"/>
                  <w:u w:val="single"/>
                </w:rPr>
                <w:t>Changes in and Disagreements with Accountants on Accounting and Financial Disclosure</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9A.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9a_controls_and_procedures">
              <w:r>
                <w:rPr>
                  <w:rStyle w:val="InternetLink"/>
                  <w:rFonts w:ascii="Times New Roman" w:hAnsi="Times New Roman"/>
                  <w:b w:val="false"/>
                  <w:sz w:val="18"/>
                  <w:u w:val="single"/>
                </w:rPr>
                <w:t>Controls and Procedures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9B.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9b_other_information">
              <w:r>
                <w:rPr>
                  <w:rStyle w:val="InternetLink"/>
                  <w:rFonts w:ascii="Times New Roman" w:hAnsi="Times New Roman"/>
                  <w:b w:val="false"/>
                  <w:sz w:val="18"/>
                  <w:u w:val="single"/>
                </w:rPr>
                <w:t>Other Information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8968" w:type="dxa"/>
            <w:gridSpan w:val="3"/>
            <w:tcBorders/>
            <w:shd w:fill="auto" w:val="clear"/>
            <w:vAlign w:val="center"/>
          </w:tcPr>
          <w:p>
            <w:pPr>
              <w:pStyle w:val="TableContents"/>
              <w:spacing w:lineRule="atLeast" w:line="141" w:before="0" w:after="0"/>
              <w:ind w:left="0" w:right="0" w:hanging="0"/>
              <w:jc w:val="left"/>
              <w:rPr/>
            </w:pPr>
            <w:r>
              <w:rPr/>
              <w:t> </w:t>
            </w:r>
          </w:p>
        </w:tc>
        <w:tc>
          <w:tcPr>
            <w:tcW w:w="859" w:type="dxa"/>
            <w:gridSpan w:val="4"/>
            <w:tcBorders/>
            <w:shd w:fill="auto" w:val="clear"/>
            <w:vAlign w:val="center"/>
          </w:tcPr>
          <w:p>
            <w:pPr>
              <w:pStyle w:val="TableContents"/>
              <w:spacing w:lineRule="atLeast" w:line="141" w:before="0" w:after="0"/>
              <w:ind w:left="0" w:right="0" w:hanging="0"/>
              <w:jc w:val="left"/>
              <w:rPr/>
            </w:pPr>
            <w:r>
              <w:rPr/>
              <w:t> </w:t>
            </w:r>
          </w:p>
        </w:tc>
      </w:tr>
      <w:tr>
        <w:trPr/>
        <w:tc>
          <w:tcPr>
            <w:tcW w:w="8968"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PART III</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376" w:type="dxa"/>
            <w:tcBorders/>
            <w:shd w:fill="auto" w:val="clear"/>
            <w:vAlign w:val="center"/>
          </w:tcPr>
          <w:p>
            <w:pPr>
              <w:pStyle w:val="TableContents"/>
              <w:spacing w:lineRule="atLeast" w:line="141" w:before="0" w:after="0"/>
              <w:ind w:left="0" w:right="0" w:hanging="0"/>
              <w:jc w:val="left"/>
              <w:rPr/>
            </w:pPr>
            <w:r>
              <w:rPr/>
              <w:t> </w:t>
            </w:r>
          </w:p>
        </w:tc>
        <w:tc>
          <w:tcPr>
            <w:tcW w:w="191" w:type="dxa"/>
            <w:tcBorders/>
            <w:shd w:fill="auto" w:val="clear"/>
            <w:vAlign w:val="center"/>
          </w:tcPr>
          <w:p>
            <w:pPr>
              <w:pStyle w:val="TableContents"/>
              <w:spacing w:lineRule="atLeast" w:line="141"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0">
              <w:r>
                <w:rPr>
                  <w:rStyle w:val="InternetLink"/>
                  <w:rFonts w:ascii="Times New Roman" w:hAnsi="Times New Roman"/>
                  <w:b w:val="false"/>
                  <w:sz w:val="18"/>
                  <w:u w:val="single"/>
                </w:rPr>
                <w:t>Directors, Executive Officers and Corporate Governance</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1">
              <w:r>
                <w:rPr>
                  <w:rStyle w:val="InternetLink"/>
                  <w:rFonts w:ascii="Times New Roman" w:hAnsi="Times New Roman"/>
                  <w:b w:val="false"/>
                  <w:sz w:val="18"/>
                  <w:u w:val="single"/>
                </w:rPr>
                <w:t>Executive Compensation</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2">
              <w:r>
                <w:rPr>
                  <w:rStyle w:val="InternetLink"/>
                  <w:rFonts w:ascii="Times New Roman" w:hAnsi="Times New Roman"/>
                  <w:b w:val="false"/>
                  <w:sz w:val="18"/>
                  <w:u w:val="single"/>
                </w:rPr>
                <w:t>Security Ownership of Certain Beneficial Owners and Management and Related Stockholder Matters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3">
              <w:r>
                <w:rPr>
                  <w:rStyle w:val="InternetLink"/>
                  <w:rFonts w:ascii="Times New Roman" w:hAnsi="Times New Roman"/>
                  <w:b w:val="false"/>
                  <w:sz w:val="18"/>
                  <w:u w:val="single"/>
                </w:rPr>
                <w:t>Certain Relationships and Related Transactions, and Director Independence</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4">
              <w:r>
                <w:rPr>
                  <w:rStyle w:val="InternetLink"/>
                  <w:rFonts w:ascii="Times New Roman" w:hAnsi="Times New Roman"/>
                  <w:b w:val="false"/>
                  <w:sz w:val="18"/>
                  <w:u w:val="single"/>
                </w:rPr>
                <w:t>Principal Accountant Fees and Services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8968" w:type="dxa"/>
            <w:gridSpan w:val="3"/>
            <w:tcBorders/>
            <w:shd w:fill="auto" w:val="clear"/>
            <w:vAlign w:val="center"/>
          </w:tcPr>
          <w:p>
            <w:pPr>
              <w:pStyle w:val="TableContents"/>
              <w:spacing w:lineRule="atLeast" w:line="141" w:before="0" w:after="0"/>
              <w:ind w:left="0" w:right="0" w:hanging="0"/>
              <w:jc w:val="left"/>
              <w:rPr/>
            </w:pPr>
            <w:r>
              <w:rPr/>
              <w:t> </w:t>
            </w:r>
          </w:p>
        </w:tc>
        <w:tc>
          <w:tcPr>
            <w:tcW w:w="859" w:type="dxa"/>
            <w:gridSpan w:val="4"/>
            <w:tcBorders/>
            <w:shd w:fill="auto" w:val="clear"/>
            <w:vAlign w:val="center"/>
          </w:tcPr>
          <w:p>
            <w:pPr>
              <w:pStyle w:val="TableContents"/>
              <w:spacing w:lineRule="atLeast" w:line="141" w:before="0" w:after="0"/>
              <w:ind w:left="0" w:right="0" w:hanging="0"/>
              <w:jc w:val="left"/>
              <w:rPr/>
            </w:pPr>
            <w:r>
              <w:rPr/>
              <w:t> </w:t>
            </w:r>
          </w:p>
        </w:tc>
      </w:tr>
      <w:tr>
        <w:trPr/>
        <w:tc>
          <w:tcPr>
            <w:tcW w:w="8968"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PART IV</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376" w:type="dxa"/>
            <w:tcBorders/>
            <w:shd w:fill="auto" w:val="clear"/>
            <w:vAlign w:val="center"/>
          </w:tcPr>
          <w:p>
            <w:pPr>
              <w:pStyle w:val="TableContents"/>
              <w:spacing w:lineRule="atLeast" w:line="141" w:before="0" w:after="0"/>
              <w:ind w:left="0" w:right="0" w:hanging="0"/>
              <w:jc w:val="left"/>
              <w:rPr/>
            </w:pPr>
            <w:r>
              <w:rPr/>
              <w:t> </w:t>
            </w:r>
          </w:p>
        </w:tc>
        <w:tc>
          <w:tcPr>
            <w:tcW w:w="191" w:type="dxa"/>
            <w:tcBorders/>
            <w:shd w:fill="auto" w:val="clear"/>
            <w:vAlign w:val="center"/>
          </w:tcPr>
          <w:p>
            <w:pPr>
              <w:pStyle w:val="TableContents"/>
              <w:spacing w:lineRule="atLeast" w:line="141"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5_exhibits_and_financial">
              <w:r>
                <w:rPr>
                  <w:rStyle w:val="InternetLink"/>
                  <w:rFonts w:ascii="Times New Roman" w:hAnsi="Times New Roman"/>
                  <w:b w:val="false"/>
                  <w:sz w:val="18"/>
                  <w:u w:val="single"/>
                </w:rPr>
                <w:t>Exhibits and Financial Statement Schedules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Item 16.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71" w:type="dxa"/>
            <w:tcBorders/>
            <w:shd w:fill="auto" w:val="clear"/>
            <w:vAlign w:val="center"/>
          </w:tcPr>
          <w:p>
            <w:pPr>
              <w:pStyle w:val="TableContents"/>
              <w:spacing w:lineRule="auto" w:line="252" w:before="0" w:after="0"/>
              <w:ind w:left="0" w:right="0" w:hanging="0"/>
              <w:jc w:val="left"/>
              <w:rPr/>
            </w:pPr>
            <w:hyperlink w:anchor="item_16_form_10_k_summary">
              <w:r>
                <w:rPr>
                  <w:rStyle w:val="InternetLink"/>
                  <w:rFonts w:ascii="Times New Roman" w:hAnsi="Times New Roman"/>
                  <w:b w:val="false"/>
                  <w:sz w:val="18"/>
                  <w:u w:val="single"/>
                </w:rPr>
                <w:t>Form 10-K Summary</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8968" w:type="dxa"/>
            <w:gridSpan w:val="3"/>
            <w:tcBorders/>
            <w:shd w:fill="auto" w:val="cle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18"/>
                  <w:u w:val="single"/>
                </w:rPr>
                <w:t>SIGNATURES</w:t>
              </w:r>
            </w:hyperlink>
            <w:hyperlink w:anchor="signatures">
              <w:r>
                <w:rPr>
                  <w:rStyle w:val="InternetLink"/>
                  <w:rFonts w:ascii="Times New Roman" w:hAnsi="Times New Roman"/>
                  <w:sz w:val="18"/>
                </w:rPr>
                <w:t xml:space="preserve"> </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130</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center"/>
        <w:rPr>
          <w:rFonts w:ascii="Times New Roman" w:hAnsi="Times New Roman"/>
          <w:b/>
          <w:sz w:val="18"/>
        </w:rPr>
      </w:pPr>
      <w:bookmarkStart w:id="3" w:name="part_i"/>
      <w:bookmarkEnd w:id="3"/>
      <w:r>
        <w:rPr>
          <w:rFonts w:ascii="Times New Roman" w:hAnsi="Times New Roman"/>
          <w:b/>
          <w:sz w:val="18"/>
        </w:rPr>
        <w:t>PART I</w:t>
      </w:r>
    </w:p>
    <w:p>
      <w:pPr>
        <w:pStyle w:val="TextBody"/>
        <w:spacing w:lineRule="auto" w:line="273" w:before="216" w:after="0"/>
        <w:jc w:val="left"/>
        <w:rPr>
          <w:rFonts w:ascii="Times New Roman" w:hAnsi="Times New Roman"/>
          <w:b/>
          <w:sz w:val="18"/>
        </w:rPr>
      </w:pPr>
      <w:r>
        <w:rPr>
          <w:rFonts w:ascii="Times New Roman" w:hAnsi="Times New Roman"/>
          <w:b/>
          <w:sz w:val="18"/>
        </w:rPr>
        <w:t>FORWARD-LOOKING STATEMENTS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This Annual Report on Form 10-K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 Item 1A of this Annual Report on Form 10-K and in our other filings with the Securities and Exchange Commission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may differ materially and adversely from those anticipated or implied in the forward-looking statements. Forward-looking statements contained in this Annual Report on Form 10-K include, but are not limited to, statements about: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ability to develop and advance our current product candidates and programs into, and successfully complete,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ability of our clinical trials to demonstrate safety and efficacy of our product candidates and other positive results;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size of the market opportunity for our product candidates, including our estimates of the number of patients who suffer from the diseases we are targeting;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manufacturing, commercialization and marketing capabilities and strategy;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plans and strategies to develop and commercialize our CAB antibodies;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plans to further develop our technology platform and expand our pipeline of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potential benefits and advantages of our current and future product candidates that we may develop from our patented technology platform;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impact of the COVID-19 pandemic on our business, financial condition, results of operations, and prospects;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timing or likelihood of regulatory filings and approvals for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regulatory developments in the United States and Europe and other foreign countries;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expectations and plans to obtain funding for our operations, including from our existing and potential future collaboration and licensing agreements;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expectations regarding our ability to obtain and maintain intellectual property protection for our technology platform and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potential benefits of our strategic relationships and our plans to pursue additional strategic relationships;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continued reliance on third parties to conduct additional clinical trials of our product candidates and for the manufacture of our product candidates for preclinical studies and clinical trials;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our estimates regarding expenses, future revenue, capital requirements and needs for additional financing.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caution you that the foregoing list may not contain all of the forward-looking statements made in this Annual Report on Form 10-K.</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Annual Report on Form 10-K or to conform these statements to actual results or revised expectations.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You should read this Annual Report on Form 10-K with the understanding that our actual future results, levels of activity, performance and events and circumstances may be materially different from what we expect.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This Annual Report on Form 10-K contains estimates, projections and other information concerning our industry, our business and the markets for our product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Unless the context requires otherwise, references in this Annual Report on Form 10-K to “BioAtla,” “we,” “us” and “our” refer, prior to the LLC conversion discussed below, to BioAtla, LLC and, after the conversion, to BioAtla, Inc.</w:t>
      </w:r>
    </w:p>
    <w:p>
      <w:pPr>
        <w:pStyle w:val="TextBody"/>
        <w:spacing w:lineRule="auto" w:line="273" w:before="324" w:after="0"/>
        <w:jc w:val="left"/>
        <w:rPr>
          <w:rFonts w:ascii="Times New Roman" w:hAnsi="Times New Roman"/>
          <w:b/>
          <w:sz w:val="18"/>
        </w:rPr>
      </w:pPr>
      <w:bookmarkStart w:id="4" w:name="item_1_business"/>
      <w:bookmarkEnd w:id="4"/>
      <w:r>
        <w:rPr>
          <w:rFonts w:ascii="Times New Roman" w:hAnsi="Times New Roman"/>
          <w:b/>
          <w:sz w:val="18"/>
        </w:rPr>
        <w:t>ITEM 1. Business</w:t>
      </w:r>
    </w:p>
    <w:p>
      <w:pPr>
        <w:pStyle w:val="TextBody"/>
        <w:spacing w:lineRule="auto" w:line="273" w:before="108" w:after="0"/>
        <w:jc w:val="left"/>
        <w:rPr>
          <w:rFonts w:ascii="Times New Roman" w:hAnsi="Times New Roman"/>
          <w:b/>
          <w:sz w:val="18"/>
        </w:rPr>
      </w:pPr>
      <w:r>
        <w:rPr>
          <w:rFonts w:ascii="Times New Roman" w:hAnsi="Times New Roman"/>
          <w:b/>
          <w:sz w:val="18"/>
        </w:rPr>
        <w:t>Overview</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cancer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broad applicability of our CAB technology allows us to develop a wide array of product candidate modalities, such as monoclonal antibodies, antibody-drug conjugates, or ADCs, T cell-engaging bispecific antibodies and chimeric antigen receptor T cells, or CAR-T cells. A key advantage of our application of the CAB technology to antibodies is that it allows us to selectively target antigens on tumor cells and minimizes or eliminates binding to these antigens on normal cells, which reduces the toxicity associated with traditional approaches. We have initiated potentially registration-enabling Phase 2 trials for our two latest stage CAB ADC product candidates targeting multiple cancer indications with mecbotamab vedotin (BA3011) targeting AXL in sarcoma and NSCLC and ozuriftamab vedotin (BA3021) targeting ROR2 in non-small cell lung cancer (NSCLC), melanoma, and head and neck cancer (SCCHN). The U.S. Food and Drug Administration, or the FDA, has reviewed the trial designs, but has not yet opined on whether the Phase 2 clinical trials will be sufficient to support regulatory approval. However, we intend to ask the FDA to consider this further at the upcoming interim data review point or points for these trials and indications. While we cannot assure you that the FDA will agree that the current clinical plan will be sufficient to support approval, the trial has been designed to allow us to adjust the clinical plan, if needed, after the interim read-out in order to better align with any potential FDA requirements. We are also supporting investigator-initiated trials for both mecbotamab vedotin and ozuriftamab vedotin in platinum-resistant ovarian cancer. We have observed encouraging initial clinical signs of response to treatment and a wide therapeutic window for a range of dosage and duration. Mecbotamab vedotin and ozuriftamab vedotin have the potential to address large unmet medical needs in indications that together account for more than 350,000 new cases of solid tumor cancers and 150,000 deaths per year in the United States alone. Additionally, we have initiated Phase 1 trials for multiple cancer indications in 2021 with dosing expect in the first half of 2022 for our CAB immuno-oncology antibody BA3071 targeting CTLA-4. BA3071 is designed to overcome the toxicity limitations of the currently approved anti-CTLA-4 antibodies and to improve patient outcomes. We also have several candidates in our IND-enabling preclinical pipeline that include CAB bispecific and ADC antibodies targeting unmet medical needs in multiple types of solid tumors.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While therapeutic antibodies have emerged as one of the most successful strategies for both solid and blood-based, or hematologic, malignancies, toxicity has narrowed the therapeutic window and ultimate potential of impacting disease, as many of the key targets on tumor cells are also prevalent on normal cells. The biology of tumor formation, or tumorigenesis, yields a unique microenvironment consisting of a complex mixture of tumor cells, stromal fibroblasts, endothelial cells and immune cells like microglia, macrophages and lymphocytes and the non-cellular components of extracellular matrix such as collagen, fibronectin, hyaluronan and laminin, among others. The process of tumor formation creates an altered, unique microenvironment in and around the tumor that is also physically and chemically distinct from healthy tissue, with regard to temperature, pressure, chemical composition and especially the acidity or pH. The tumorigenesis-driven shifts in microenvironment conditions further weaken the immune response and promote tumor growth. We have created and patented our CAB technology to enable the development of antibodies that are active in the tumor microenvironment, but inactive under normal physiological conditions, while ensuring target-specific binding on cancer cells. Our CAB technology aims to uniquely exploit the fundamental pH differences between the tumor and healthy tissue, increasing antibody binding selectivity and thereby potentially eliminating or greatly reducing healthy cell on-target, off-tumor toxicity. This enhanced selectivity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 By exploiting our novel understanding of tumor biology, we believe that our proprietary CAB technology has the potential to transform antibody-based cancer therapy.</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Initially, we applied the reversible binding and precision capability of our CAB technology to develop next-generation ADC therapies. Traditional ADCs are a class of biologic drugs that are designed by attaching a toxic small molecule payload to an antibody, which then targets a specific antigen expressed on the target cell, but unfortunately, in most cases, this target is also present on normal tissue. Binding to the target on normal tissue leads to high on-target, off-tumor toxicity, which reduces the utility of traditional ADCs. Our CAB ADCs are designed to selectively bind to the antigens found in acidic pH conditions found in the tumor microenvironment, which has the potential to reduce off-tumor toxicity and related consequences. In addition, we developed CAB antibodies to immuno-oncology targets such as CTLA-4 for antitumor activity. We believe that our CAB technology can reduce the limitations resulting from systemic toxicities and expand the utility of this immuno-oncology therapy. We are also creating bispecific, T cell engaging, CAB antibodies that are comprised of two different binding specificities, which allows the antibody to bind to two specific targets at the same time, generally one target on the tumor cell and one target on an immune system cell. This is a powerful approach to harness cytotoxic T cells to directly kill tumor cells with reduced toxicity.</w:t>
      </w:r>
    </w:p>
    <w:p>
      <w:pPr>
        <w:pStyle w:val="TextBody"/>
        <w:spacing w:lineRule="auto" w:line="273" w:before="324" w:after="0"/>
        <w:jc w:val="left"/>
        <w:rPr>
          <w:rFonts w:ascii="Times New Roman" w:hAnsi="Times New Roman"/>
          <w:b/>
          <w:sz w:val="18"/>
        </w:rPr>
      </w:pPr>
      <w:r>
        <w:rPr>
          <w:rFonts w:ascii="Times New Roman" w:hAnsi="Times New Roman"/>
          <w:b/>
          <w:sz w:val="18"/>
        </w:rPr>
        <w:t>Our pipeline</w:t>
      </w:r>
    </w:p>
    <w:p>
      <w:pPr>
        <w:pStyle w:val="TextBody"/>
        <w:spacing w:lineRule="auto" w:line="273" w:before="108" w:after="0"/>
        <w:jc w:val="left"/>
        <w:rPr>
          <w:rFonts w:ascii="Times New Roman" w:hAnsi="Times New Roman"/>
          <w:sz w:val="20"/>
        </w:rPr>
      </w:pPr>
      <w:r>
        <w:rPr>
          <w:rFonts w:ascii="Times New Roman" w:hAnsi="Times New Roman"/>
          <w:b w:val="false"/>
          <w:sz w:val="18"/>
        </w:rPr>
        <w:t>We believe that there is significant potential to improve therapeutics for our patients with our proprietary CAB antibody technology across well-validated oncology targets in solid tumors. The following table summarizes our current product candidate pipeline.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6534150" cy="3390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34150" cy="3390900"/>
                    </a:xfrm>
                    <a:prstGeom prst="rect">
                      <a:avLst/>
                    </a:prstGeom>
                  </pic:spPr>
                </pic:pic>
              </a:graphicData>
            </a:graphic>
          </wp:inline>
        </w:drawing>
      </w:r>
      <w:r>
        <w:rPr/>
        <w:t> </w:t>
      </w:r>
    </w:p>
    <w:p>
      <w:pPr>
        <w:pStyle w:val="TextBody"/>
        <w:spacing w:lineRule="auto" w:line="273" w:before="216" w:after="0"/>
        <w:jc w:val="left"/>
        <w:rPr>
          <w:rFonts w:ascii="Times New Roman" w:hAnsi="Times New Roman"/>
          <w:sz w:val="20"/>
        </w:rPr>
      </w:pPr>
      <w:r>
        <w:rPr>
          <w:rFonts w:ascii="Times New Roman" w:hAnsi="Times New Roman"/>
          <w:b/>
          <w:sz w:val="18"/>
        </w:rPr>
        <w:t>Mecbotamab vedotin (BA3011):</w:t>
      </w:r>
      <w:r>
        <w:rPr>
          <w:rFonts w:ascii="Times New Roman" w:hAnsi="Times New Roman"/>
          <w:sz w:val="20"/>
        </w:rPr>
        <w:t xml:space="preserve"> </w:t>
      </w:r>
      <w:r>
        <w:rPr>
          <w:rFonts w:ascii="Times New Roman" w:hAnsi="Times New Roman"/>
          <w:b w:val="false"/>
          <w:sz w:val="18"/>
        </w:rPr>
        <w:t>Our lead product candidate, mecbotamab vedotin, or BA3011, is a CAB ADC that targets AXL, a protein kinase receptor that is highly expressed on the surface of many tumors. 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In preclinical studies, we have observed that BA3011 binds to AXL under conditions that reflect those in tumors. AXL has also been shown to be involved in the epithelial-mesenchymal transition, or EMT, a process by which epithelial cells lose their cell polarity and cell-cell adhesion, and gain migratory and invasive properties to become mesenchymal stem cells, or MSCs. MSCs are home to developing aggressive tumors, where they exacerbate cancer cell proliferation, motility, invasion and metastasis, foster angiogenesis, promote tumor fibrosis and suppress antitumor immune responses. Multiple therapeutic agents that target AXL have been developed and investigated in clinical trials. A number of small-molecule AXL kinase inhibitors have been developed; however, the majority of these inhibitors, including one that has been approved, are not highly selective for AXL. Although other non-CAB anti-AXL antibodies and ADCs have shown encouraging clinical signs of antitumor activity; adverse events, such as high-grade constipation and peripheral neuropathy, were particularly pronounced and led to discontinuation of clinical development of some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Mecbotamab vedotin is an ADC consisting of a CAB humanized immunoglobulin G, or IgG1, anti-AXL monoclonal antibody. The core antibody is conjugated using a cleavable linker attached to the well-known and proven toxin monomethyl auristatin E, or MMAE. Mecbotamab vedotin is designed to specifically and reversibly bind to AXL in conditions found within the tumor microenvironment, thus conferring a selectivity binding advantage for tumors over normal cells. Upon binding of mecbotamab vedotin to AXL on the surface of tumor cells, it is internalized and the MMAE cytotoxin is released, thus killing the cancer cell.</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developed a biomarker assay that quantifies the AXL Tumor membrane Percent Score (0-100%), or TmPS. The TmPS measures the percentage of cancer cells within the tumor that expresses the AXL target expression generally on the tumor membrane which, consistent with industry standard, we use to identify those patients who we believe will be the most likely to respond to our product candidates. We believe that the larger percentage of cells expressing the target on the tumor membrane, the more likely it is that our product candidates may have the potential to provide clinical benefit.</w:t>
      </w:r>
    </w:p>
    <w:p>
      <w:pPr>
        <w:pStyle w:val="TextBody"/>
        <w:spacing w:lineRule="auto" w:line="273" w:before="216" w:after="0"/>
        <w:jc w:val="left"/>
        <w:rPr>
          <w:rFonts w:ascii="Times New Roman" w:hAnsi="Times New Roman"/>
          <w:sz w:val="20"/>
        </w:rPr>
      </w:pPr>
      <w:r>
        <w:rPr>
          <w:rFonts w:ascii="Times New Roman" w:hAnsi="Times New Roman"/>
          <w:b w:val="false"/>
          <w:sz w:val="18"/>
        </w:rPr>
        <w:t>We are developing mecbotamab vedotin as a potential therapeutic for multiple solid tumor types, including soft tissue and bone sarcoma, non-small cell lung cancer (NSCLC) and ovarian cancer, with other potential indications in the future. The Office of Orphan Drug Products (OODP) at the FDA granted Orphan Drug Designation to mecbotamab vedotin for the treatment of soft tissue sarcoma, and Phase 1 results in sarcoma patients were presented at the Connective Tissue Oncology Society (CTOS) 2021 Annual Meeting. Mecbotamab vedotin was generally well tolerated in this refractory sarcoma population. In the Phase 1 study, few patients discontinued due to an adverse event (two patients out of 26 or 7.7%) compared to discontinuation rates in most other clinical trials of ADCs. No clinically meaningful on-target toxicity to normal AXL-expressing tissue was observed over baseline levels. Dose-limiting toxicities were limited to free circulating MMAE payload-associated toxicity at the highest dose tested, including reversible neutropenia. Higher levels of AXL tumor membrane expression correlated with response to treatment. Of the seven sarcoma patients who had an AXL TmPS of greater than or equal to 70%, four of these obtained a confirmed partial response, including patients with leiomyosarcoma, undifferentiated pleomorphic sarcoma, and Ewing sarcoma. Prolonged response to therapy was observed in this ongoing study with the duration of response ranging from 33 to more than 60 weeks. Overall, we believe mecbotamab vedotin has the potential for a favorable benefit-risk profile, and importantly this is one of the few studies employing a putative biomarker which is not only highly expressed in sarcomas, but also may help select patients across multiple sarcoma subtypes who may benefit from therapy. In the ongoing potentially registration-enabling sarcoma Phase 2 study, patients are enrolled for therapy by prescreening for AXL expression. We are also conducting a Phase 2 study (BA3011-002) in AXL high NSCLC patients who have previously progressed on PD-1/L1, EGFR, or ALK inhibitor therapy. Planned interim analyses in the sarcoma and NSCLC trials are anticipated at the end of the first quarter and in the second quarter of 2022, respectively. In both Phase 2 indications, we are enrolling patients either as a monotherapy or in combination with a PD-1 inhibitor. In addition, a multi-center investigator-initiated Phase 2 clinical trial of mecbotamab vedotin in combination with a PD-1 inhibitor in patients with platinum-resistant ovarian cancer has begun enrollment and is expected to enroll approximately 20 patients.</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sz w:val="18"/>
        </w:rPr>
        <w:t>Ozuriftabmab vedotin (BA3021):</w:t>
      </w:r>
      <w:r>
        <w:rPr>
          <w:rFonts w:ascii="Times New Roman" w:hAnsi="Times New Roman"/>
          <w:sz w:val="20"/>
        </w:rPr>
        <w:t xml:space="preserve"> </w:t>
      </w:r>
      <w:r>
        <w:rPr>
          <w:rFonts w:ascii="Times New Roman" w:hAnsi="Times New Roman"/>
          <w:b w:val="false"/>
          <w:sz w:val="18"/>
        </w:rPr>
        <w:t>We are developing our second product candidate, ozuriftamab vedotin or BA3021, a CAB antibody drug conjugate directed against ROR2, or Receptor Tyrosine Kinase Like Orphan Receptor 2. ROR2 is overexpressed across many different solid tumors, including breast, lung, pancreatic, renal, ovarian, and colorectal cancers, squamous cell cancer of the head and neck, or SCCHN, and melanoma; its tumoral expression is further enhanced among those treated with PD-1 checkpoint inhibitors.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 melanoma cells was shown to prevent metastases of these tumor cells in mice. ROR2 also has essential roles in normal cells and in early development. Inactivation of ROR2 is lethal in mice with defects observed in the heart, nervous system and skeleton. Less severe mutations in ROR2 in humans is associated with skeletal diseases Robinow syndrome and brachydactyly type B.</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Employing a similar approach as with mecbotamab vedotin, we developed a TmPS quantitative assay based on ROR2 tumor membrane expression that we use to identify those patients who we believe will be the most likely to respond to our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Ozuriftamab vedotin is a CAB anti-ROR2 ADC consisting of a CAB anti-ROR2 humanized IgG1 monoclonal antibody conjugated to MMAE using a cleavable linker. Ozuriftamab vedotin is designed to specifically and reversibly bind to ROR2 in conditions found within the tumor microenvironment, thus conferring a selectivity binding advantage for tumors over normal cells. Upon binding of ozuriftamab vedotin to ROR2 on the surface of tumor cells, it is internalized and the MMAE cytotoxin is released, thus killing the cancer cell.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are developing ozuriftamab vedotin as a potential therapeutic for multiple solid tumor types, including NSCLC, melanoma, and ovarian cancer. Based on Phase 1 data, we believe ozuriftamab vedotin has broad potential as a cancer therapy for patients with advanced solid tumors who have experienced prior failure of PD-1 blockade. We are enrolling a Phase 2 trial of ozuriftamab vedotin monotherapy or in combination with a PD-1 inhibitor in patients with ROR2 high melanoma who have previously progressed on PD-1/L1 inhibitor and patients with ROR2 high NSCLC who have previously progressed on PD-1/L1, EGFR or ALK inhibitor therapy. A Phase 2 study in patients with ROR2 high SCCHN is anticipated to begin dosing patients in first half of 2022. In addition, a multi-center investigator-initiated Phase 2 clinical trial of ozuriftamab vedotin in combination with a PD-1 inhibitor in patients with platinum-resistant ovarian cancer has begun enrollment.</w:t>
      </w:r>
    </w:p>
    <w:p>
      <w:pPr>
        <w:pStyle w:val="TextBody"/>
        <w:spacing w:lineRule="auto" w:line="273" w:before="210" w:after="0"/>
        <w:jc w:val="left"/>
        <w:rPr>
          <w:rFonts w:ascii="Times New Roman" w:hAnsi="Times New Roman"/>
          <w:sz w:val="20"/>
        </w:rPr>
      </w:pPr>
      <w:r>
        <w:rPr>
          <w:rFonts w:ascii="Times New Roman" w:hAnsi="Times New Roman"/>
          <w:b/>
          <w:sz w:val="18"/>
        </w:rPr>
        <w:t>BA3071:</w:t>
      </w:r>
      <w:r>
        <w:rPr>
          <w:rFonts w:ascii="Times New Roman" w:hAnsi="Times New Roman"/>
          <w:sz w:val="20"/>
        </w:rPr>
        <w:t xml:space="preserve"> </w:t>
      </w:r>
      <w:r>
        <w:rPr>
          <w:rFonts w:ascii="Times New Roman" w:hAnsi="Times New Roman"/>
          <w:b w:val="false"/>
          <w:sz w:val="18"/>
        </w:rPr>
        <w:t>Our third product candidate, BA3071, is a CAB anti-CTLA-4 antibody that is being developed as an immuno-oncology agent with the goal of delivering at least the efficacy of approved CTLA-4 antibodies, such as ipilimumab, but with lower toxicity rate as a result of the CAB’s unique tumor microenvironment-restricted binding. CTLA-4, or cytotoxic T-lymphocyte-associated antigen 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currently is the only anti-CTLA-4 monoclonal antibody approved by the FDA. It is approved in combination with an anti-PD-1 antibody, nivolumab, for the treatment of multiple solid tumors, including melanoma, RCC, colorectal cancer and NSCLC. Patients treated with ipilimumab face a risk of a number of adverse events associated with inappropriate activation of the immune system beyond the tumor site including severe and sometimes fatal enterocolitis, hepatitis, dermatitis, neuropathy and endocrinopathy. The usage and dosage of ipilimumab is highly limited due to its safety profile, resulting in the average number of cycles on therapy not exceeding four cycles.</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sz w:val="20"/>
        </w:rPr>
      </w:pPr>
      <w:r>
        <w:rPr>
          <w:rFonts w:ascii="Times New Roman" w:hAnsi="Times New Roman"/>
          <w:b w:val="false"/>
          <w:sz w:val="18"/>
        </w:rPr>
        <w:t>We are developing BA3071 as a potential therapeutic for multiple solid tumor indications, possibly including renal cell carcinoma, NSCLC, small cell lung cancer, hepatocellular carcinoma, melanoma, bladder cancer, gastric cancer and cervical cancer. We have initiated a Phase 1/2 dose-escalation trial of BA3071 as monotherapy and in combination with an anti-PD-1 antibody with expansion cohorts to be enrolled upon identification of the recommended dose.</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sz w:val="18"/>
        </w:rPr>
        <w:t>Bispecific antibody programs:</w:t>
      </w:r>
      <w:r>
        <w:rPr>
          <w:rFonts w:ascii="Times New Roman" w:hAnsi="Times New Roman"/>
          <w:sz w:val="20"/>
        </w:rPr>
        <w:t xml:space="preserve"> </w:t>
      </w:r>
      <w:r>
        <w:rPr>
          <w:rFonts w:ascii="Times New Roman" w:hAnsi="Times New Roman"/>
          <w:b w:val="false"/>
          <w:sz w:val="18"/>
        </w:rPr>
        <w:t>We have also leveraged our CAB technology to develop bispecific antibodies, which bind both a tumor-specific antigen and a T cell receptor using CAB antigen-binding domains. A bispecific antibody is a type of engineered antibody that can simultaneously bind two separate and unique antigens, unlike conventional monospecific antibodies that only bind to one type of target.</w:t>
      </w:r>
    </w:p>
    <w:p>
      <w:pPr>
        <w:pStyle w:val="TextBody"/>
        <w:spacing w:lineRule="auto" w:line="273" w:before="216" w:after="0"/>
        <w:jc w:val="left"/>
        <w:rPr>
          <w:rFonts w:ascii="Times New Roman" w:hAnsi="Times New Roman"/>
          <w:sz w:val="20"/>
        </w:rPr>
      </w:pPr>
      <w:r>
        <w:rPr>
          <w:rFonts w:ascii="Times New Roman" w:hAnsi="Times New Roman"/>
          <w:b w:val="false"/>
          <w:sz w:val="18"/>
        </w:rPr>
        <w:t>A common design feature for a bispecific antibody is to include a T cell engager component (</w:t>
      </w:r>
      <w:r>
        <w:rPr>
          <w:rFonts w:ascii="Times New Roman" w:hAnsi="Times New Roman"/>
          <w:b w:val="false"/>
          <w:i/>
          <w:sz w:val="18"/>
        </w:rPr>
        <w:t>i.e.</w:t>
      </w:r>
      <w:r>
        <w:rPr>
          <w:rFonts w:ascii="Times New Roman" w:hAnsi="Times New Roman"/>
          <w:b w:val="false"/>
          <w:sz w:val="18"/>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 even off-the-shelf or allogeneic CAR-T therapies. The first FDA approved bispecific antibody was a T cell engager, blinatumomab, which contained antigen-binding domains for CD19, an antigen found on B-cell leukemias, and CD3, a T cell activating receptor.</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There are multiple structural variants of antibodies and other antigen-binding domains being used by others to construct bispecific product candidates, some of which are being tested clinically. However, similar to CAR-T cells and blinatumomab, many of these bispecific product candidates have increased risks of generating life-threatening cytokine release syndrome due to systemic immune activation.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applied our CAB antibody technology to develop bispecific CAB antibodies in which one or both antigen-binding domains are active only in the tumor microenvironment. An example of this approach is our EpCAM x CD3 bispecific. EpCAM, or epithelial cell adhesion molecule, is a protein that is over-expressed in many cancers including carcinomas derived from colon, intestine, breast, lung and prostate. Expression of EpCAM has been extensively associated with cell growth and proliferation of both healthy and cancer cells.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EpCAM was one of the first cancer-associated antigens discovered, however in the forty years since, its clinical impact as a target for therapeutic antibodies in cancer has been limited. One of the problems with 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an EpCAM x CD3 bispecific led to over 95% of patients in a Phase 1 dose-escalation trial to experience at least one Grade 3 or above adverse event. Over 20% of patients experienced dose-limiting toxicities and there was only one unconfirmed partial response observed among 65 patients at these low doses.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shown in preclinical experiments that our CAB bispecific molecules meet or exceed the activity of conventional bispecifics and reduce systemic activation of potentially fatal immune responses. We are conducting IND-enabling studies for two CAB bispecific antibody product candidates, EpCAM/CD3 and B7-H3/CD3, and one next-generation CAB ADC, Nectin-4. We presently plan to file INDs in 2022 for EpCAM/CD3 and in 2023 for Nectin-4 and B7-H3/CD3. We also are evaluating additional candidates including EGFR/CD3 bispecific and B7-H4 as a next-generation CAB ADC candidate. Overall, we are advancing multiple pre-clinical assets and expect to file one IND in 2022, with the potential to submit up to three additional US INDs in 2023 for our CAB bispecific or ADC molecules.</w:t>
      </w:r>
    </w:p>
    <w:p>
      <w:pPr>
        <w:pStyle w:val="TextBody"/>
        <w:spacing w:lineRule="auto" w:line="273" w:before="324" w:after="0"/>
        <w:jc w:val="left"/>
        <w:rPr>
          <w:rFonts w:ascii="Times New Roman" w:hAnsi="Times New Roman"/>
          <w:b/>
          <w:sz w:val="18"/>
        </w:rPr>
      </w:pPr>
      <w:r>
        <w:rPr>
          <w:rFonts w:ascii="Times New Roman" w:hAnsi="Times New Roman"/>
          <w:b/>
          <w:sz w:val="18"/>
        </w:rPr>
        <w:t>Our strategy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mission is to develop and commercialize innovative antibody-based therapeutics for the treatment of solid tumors that are designed to bind depending on the physical and chemical properties of tumors and their microenvironment. Our CAB technology enables us to generate antibodies that bind to their targets under conditions found in the tumor, but not in healthy tissue. Therefore, we are able to generate antibodies to targets that to this point have been undruggable due to the lack of sufficient therapeutic window with existing antibody technologies. We are also able to use these antibodies to engage targets that exist not only in tumors, but in healthy tissue as well. This has the potential to reduce side effects and toxicity, one of the fundamental challenges of cancer therapies today, thereby expanding the realm of potential therapeutic antibodies. We believe that our proprietary technology and approach have the potential to transform cancer therapy by decreasing systemic toxicities and improving efficacy. Our strategy to achieve this mission is as follows: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 xml:space="preserve">Advance mecbotamab vedotin through regulatory approval and commercialization. </w:t>
      </w:r>
      <w:r>
        <w:rPr>
          <w:rFonts w:ascii="Times New Roman" w:hAnsi="Times New Roman"/>
          <w:b w:val="false"/>
          <w:sz w:val="18"/>
        </w:rPr>
        <w:t xml:space="preserve">Clinical data from our Phase 1 trial with mecbotamab vedotin are supportive of its development in sarcomas, a set of cancers with a high unmet clinical need. We have initiated a potentially registration-enabling Phase 2 trial for mecbotamab vedotin in treatment refractory sarcoma patients (12 years of age or older), with an AXL TmPS of 50%, patients with an AXL TmPS equal or greater to 70% as the group for the primary analyses, and, if successful, we believe we can further advance mecbotamab vedotin through regulatory approval and commercialization. In addition, we have initiated a potentially registration-enabling Phase 2 trial in NSCLC using a primary AXL TmPS of 1%. We are using a quantitative biomarker assay/TmPS score to identify likely responders and to help enrich our clinical trial programs. </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sz w:val="18"/>
        </w:rPr>
        <w:t>Advance ozuriftamab vedotin in PD-1/L1 refractory tumors through regulatory approval and commercialization.</w:t>
      </w:r>
      <w:r>
        <w:rPr/>
        <w:t xml:space="preserve"> </w:t>
      </w:r>
      <w:r>
        <w:rPr>
          <w:rFonts w:ascii="Times New Roman" w:hAnsi="Times New Roman"/>
          <w:b w:val="false"/>
          <w:sz w:val="18"/>
        </w:rPr>
        <w:t>We have observed antitumor activity in PD-1 refractory NSCLC and melanoma patients in our Phase 1 trial and have initiated a Phase 2 trial of ozuriftamab vedotin in each of these indications. We are using a quantitative biomarker assay/TmPS score to identify and stratify based the TmPS score the likely responders and to help enrich our clinical trial programs.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 xml:space="preserve">Advance BA3071 as a CAB- anti CTLA-4 immune checkpoint inhibitor to restrict T-cell activation to the tumor microenvironment. </w:t>
      </w:r>
      <w:r>
        <w:rPr>
          <w:rFonts w:ascii="Times New Roman" w:hAnsi="Times New Roman"/>
          <w:b w:val="false"/>
          <w:sz w:val="18"/>
        </w:rPr>
        <w:t xml:space="preserve">The design of BA3071 is to provide the efficacy of ipilimumab, the only anti-CTLA-4 monoclonal antibody approved by the FDA, but with a significantly enhanced safety profile. This may allow for patients to be treated at higher dosage and/or for more cycles of treatment in combination with an anti-PD-1 antibody that may lead to better therapeutic results. </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Advance into clinical development multiple CAB bispecific and next generation CAB ADC candidates to further address areas of high unmet needs in treating solid tumors.</w:t>
      </w:r>
      <w:r>
        <w:rPr/>
        <w:t xml:space="preserve"> </w:t>
      </w:r>
      <w:r>
        <w:rPr>
          <w:rFonts w:ascii="Times New Roman" w:hAnsi="Times New Roman"/>
          <w:b w:val="false"/>
          <w:sz w:val="18"/>
        </w:rPr>
        <w:t xml:space="preserve">We believe that our next generation CAB-ADC platform further widens that therapeutic window by enhancing the linker-payload system. In addition, our first CAB EpCAM/CAB CD3 bispecific has recently demonstrated IND-enabling studies with a more than 80-fold improvement in the therapeutic window. Combining our CAB technology with our newly developed next generation CAB-ADC platform replaces the traditional peptide linker with a novel sugar-based linker to deliver the MMAE payload. It is expected that this new CAB ADC system will further reduce off-target, off-tumor toxicity and thereby expand the therapeutic window. </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Maintain and strengthen our intellectual property portfolio.</w:t>
      </w:r>
      <w:r>
        <w:rPr/>
        <w:t xml:space="preserve"> </w:t>
      </w:r>
      <w:r>
        <w:rPr>
          <w:rFonts w:ascii="Times New Roman" w:hAnsi="Times New Roman"/>
          <w:b w:val="false"/>
          <w:sz w:val="18"/>
        </w:rPr>
        <w:t>As of December 31, 2021, we had a total of 584 patents and patent applications with 319 issued patents, 8 allowed applications and 257 pending applications covering our CAB technology and product candidates. This broad patent coverage was designed such that protection of our product candidates is not dependent on any single patent but rather, each product candidate provides multiple layers of protection. We plan to continue to maintain, monitor, enforce and defend our intellectual property.</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sz w:val="18"/>
        </w:rPr>
        <w:t xml:space="preserve">Selectively enter into collaborations to maximize the value of our platform and pipeline. </w:t>
      </w:r>
      <w:r>
        <w:rPr>
          <w:rFonts w:ascii="Times New Roman" w:hAnsi="Times New Roman"/>
          <w:b w:val="false"/>
          <w:sz w:val="18"/>
        </w:rPr>
        <w:t>Given the potential of our technology to generate novel product candidates addressing a wide variety of solid tumors, we may opportunistically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These collaborations could advance and accelerate our programs to maximize their market potential and expand the worldwide commercial potential of our CAB technology and assets.</w:t>
      </w:r>
    </w:p>
    <w:p>
      <w:pPr>
        <w:pStyle w:val="TextBody"/>
        <w:spacing w:lineRule="auto" w:line="273" w:before="324" w:after="0"/>
        <w:jc w:val="left"/>
        <w:rPr>
          <w:rFonts w:ascii="Times New Roman" w:hAnsi="Times New Roman"/>
          <w:b/>
          <w:sz w:val="18"/>
        </w:rPr>
      </w:pPr>
      <w:r>
        <w:rPr>
          <w:rFonts w:ascii="Times New Roman" w:hAnsi="Times New Roman"/>
          <w:b/>
          <w:sz w:val="18"/>
        </w:rPr>
        <w:t>Our technology</w:t>
      </w:r>
    </w:p>
    <w:p>
      <w:pPr>
        <w:pStyle w:val="TextBody"/>
        <w:spacing w:lineRule="auto" w:line="273" w:before="108" w:after="0"/>
        <w:jc w:val="left"/>
        <w:rPr>
          <w:rFonts w:ascii="Times New Roman" w:hAnsi="Times New Roman"/>
          <w:b/>
          <w:i/>
          <w:sz w:val="18"/>
        </w:rPr>
      </w:pPr>
      <w:r>
        <w:rPr>
          <w:rFonts w:ascii="Times New Roman" w:hAnsi="Times New Roman"/>
          <w:b/>
          <w:i/>
          <w:sz w:val="18"/>
        </w:rPr>
        <w:t>Challenges in developing antibody-based therapies for solid tumors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Monoclonal antibody therapeutics have been approved for over 30 targets for multiple diseases, most commonly cancer. Antibodies have become the new backbone of the pharmaceutical industry, which previously relied on small molecules. Treatment with monoclonal antibodies has established itself as one of the most successful therapeutic strategies for both hematologic malignancies and solid tumors. Oncology targets of safe, effective antibodies fall into two broad categories: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Antibodies targeting antigens, usually proteins, preferentially expressed on the surface of cancer cells, against which antibodies are used to directly bind and inhibit or destroy these cells;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Antibodies targeting antigens affecting directly or indirectly tumor cells and non-tumor cells that activate the immune system or induce other changes in the tumor, such as limiting the growth of tumor-related blood vessels.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There are significant limitations of targeting important antigens with traditional antibodies that can result in reduced efficacy, difficulties related to dosing, decreased durability, and drug-related toxicities, all of which significantly limit the potential for cures with traditional antibodies: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Increased toxicity</w:t>
      </w:r>
      <w:r>
        <w:rPr>
          <w:rFonts w:ascii="Times New Roman" w:hAnsi="Times New Roman"/>
          <w:b w:val="false"/>
          <w:sz w:val="18"/>
        </w:rPr>
        <w:t>: Antigens are typically expressed in many normal tissues, which for traditional antibodies, including ADCs, could lead to significant on-target, off-tumor toxicity reducing dosing and durability.</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Target-mediated drug disposition limitation</w:t>
      </w:r>
      <w:r>
        <w:rPr>
          <w:rFonts w:ascii="Times New Roman" w:hAnsi="Times New Roman"/>
          <w:b w:val="false"/>
          <w:sz w:val="18"/>
        </w:rPr>
        <w:t>: Target-mediated drug disposition, or TMDD, is the phenomenon in which a drug binds somewhat indiscriminately to its pharmacological target on normal tissue as well as on the intended diseased tissue, thereby causing the antibody to be depleted more rapidly from circulation. As a consequence, the pharmacokinetic characteristics of the drug can be adversely impacted, leading to reduced half-life, lower tumor exposure, which requires more frequent or higher dosing that increases toxicity and ultimately can result in undesirable side-effects, patient treatment-related inconveniences and greater costs.</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sz w:val="18"/>
        </w:rPr>
        <w:t>Immunogenicity</w:t>
      </w:r>
      <w:r>
        <w:rPr>
          <w:rFonts w:ascii="Times New Roman" w:hAnsi="Times New Roman"/>
          <w:b w:val="false"/>
          <w:sz w:val="18"/>
        </w:rPr>
        <w:t>: Antibodies also can be sensitive to modifications that can lead to immunogenicity, or a strong negative immune system response from the body, which can induce anti-drug antibodies that can reduce efficacy or lead to severe infusion reactions, thereby restricting the potential improvements that could be made with emerging technologies.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 For example, cetuximab targets an antigen that is highly expressed in colorectal cancer, but this antigen is also expressed in epidermal cells throughout the body. Consequently, treatment with cetuximab results in over 80% of patients developing skin toxicities that can severely impact patients’ physical, psychological and social well-being and can lead to treatment discontinuation and dose reduction.</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These examples, however, only represent antibodies where the therapeutic benefit clearly outweighs the consequences associated with the adverse events. There are many potential protein targets that do not offer such clear-cut therapeutic windows. 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p>
    <w:p>
      <w:pPr>
        <w:pStyle w:val="TextBody"/>
        <w:spacing w:lineRule="auto" w:line="273" w:before="324" w:after="0"/>
        <w:jc w:val="left"/>
        <w:rPr>
          <w:rFonts w:ascii="Times New Roman" w:hAnsi="Times New Roman"/>
          <w:b/>
          <w:i/>
          <w:sz w:val="18"/>
        </w:rPr>
      </w:pPr>
      <w:r>
        <w:rPr>
          <w:rFonts w:ascii="Times New Roman" w:hAnsi="Times New Roman"/>
          <w:b/>
          <w:i/>
          <w:sz w:val="18"/>
        </w:rPr>
        <w:t>CAB leverages the low pH found in the tumor microenvironment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tumor microenvironment has been widely implicated in tumorigenesis because it harbors tumor cells that interact with surrounding cells through the circulatory and lymphatic systems to influence the development and progression of cancer. The tumor microenvironment has conditions distinct from the normal cellular and extracellular environments found in non-cancerous tissue, blood or other parts of a normal body. It has been long appreciated that the extracellular milieu inside and surrounding the growing tumor mass is distinct and unique. One of the most profound physicochemical differences between the tumor microenvironment and normal cellular environment is an increase in lactic acid and an associated decrease in pH in the tumor microenvironment from the normal physiological pH of about 7.4 or higher.</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While the tumor is acidic, some of the most acidic regions of tumors can be observed at the edge of the tumors, just at the interface with the surrounding tissue or blood, according to a paper published in 2019 in the journal Cancer Research. In this study, pH low insertion peptide, or pHLIP, a peptide that is taken up by cells at a pH below 6.5, was injected into human tumor-bearing mice. While nearly all tumor cells took up this peptide, normal tissue cells did not take up this peptide except in the liver and kidney, which was expected in a pH-independent manner in order to be metabolized and excreted. As shown in the figure described below, certain regions within the tumor and in the cells at the edge of tumors took up some of the highest concentration of the probe, indicating that these areas had pH substantially lower than 6.5. These findings are important when considering the design of therapies for solid tumors because they point to the fact that while the overall tumor is acidic, the most accessible and rapidly growing portions of tumors are likely to have some of the lowest pHs.</w:t>
      </w:r>
    </w:p>
    <w:p>
      <w:pPr>
        <w:pStyle w:val="TextBody"/>
        <w:spacing w:lineRule="auto" w:line="273" w:before="216" w:after="0"/>
        <w:jc w:val="left"/>
        <w:rPr>
          <w:rFonts w:ascii="Times New Roman" w:hAnsi="Times New Roman"/>
          <w:sz w:val="20"/>
        </w:rPr>
      </w:pPr>
      <w:r>
        <w:rPr>
          <w:rFonts w:ascii="Times New Roman" w:hAnsi="Times New Roman"/>
          <w:b w:val="false"/>
          <w:sz w:val="18"/>
        </w:rPr>
        <w:t>Shown below is a tumor “heat” map identifying the tumor cells that are surrounded by an acid microenvironment. Exploiting the established ability of pHLIP to label the membrane of cells exclusively under acidic conditions (≤ pH 6.5)</w:t>
      </w:r>
      <w:r>
        <w:rPr>
          <w:rFonts w:ascii="Times New Roman" w:hAnsi="Times New Roman"/>
          <w:sz w:val="20"/>
        </w:rPr>
        <w:t xml:space="preserve"> </w:t>
      </w:r>
      <w:r>
        <w:rPr>
          <w:rFonts w:ascii="Times New Roman" w:hAnsi="Times New Roman"/>
          <w:b w:val="false"/>
          <w:i/>
          <w:sz w:val="18"/>
        </w:rPr>
        <w:t>in vivo</w:t>
      </w:r>
      <w:r>
        <w:rPr>
          <w:rFonts w:ascii="Times New Roman" w:hAnsi="Times New Roman"/>
          <w:b w:val="false"/>
          <w:sz w:val="18"/>
        </w:rPr>
        <w:t>, the cells within the acidic areas of the tumor</w:t>
      </w:r>
      <w:r>
        <w:rPr>
          <w:rFonts w:ascii="Times New Roman" w:hAnsi="Times New Roman"/>
          <w:sz w:val="20"/>
        </w:rPr>
        <w:t xml:space="preserve"> </w:t>
      </w:r>
      <w:r>
        <w:rPr>
          <w:rFonts w:ascii="Times New Roman" w:hAnsi="Times New Roman"/>
          <w:b w:val="false"/>
          <w:i/>
          <w:sz w:val="18"/>
        </w:rPr>
        <w:t>in vivo</w:t>
      </w:r>
      <w:r>
        <w:rPr>
          <w:rFonts w:ascii="Times New Roman" w:hAnsi="Times New Roman"/>
          <w:sz w:val="20"/>
        </w:rPr>
        <w:t xml:space="preserve"> </w:t>
      </w:r>
      <w:r>
        <w:rPr>
          <w:rFonts w:ascii="Times New Roman" w:hAnsi="Times New Roman"/>
          <w:b w:val="false"/>
          <w:sz w:val="18"/>
        </w:rPr>
        <w:t>can be identified at the histological level. Mice harboring human breast tumor xenografts were administered Cy7-labeled, or dyed, pHLIP peptide and the tumor tissues were later removed and processed for imaging. Shown on the left is a micrograph of the tumor with the cell-based segmentation data overlayed, including positional information relative to tumor edge. The degree of positivity generated in the above analysis was used to identify a 0-3+ positive cells. Note that the acidic areas extend beyond the traditional hypoxic core of the tumor into the aerobic and oxygenated cells at the invasive fronts at the tumor–stroma interface</w:t>
      </w:r>
      <w:r>
        <w:rPr>
          <w:rFonts w:ascii="Times New Roman" w:hAnsi="Times New Roman"/>
          <w:sz w:val="20"/>
        </w:rPr>
        <w:t xml:space="preserve"> </w:t>
      </w:r>
      <w:r>
        <w:rPr>
          <w:rFonts w:ascii="Times New Roman" w:hAnsi="Times New Roman"/>
          <w:b w:val="false"/>
          <w:i/>
          <w:sz w:val="18"/>
        </w:rPr>
        <w:t>in vivo</w:t>
      </w:r>
      <w:r>
        <w:rPr>
          <w:rFonts w:ascii="Times New Roman" w:hAnsi="Times New Roman"/>
          <w:b w:val="false"/>
          <w:sz w:val="18"/>
        </w:rPr>
        <w:t>. Shown on the right is the breakdown of cancer cells types that are identified by pHLIP acidic cell staining</w:t>
      </w:r>
      <w:r>
        <w:rPr>
          <w:rFonts w:ascii="Times New Roman" w:hAnsi="Times New Roman"/>
          <w:sz w:val="20"/>
        </w:rPr>
        <w:t xml:space="preserve"> </w:t>
      </w:r>
      <w:r>
        <w:rPr>
          <w:rFonts w:ascii="Times New Roman" w:hAnsi="Times New Roman"/>
          <w:b w:val="false"/>
          <w:i/>
          <w:sz w:val="18"/>
        </w:rPr>
        <w:t>in vivo</w:t>
      </w:r>
      <w:r>
        <w:rPr>
          <w:rFonts w:ascii="Times New Roman" w:hAnsi="Times New Roman"/>
          <w:b w:val="false"/>
          <w:sz w:val="18"/>
        </w:rPr>
        <w:t>. A majority of the cells identified are oxygenated and actively replicating tumor cells, and even the non-dividing cancers cells still maintain an acidic environment.</w:t>
      </w:r>
    </w:p>
    <w:p>
      <w:pPr>
        <w:pStyle w:val="TextBody"/>
        <w:spacing w:lineRule="auto" w:line="273" w:before="210" w:after="0"/>
        <w:jc w:val="center"/>
        <w:rPr>
          <w:rFonts w:ascii="Times New Roman" w:hAnsi="Times New Roman"/>
          <w:b/>
          <w:sz w:val="18"/>
        </w:rPr>
      </w:pPr>
      <w:r>
        <w:rPr>
          <w:rFonts w:ascii="Times New Roman" w:hAnsi="Times New Roman"/>
          <w:b/>
          <w:sz w:val="18"/>
        </w:rPr>
        <w:t>Tumor “Heat” Map</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4486275" cy="2247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86275" cy="2247900"/>
                    </a:xfrm>
                    <a:prstGeom prst="rect">
                      <a:avLst/>
                    </a:prstGeom>
                  </pic:spPr>
                </pic:pic>
              </a:graphicData>
            </a:graphic>
          </wp:inline>
        </w:drawing>
      </w:r>
      <w:r>
        <w:rPr/>
        <w:t> </w:t>
      </w:r>
    </w:p>
    <w:p>
      <w:pPr>
        <w:pStyle w:val="TextBody"/>
        <w:spacing w:lineRule="auto" w:line="273" w:before="216" w:after="0"/>
        <w:jc w:val="center"/>
        <w:rPr>
          <w:rFonts w:ascii="Times New Roman" w:hAnsi="Times New Roman"/>
          <w:sz w:val="20"/>
        </w:rPr>
      </w:pPr>
      <w:r>
        <w:rPr>
          <w:rFonts w:ascii="Times New Roman" w:hAnsi="Times New Roman"/>
          <w:b/>
          <w:sz w:val="18"/>
        </w:rPr>
        <w:t>Tumors are highly acidic based on the uptake of pHLIP, a pH-sensitive probe. While the entire tumor is acidic, the lowest pH cells are observed in the replicating cells, which are glycolytic and often oxygenated,</w:t>
      </w:r>
      <w:r>
        <w:rPr>
          <w:rFonts w:ascii="Times New Roman" w:hAnsi="Times New Roman"/>
          <w:sz w:val="20"/>
        </w:rPr>
        <w:t xml:space="preserve"> </w:t>
      </w:r>
      <w:r>
        <w:rPr>
          <w:rFonts w:ascii="Times New Roman" w:hAnsi="Times New Roman"/>
          <w:b/>
          <w:i/>
          <w:sz w:val="18"/>
        </w:rPr>
        <w:t>i.e.</w:t>
      </w:r>
      <w:r>
        <w:rPr>
          <w:rFonts w:ascii="Times New Roman" w:hAnsi="Times New Roman"/>
          <w:b/>
          <w:sz w:val="18"/>
        </w:rPr>
        <w:t>, the Warburg Effect.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One reason for the low pH in tumors compared to normal cells is that there are distinct differences in the metabolic processes found in normal and cancer cells. Normal cells generate the energy they need primarily through the oxygen-dependent process called oxidative phosphorylation. In comparison, cancer cells have switched their mechanism of energy production preferentially to the non-oxygen-dependent process known as glycolysis, even in the presence and availability of oxygen. This process switch was first described nearly a century ago and is the basis of modern tumor screening technologies. The dependence of a tumor cell on glycolysis results in the tumor cell metabolizing up to 200 times more glucose than a healthy cell and causing the secretion of significant levels of lactic acid into the tumor microenvironment. This inherent buildup of lactic acid in the tumor microenvironment has been shown to reduce immune cell function and modulate other defense mechanisms of the body, promoting tumor growth and tumor survival. The presence of lactic acid in the tumor microenvironment causes it to have a distinctly acidic pH of less than 6.8 and even lower at the tumor cell surface, a pH so low that it is rarely found in the body except in organs designed for low pH, such as the stomach, where antibodies in the blood do not access, and in special circumstances, such as cancer. In some cancers, the pH goes as low as 5.8, an extremely low level given the normal, slightly alkaline, pH in the body. The body's blood holds its pH within a tight range around a pH of 7.4, with normal tissue typically being even more alkaline, even in the non-cancerous regions of tissues afflicted with cancer.</w:t>
      </w:r>
    </w:p>
    <w:p>
      <w:pPr>
        <w:pStyle w:val="TextBody"/>
        <w:spacing w:lineRule="auto" w:line="273" w:before="216" w:after="0"/>
        <w:jc w:val="left"/>
        <w:rPr>
          <w:rFonts w:ascii="Times New Roman" w:hAnsi="Times New Roman"/>
          <w:sz w:val="20"/>
        </w:rPr>
      </w:pPr>
      <w:r>
        <w:rPr>
          <w:rFonts w:ascii="Times New Roman" w:hAnsi="Times New Roman"/>
          <w:b w:val="false"/>
          <w:sz w:val="18"/>
        </w:rPr>
        <w:t>These pH differences provide a clear correlation between low pH and cancer, one that is borne out in the aforementioned experiments that measure the uptake by cells of the peptide pH tracer pHLIP. These cells are found to have high levels of lactate dehydrogenase, an enzyme that produces the sugar lactate,</w:t>
      </w:r>
      <w:r>
        <w:rPr>
          <w:rFonts w:ascii="Times New Roman" w:hAnsi="Times New Roman"/>
          <w:sz w:val="20"/>
        </w:rPr>
        <w:t xml:space="preserve"> </w:t>
      </w:r>
      <w:r>
        <w:rPr>
          <w:rFonts w:ascii="Times New Roman" w:hAnsi="Times New Roman"/>
          <w:b w:val="false"/>
          <w:i/>
          <w:sz w:val="18"/>
        </w:rPr>
        <w:t>i.e.,</w:t>
      </w:r>
      <w:r>
        <w:rPr>
          <w:rFonts w:ascii="Times New Roman" w:hAnsi="Times New Roman"/>
          <w:sz w:val="20"/>
        </w:rPr>
        <w:t xml:space="preserve"> </w:t>
      </w:r>
      <w:r>
        <w:rPr>
          <w:rFonts w:ascii="Times New Roman" w:hAnsi="Times New Roman"/>
          <w:b w:val="false"/>
          <w:sz w:val="18"/>
        </w:rPr>
        <w:t>lactic acid. Lactate production and secretion are well-known features of glycolysis. Similarly, there is a strong correlation between the uptake of pHLIP and the expression of markers of aggressive tumor growth such as Ki67.</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Tumors not only have characteristically low pH, which assists them in reducing the body’s immune defenses, along with acidity they also generate other aberrant conditions and secrete other chemicals and proteins into the tumor microenvironment that may stimulate tumor growth, promote the development of new blood vessels or angiogenesis, degrade surrounding tissues allowing the tumor to spread or metastasize or actively suppress detection and destruction by the immune system. In view of our preclinical studies and clinical trial results and the substantial supporting scientific literature, we believe that there is an opportunity to develop cancer therapies with improved selectivity for tumors by taking advantage of changes in pH, as do our initial product candidates, as well as in the conditions and levels of temperature, pressure and chemical composition in the tumor microenvironment.</w:t>
      </w:r>
    </w:p>
    <w:p>
      <w:pPr>
        <w:pStyle w:val="TextBody"/>
        <w:spacing w:lineRule="auto" w:line="273" w:before="324" w:after="0"/>
        <w:jc w:val="left"/>
        <w:rPr>
          <w:rFonts w:ascii="Times New Roman" w:hAnsi="Times New Roman"/>
          <w:b/>
          <w:i/>
          <w:sz w:val="18"/>
        </w:rPr>
      </w:pPr>
      <w:r>
        <w:rPr>
          <w:rFonts w:ascii="Times New Roman" w:hAnsi="Times New Roman"/>
          <w:b/>
          <w:i/>
          <w:sz w:val="18"/>
        </w:rPr>
        <w:t>Our CAB technology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CABs are based on our patented protein discovery and engineering technology. We invented, developed and refined this technology, which we believe selectively activates the binding of proteins and antibodies to targeted cells in the tumor microenvironment based on differences in local conditions such as pH, temperature, pressure or chemical composition compared to normal healthy tissue. We have shown that activity of our CAB biologics is reversible; not only are they active due to the low pH levels of the tumor microenvironment, but also, unlike prodrugs, they are reversibly inactive when they leave the tumor microenvironment and are in a normal physiological environment.</w:t>
      </w:r>
    </w:p>
    <w:p>
      <w:pPr>
        <w:pStyle w:val="TextBody"/>
        <w:spacing w:lineRule="auto" w:line="273" w:before="216" w:after="0"/>
        <w:jc w:val="left"/>
        <w:rPr>
          <w:rFonts w:ascii="Times New Roman" w:hAnsi="Times New Roman"/>
          <w:sz w:val="20"/>
        </w:rPr>
      </w:pPr>
      <w:r>
        <w:rPr>
          <w:rFonts w:ascii="Times New Roman" w:hAnsi="Times New Roman"/>
          <w:b w:val="false"/>
          <w:sz w:val="18"/>
        </w:rPr>
        <w:t>Our CAB technology capitalizes on the well-established Warburg Effect that through a glycolytic process leads to an acidic external tumor microenvironment. Extracellular pH levels in tumors have been measured to be as low as pH 5.8 compared to the tightly controlled, alkaline, pH7.4 of blood, with even higher pH in healthy tissues. Glycolytic metabolism is also the basis of the established PET scanning technology for detection of cancerous tumors. CAB proteins have increased binding activity as the pH in the microenvironment becomes acidic, while being inactive in normal physiological environments. We discovered a novel chemical switch mechanism that underpins this binding activity that involves physiological-occurring chemicals, such as bicarbonate and hydrogen sulfide. These molecules are negatively charged at physiological conditions and interact with positive charged areas on the protein surface. Under acidic conditions found in the tumor microenvironment, these charged molecules are neutralized by the H+ ions and released from the protein surface, uniquely allowing CAB antibodies to bind to their target and attack the tumor cell. We refer to this novel physiological mechanism, used for generating CABs, as Protein-associated Chemical Switch(es)</w:t>
      </w:r>
      <w:r>
        <w:rPr>
          <w:rFonts w:ascii="Times New Roman" w:hAnsi="Times New Roman"/>
          <w:b w:val="false"/>
          <w:sz w:val="12"/>
        </w:rPr>
        <w:t>TM</w:t>
      </w:r>
      <w:r>
        <w:rPr>
          <w:rFonts w:ascii="Times New Roman" w:hAnsi="Times New Roman"/>
          <w:sz w:val="20"/>
        </w:rPr>
        <w:t xml:space="preserve"> </w:t>
      </w:r>
      <w:r>
        <w:rPr>
          <w:rFonts w:ascii="Times New Roman" w:hAnsi="Times New Roman"/>
          <w:b w:val="false"/>
          <w:sz w:val="18"/>
        </w:rPr>
        <w:t>or PaCS</w:t>
      </w:r>
      <w:r>
        <w:rPr>
          <w:rFonts w:ascii="Times New Roman" w:hAnsi="Times New Roman"/>
          <w:b w:val="false"/>
          <w:sz w:val="12"/>
        </w:rPr>
        <w:t>TM</w:t>
      </w:r>
      <w:r>
        <w:rPr>
          <w:rFonts w:ascii="Times New Roman" w:hAnsi="Times New Roman"/>
          <w:sz w:val="20"/>
        </w:rPr>
        <w:t xml:space="preserve"> </w:t>
      </w:r>
      <w:r>
        <w:rPr>
          <w:rFonts w:ascii="Times New Roman" w:hAnsi="Times New Roman"/>
          <w:b w:val="false"/>
          <w:sz w:val="18"/>
        </w:rPr>
        <w:t>mechanism. The ability to design conditionally active therapeutics with strong selectivity over narrower pH ranges using the PaCS mechanism, offers the opportunity to greatly enhance both the safety and potency of future therapies for solid tumors.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(i.e. low pH). CAB antibodies have human or humanized antibody sequences, a characteristic that reduces the risk of immunogenicity compared to emerging technologies in the field, which is supported by both our preclinical and clinical data.</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CAB antibodies have been designed to be active in the acidic, lower pH of the tumor microenvironment and inactive under the alkaline pH’s of 7.4 and above found in normal physiological conditions. In a quantitative in vitro binding assay, we compared a CAB antibody and a non-CAB antibody that both bind to the target AXL with matched strength of binding to the target, or affinities, when measured at pH 6.0. As shown in the figure below, binding of the CAB antibody was highly sensitive to pH with binding becoming much weaker as it approached pH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center"/>
        <w:rPr>
          <w:rFonts w:ascii="Times New Roman" w:hAnsi="Times New Roman"/>
          <w:b/>
          <w:sz w:val="18"/>
        </w:rPr>
      </w:pPr>
      <w:r>
        <w:rPr>
          <w:rFonts w:ascii="Times New Roman" w:hAnsi="Times New Roman"/>
          <w:b/>
          <w:sz w:val="18"/>
        </w:rPr>
        <w:t>pH-dependent binding of CAB AXL antibodies vs. non-CAB AXL antibodies</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191125" cy="2495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91125" cy="2495550"/>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CAB antibodies have pH-dependent binding. Traditional antibodies do not have pH-dependent binding in the pH range tested.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Low pH-dependent CAB antibodies are far less likely to bind to targets outside of tumors, resulting in a number of potential advantages over traditional antibodies: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Wide therapeutic window.</w:t>
      </w:r>
      <w:r>
        <w:rPr/>
        <w:t xml:space="preserve"> </w:t>
      </w:r>
      <w:r>
        <w:rPr>
          <w:rFonts w:ascii="Times New Roman" w:hAnsi="Times New Roman"/>
          <w:b w:val="false"/>
          <w:sz w:val="18"/>
        </w:rPr>
        <w:t>Reduced binding to target antigens outside of the tumor has the potential to reduce toxicities that arise from systemic exposure. We believe this may enable higher doses or increased potency to be safely delivered to patients with the potential for increased efficacy.</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Opportunity to increase tumor-specific killing.</w:t>
      </w:r>
      <w:r>
        <w:rPr/>
        <w:t xml:space="preserve"> </w:t>
      </w:r>
      <w:r>
        <w:rPr>
          <w:rFonts w:ascii="Times New Roman" w:hAnsi="Times New Roman"/>
          <w:b w:val="false"/>
          <w:sz w:val="18"/>
        </w:rPr>
        <w:t>The wide therapeutic window imparted by tumor-specific targeting enables CAB antibodies to be modified with cytotoxic drugs to create ADCs. Similarly, bispecific antibodies can be developed using CAB antibody domains targeting pairs of targets that direct T cells to attack the tumor, which may exhibit unacceptable toxicities such as cytokine release syndrome and neurological toxicity if constructed using traditional antibody domains.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Increased drug exposure to tumors.</w:t>
      </w:r>
      <w:r>
        <w:rPr/>
        <w:t xml:space="preserve"> </w:t>
      </w:r>
      <w:r>
        <w:rPr>
          <w:rFonts w:ascii="Times New Roman" w:hAnsi="Times New Roman"/>
          <w:b w:val="false"/>
          <w:sz w:val="18"/>
        </w:rPr>
        <w:t>Limited binding to targets outside of tumors allows more of the administered CAB antibodies to be available to bind to target sites in the tumor, potentially increasing the concentrations and exposure of these antibodies in tumors.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Improved pharmacokinetics.</w:t>
      </w:r>
      <w:r>
        <w:rPr/>
        <w:t xml:space="preserve"> </w:t>
      </w:r>
      <w:r>
        <w:rPr>
          <w:rFonts w:ascii="Times New Roman" w:hAnsi="Times New Roman"/>
          <w:b w:val="false"/>
          <w:sz w:val="18"/>
        </w:rPr>
        <w:t>Limited binding to targets outside of tumors effectively increases their half-life in plasma. The phenomenon of TMDD is a well-known limitation facing the development of many biologics which CAB antibodies can significantly reduce.</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sz w:val="18"/>
        </w:rPr>
        <w:t>Broader universe of tumor-specific antigens that can be targeted.</w:t>
      </w:r>
      <w:r>
        <w:rPr/>
        <w:t xml:space="preserve"> </w:t>
      </w:r>
      <w:r>
        <w:rPr>
          <w:rFonts w:ascii="Times New Roman" w:hAnsi="Times New Roman"/>
          <w:b w:val="false"/>
          <w:sz w:val="18"/>
        </w:rPr>
        <w:t>There are few highly prevalent tumor-specific antigens expressed on solid tumors that are not expressed at some level in normal tissues, particularly for solid tumors, which represent approximately 90% of tumor types. While some targets, such as EGFR, can be targeted by traditional antibodies with some acceptable level of toxicity in a subset of patients, many other potential targets cannot. CAB antibodies with pH-dependent binding have the potential to significantly reduce the potential risk of systemic toxicities caused by expression of targets on normal tissues.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An important emerging class of antibodies is ADCs. An ADC is a modified antibody that generally has a chemotherapy agent attached to the antibody to enable more targeted chemotherapy treatment of a tumor.</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Unfortunately, ADCs frequently bind to targets on normal cells and can lead to severe toxicities. In order to evaluate the CAB technology’s ability to eliminate the on-target, off-tumor toxicities, we generated two ADCs during our preclinical testing: one using a CAB antibody to AXL and another using a traditional non-CAB AXL antibody. Within three days of dosing non-human primates with the traditional non-CAB ADC, the levels of alanine aminotransferase, or ALT, a sign of liver toxicity, increased sharply. Dosing with the CAB ADC resulted in minimal increase in ALT, supporting that on-target, off-tumor toxicity is reduced with the CAB ADC.</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also observed that the plasma concentration and half-life of the CAB ADC were higher than that of the traditional non-CAB ADC. We demonstrated a dose dependency of this observation, which indicates that the primary driver of this absence of TMDD effect with CAB ADC is due to the reduced binding of the CAB ADC to AXL outside of the tumor microenvironment.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CAB technology was studied in robust Phase 1 clinical trials for our two leading clinical programs, which have shown the following:</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18"/>
          <w:u w:val="single"/>
        </w:rPr>
        <w:t>Objective antitumor responses</w:t>
      </w:r>
      <w:r>
        <w:rPr>
          <w:rFonts w:ascii="Times New Roman" w:hAnsi="Times New Roman"/>
          <w:b w:val="false"/>
          <w:sz w:val="18"/>
        </w:rPr>
        <w:t>: We observed multiple confirmed partial clinical responses (at least 30% reduction in tumor size for at least two consecutive time points) in our Phase 1 data for both mecbotamab vedotin and ozuriftamab vedotin, including in one patient tumor volume shrinkage of more than 90% and another with a complete response (CR), and several patients who remain without tumor progression for more than one year.</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18"/>
          <w:u w:val="single"/>
        </w:rPr>
        <w:t>Antitumor activity correlates with a proprietary biomarker</w:t>
      </w:r>
      <w:r>
        <w:rPr>
          <w:rFonts w:ascii="Times New Roman" w:hAnsi="Times New Roman"/>
          <w:b w:val="false"/>
          <w:sz w:val="18"/>
        </w:rPr>
        <w:t>: The presence of the relevant target on a high percentage of tumor cells appeared to correlate with increased antitumor activity.</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sz w:val="18"/>
          <w:u w:val="single"/>
        </w:rPr>
        <w:t>Safety and tolerability</w:t>
      </w:r>
      <w:r>
        <w:rPr>
          <w:rFonts w:ascii="Times New Roman" w:hAnsi="Times New Roman"/>
          <w:b w:val="false"/>
          <w:sz w:val="18"/>
        </w:rPr>
        <w:t>: Mecbotamab vedotin and ozuriftamab vedotin were generally well-tolerated at the recommended Phase 2 dose range, which is positively differentiated from both preclinical and cross-trial trial results for a similar non-CAB ADC. Side- effects have been generally manageable with our CAB ADC product candidates, with some patients able to receive more than a year of treatment.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Through the use of our proprietary technology, we have developed CAB antibodies, which we believe have specificity for tumors, while avoiding binding to the same antigen target expressed on many normal tissues. This allows us to develop therapeutics against targets that are expressed at high levels on tumors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 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pStyle w:val="TextBody"/>
        <w:spacing w:lineRule="auto" w:line="273" w:before="324" w:after="0"/>
        <w:jc w:val="left"/>
        <w:rPr>
          <w:rFonts w:ascii="Times New Roman" w:hAnsi="Times New Roman"/>
          <w:b/>
          <w:sz w:val="18"/>
        </w:rPr>
      </w:pPr>
      <w:r>
        <w:rPr>
          <w:rFonts w:ascii="Times New Roman" w:hAnsi="Times New Roman"/>
          <w:b/>
          <w:sz w:val="18"/>
        </w:rPr>
        <w:t>Clinical trials</w:t>
      </w:r>
    </w:p>
    <w:p>
      <w:pPr>
        <w:pStyle w:val="TextBody"/>
        <w:spacing w:lineRule="auto" w:line="273" w:before="108" w:after="0"/>
        <w:jc w:val="left"/>
        <w:rPr>
          <w:rFonts w:ascii="Times New Roman" w:hAnsi="Times New Roman"/>
          <w:b/>
          <w:i/>
          <w:sz w:val="18"/>
        </w:rPr>
      </w:pPr>
      <w:r>
        <w:rPr>
          <w:rFonts w:ascii="Times New Roman" w:hAnsi="Times New Roman"/>
          <w:b/>
          <w:i/>
          <w:sz w:val="18"/>
        </w:rPr>
        <w:t>Mecbotamab Vedotin (BA3011)</w:t>
      </w:r>
    </w:p>
    <w:p>
      <w:pPr>
        <w:pStyle w:val="TextBody"/>
        <w:spacing w:lineRule="auto" w:line="273" w:before="108" w:after="0"/>
        <w:jc w:val="left"/>
        <w:rPr>
          <w:rFonts w:ascii="Times New Roman" w:hAnsi="Times New Roman"/>
          <w:b w:val="false"/>
          <w:i/>
          <w:sz w:val="18"/>
          <w:u w:val="single"/>
        </w:rPr>
      </w:pPr>
      <w:r>
        <w:rPr>
          <w:rFonts w:ascii="Times New Roman" w:hAnsi="Times New Roman"/>
          <w:b w:val="false"/>
          <w:i/>
          <w:sz w:val="18"/>
          <w:u w:val="single"/>
        </w:rPr>
        <w:t>Phase 1 clinical trial</w:t>
      </w:r>
    </w:p>
    <w:p>
      <w:pPr>
        <w:pStyle w:val="TextBody"/>
        <w:spacing w:lineRule="auto" w:line="273" w:before="108" w:after="0"/>
        <w:jc w:val="left"/>
        <w:rPr>
          <w:rFonts w:ascii="Times New Roman" w:hAnsi="Times New Roman"/>
          <w:sz w:val="20"/>
        </w:rPr>
      </w:pPr>
      <w:r>
        <w:rPr>
          <w:rFonts w:ascii="Times New Roman" w:hAnsi="Times New Roman"/>
          <w:b w:val="false"/>
          <w:sz w:val="18"/>
        </w:rPr>
        <w:t>We have completed a Phase 1 trial of mecbotamab vedotin in patients with advanced solid tumors, including sarcoma, pancreatic cancer and NSCLC who were refractory or resistant to standard therapies. In the Phase 1 trial, a total of 60 patients, including 26 patients with sarcoma, were treated with doses of mecbotamab vedotin ranging from 0.3 mg/kg to 3 mg/kg once every three weeks (Q3W) or doses ranging from 1.2 mg/kg to 1.8 mg/kg twice every three weeks on days 1 and 8 (2Q3W). The Phase 1 sarcoma patients on average had received four or more prior lines of therapy. The solid tumor types enrolled in this study were: soft tissue sarcoma (22 subjects), pancreatic (12 subjects), NSCLC (4 subjects), colorectal (4 subjects), melanoma (3 subjects), bladder (2 subjects), endometrial (2 subjects), Ewing sarcoma (2 subjects), non-TNBC, osteosarcoma, chondrosarcoma, myoepithelial carcinoma, adenoid cystic carcinoma, small cell lung, renal cell carcinoma and mesothelioma of the pleura (1 subject each).</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The main goals of this trial were to evaluate the safety, tolerability, antitumor activity, pharmacokinetics and immunogenicity of BA3011 in solid tumor patients. Based upon the overall safety and response rates, the recommended Phase 2 dose was determined to be 1.8 mg/kg delivered every two weeks (Q2W).</w:t>
        <w:br/>
      </w:r>
      <w:r>
        <w:rPr>
          <w:rFonts w:ascii="Times New Roman" w:hAnsi="Times New Roman"/>
          <w:sz w:val="20"/>
        </w:rPr>
        <w:t> </w:t>
      </w:r>
    </w:p>
    <w:p>
      <w:pPr>
        <w:pStyle w:val="TextBody"/>
        <w:spacing w:lineRule="auto" w:line="273" w:before="108" w:after="0"/>
        <w:jc w:val="left"/>
        <w:rPr>
          <w:rFonts w:ascii="Times New Roman" w:hAnsi="Times New Roman"/>
          <w:b w:val="false"/>
          <w:i/>
          <w:sz w:val="18"/>
          <w:u w:val="single"/>
        </w:rPr>
      </w:pPr>
      <w:r>
        <w:rPr>
          <w:rFonts w:ascii="Times New Roman" w:hAnsi="Times New Roman"/>
          <w:b w:val="false"/>
          <w:i/>
          <w:sz w:val="18"/>
          <w:u w:val="single"/>
        </w:rPr>
        <w:t>Antitumor activity</w:t>
      </w:r>
    </w:p>
    <w:p>
      <w:pPr>
        <w:pStyle w:val="TextBody"/>
        <w:spacing w:lineRule="auto" w:line="273" w:before="108" w:after="0"/>
        <w:jc w:val="left"/>
        <w:rPr>
          <w:rFonts w:ascii="Times New Roman" w:hAnsi="Times New Roman"/>
          <w:sz w:val="20"/>
        </w:rPr>
      </w:pPr>
      <w:r>
        <w:rPr>
          <w:rFonts w:ascii="Times New Roman" w:hAnsi="Times New Roman"/>
          <w:b w:val="false"/>
          <w:sz w:val="18"/>
        </w:rPr>
        <w:t>We evaluated overall response (OR), one of our secondary endpoints, and observed five confirmed partial responses (a reduction of at least 30% in the size of the tumor), four in patients with sarcomas and one with NSCLC. These responses have been shown to be durable (8-15 months in sarcoma patients; duration of response, or DoR, is one of our secondary endpoints). Further, additional patients have experienced prolonged progression-free intervals, a period of time where the existing tumor did not measurably increase in size by more than 20% and no new tumors were known to develop. The toxicities observed were consistent with those described with MMAE-based ADCs and were well-tolerated at the exposure subsequently employed for Phase 2. Importantly we have not observed adverse events that appeared to be related to on-target injury of normal, AXL expressing tissues, i.e., on-target, off-tumor toxicity, consistent with the increase in tumor selectivity from the CAB technology.</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center"/>
        <w:rPr/>
      </w:pPr>
      <w:r>
        <w:rPr/>
        <w:drawing>
          <wp:inline distT="0" distB="0" distL="0" distR="0">
            <wp:extent cx="5029200" cy="3514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29200" cy="3514725"/>
                    </a:xfrm>
                    <a:prstGeom prst="rect">
                      <a:avLst/>
                    </a:prstGeom>
                  </pic:spPr>
                </pic:pic>
              </a:graphicData>
            </a:graphic>
          </wp:inline>
        </w:drawing>
      </w:r>
      <w:r>
        <w:rPr/>
        <w:t> </w:t>
      </w:r>
    </w:p>
    <w:p>
      <w:pPr>
        <w:pStyle w:val="TextBody"/>
        <w:spacing w:lineRule="auto" w:line="273" w:before="216" w:after="0"/>
        <w:jc w:val="center"/>
        <w:rPr>
          <w:rFonts w:ascii="Times New Roman" w:hAnsi="Times New Roman"/>
          <w:sz w:val="20"/>
        </w:rPr>
      </w:pPr>
      <w:r>
        <w:rPr>
          <w:rFonts w:ascii="Times New Roman" w:hAnsi="Times New Roman"/>
          <w:b/>
          <w:sz w:val="18"/>
        </w:rPr>
        <w:t>Antitumor response over time by AXL expression for evaluable sarcoma patients enrolled in Phase 1 trial at all BA3011 doses tested</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val="false"/>
          <w:sz w:val="18"/>
        </w:rPr>
        <w:t xml:space="preserve">We developed and validated, as required by CLIA (the Clinical Laboratory Improvement Amendments, or CLIA, which establishes federal quality standards for laboratory testing), an AXL immunohistochemical assay to quantify the level of target expression on the tumor membrane and cytoplasm. An independent board-certified pathologist scored all samples according to this TmPS scoring scheme determined by us during the clinical validation phase, as well as during the Phase 1 trial. </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We observed that approximately 57% of sarcoma patients screened for enrollment had an AXL TmPS of 70% or above. In addition, we identified a correlation between the expression of AXL on the membrane of tumor cells and the observed antitumor clinical response as shown in the figure below. Four of seven sarcoma patients with a confirmed AXL TmPS of 70% or above who were dosed with 1.8 mg/kg of BA3011 Q3W or 2Q3W achieved a confirmed partial response.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center"/>
        <w:rPr/>
      </w:pPr>
      <w:r>
        <w:rPr/>
        <w:drawing>
          <wp:inline distT="0" distB="0" distL="0" distR="0">
            <wp:extent cx="4286250" cy="3409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286250" cy="3409950"/>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Change in sum of target lesions (best response) by AXL TmPS category for Phase 1 evaluable patients at all BA3011 doses tested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Focusing on the subset of sarcoma patients who were dosed with 1.8 mg/kg Q3W or 2Q3W of BA3011 with TmPS of 70%, we observed a correlation of the AXL TmPS and antitumor response. As shown below, five out of six patients with multiple subtypes of sarcoma experienced reductions in tumor volume and four of these five patients achieved confirmed partial responses (observed response for at least two consecutive time points). We are confirming this observed correlation and the TmPS cut-off of 70% or more in our ongoing Phase 2 studies.</w:t>
      </w:r>
    </w:p>
    <w:p>
      <w:pPr>
        <w:pStyle w:val="TextBody"/>
        <w:spacing w:lineRule="auto" w:line="273" w:before="210" w:after="0"/>
        <w:jc w:val="center"/>
        <w:rPr>
          <w:rFonts w:ascii="Times New Roman" w:hAnsi="Times New Roman"/>
          <w:sz w:val="20"/>
        </w:rPr>
      </w:pPr>
      <w:r>
        <w:rPr>
          <w:rFonts w:ascii="Times New Roman" w:hAnsi="Times New Roman"/>
          <w:b/>
          <w:sz w:val="18"/>
        </w:rPr>
        <w:t>Best response for sarcoma patients with confirmed TmPS of 70% or above administered 1.8mg/kg Q3W or 2Q3W</w:t>
      </w:r>
      <w:r>
        <w:rPr>
          <w:rFonts w:ascii="Times New Roman" w:hAnsi="Times New Roman"/>
          <w:sz w:val="20"/>
        </w:rPr>
        <w:t xml:space="preserve"> </w:t>
      </w:r>
    </w:p>
    <w:p>
      <w:pPr>
        <w:pStyle w:val="TextBody"/>
        <w:spacing w:lineRule="auto" w:line="273" w:before="0" w:after="0"/>
        <w:jc w:val="center"/>
        <w:rPr/>
      </w:pPr>
      <w:r>
        <w:rPr/>
        <w:drawing>
          <wp:inline distT="0" distB="0" distL="0" distR="0">
            <wp:extent cx="5048250" cy="4057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048250" cy="4057650"/>
                    </a:xfrm>
                    <a:prstGeom prst="rect">
                      <a:avLst/>
                    </a:prstGeom>
                  </pic:spPr>
                </pic:pic>
              </a:graphicData>
            </a:graphic>
          </wp:inline>
        </w:drawing>
      </w: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One patient with leiomyosarcoma who had experienced failure of multiple prior treatments had a 37% reduction in tumor volume while receiving 1.8 mg/kg Q3W BA3011, as shown in the figure below. After over a year of treatment with BA3011, the residual tumor mass was reduced to a sufficient degree, enabling a successful surgical resection.</w:t>
      </w:r>
    </w:p>
    <w:p>
      <w:pPr>
        <w:pStyle w:val="TextBody"/>
        <w:spacing w:lineRule="auto" w:line="273" w:before="210" w:after="0"/>
        <w:jc w:val="center"/>
        <w:rPr>
          <w:rFonts w:ascii="Times New Roman" w:hAnsi="Times New Roman"/>
          <w:b/>
          <w:sz w:val="18"/>
        </w:rPr>
      </w:pPr>
      <w:r>
        <w:rPr>
          <w:rFonts w:ascii="Times New Roman" w:hAnsi="Times New Roman"/>
          <w:b/>
          <w:sz w:val="18"/>
        </w:rPr>
        <w:t>CT scan of leiomyosarcoma patient after BA3011 treatment</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4562475" cy="2352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62475" cy="2352675"/>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CT scan of a 70 mm leiomyosarcoma tumor which decreased in size with BA3011 treatment (confirmed PR) and after a year of therapy was removed by surgical resection.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Of the four patients with NSCLC enrolled in our Phase 1 clinical trial, two were AXL negative with a TmPS of 0%, one was not evaluable, and one was AXL positive with a TmPS of 80%. Prior to BA3011 treatment, the AXL positive patient with stage IV adenocarcinoma experienced failure from prior treatments, including treatment with a PD-1 inhibitor (pembrolizumab). As shown below, this patient experienced a partial response characterized by approximately 70% tumor shrinkage with BA3011 delivered at 1.8 mg/kg on days 1 and 8, every three weeks (2Q3W).</w:t>
      </w:r>
    </w:p>
    <w:p>
      <w:pPr>
        <w:pStyle w:val="TextBody"/>
        <w:spacing w:lineRule="auto" w:line="273" w:before="216" w:after="0"/>
        <w:jc w:val="center"/>
        <w:rPr>
          <w:rFonts w:ascii="Times New Roman" w:hAnsi="Times New Roman"/>
          <w:sz w:val="20"/>
        </w:rPr>
      </w:pPr>
      <w:r>
        <w:rPr>
          <w:rFonts w:ascii="Times New Roman" w:hAnsi="Times New Roman"/>
          <w:b/>
          <w:sz w:val="18"/>
        </w:rPr>
        <w:t>One of four NSCLC patients enrolled in Phase 1 BA3011 trial was the only patient with an AXL TmPS &gt;=70%.and had a partial response.</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4219575" cy="3228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19575" cy="3228975"/>
                    </a:xfrm>
                    <a:prstGeom prst="rect">
                      <a:avLst/>
                    </a:prstGeom>
                  </pic:spPr>
                </pic:pic>
              </a:graphicData>
            </a:graphic>
          </wp:inline>
        </w:drawing>
      </w: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04" w:after="0"/>
        <w:jc w:val="left"/>
        <w:rPr>
          <w:rFonts w:ascii="Times New Roman" w:hAnsi="Times New Roman"/>
          <w:b w:val="false"/>
          <w:i/>
          <w:sz w:val="18"/>
        </w:rPr>
      </w:pPr>
      <w:r>
        <w:rPr>
          <w:rFonts w:ascii="Times New Roman" w:hAnsi="Times New Roman"/>
          <w:b w:val="false"/>
          <w:i/>
          <w:sz w:val="18"/>
        </w:rPr>
        <w:t>Safety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Mecbotamab vedotin was generally well-tolerated. We have not observed adverse events that appear to be related to on-target injury of normal, AXL-expressing tissues. We believe that toxicities observed at the maximally tolerated dose and lower were manageable and off-target effects of free MMAE were consistent with those described with other marketed MMAE-based ADCs. The estimated half-life of mecbotamab vedotin was approximately four days, which is twice the 1.9-day half-life reported for enapotamab vedotin, a non-CAB ADC targeting AXL. We believe this difference may be due to the decreased TMDD resulting from the lack of binding of mecbotamab vedotin to AXL outside of tumors.</w:t>
      </w:r>
    </w:p>
    <w:p>
      <w:pPr>
        <w:pStyle w:val="TextBody"/>
        <w:spacing w:lineRule="auto" w:line="273" w:before="216" w:after="0"/>
        <w:jc w:val="left"/>
        <w:rPr>
          <w:rFonts w:ascii="Times New Roman" w:hAnsi="Times New Roman"/>
          <w:sz w:val="20"/>
        </w:rPr>
      </w:pPr>
      <w:r>
        <w:rPr>
          <w:rFonts w:ascii="Times New Roman" w:hAnsi="Times New Roman"/>
          <w:b w:val="false"/>
          <w:sz w:val="18"/>
        </w:rPr>
        <w:t>In the Phase 1 trial, the Grade 3 or greater adverse events, or AEs, or serious adverse events, or SAEs, deemed related to mecbotamab vedotin were consistent with MMAE-based toxicity and could generally be classified as either reversible myelosuppression (AEs: neutropenia and anemia), transient liver enzyme elevations (AEs: AST/ALT increased) or metabolic disturbances (AEs: hyponatremia, hypokalemia). There were 24 (37.5%) subjects who reported a serious TEAE (SAE), and in 7 (10.9%) of those subjects that serious TEAE was considered related to treatment.. At the anticipated Phase 2 exposure level (1.8mg/kg Q2W), BA3011 was generally well-tolerated. For 1.8 mg 1Q3W there were 2 subjects (22% ; 2/9) who experienced treatment related Grade 3-4 AEs (, vomiting and neutrophil count decrease);for 1.8 mg 2Q3W there were 13 subjects (52%;13/25) who experienced treatment related Grade 3-4 AEs ( neutropenia (x3), hypokalemia (x3), , anemia, nausea, febrile neutropenia, fatigue, lymphocyte count decrease, blood bilirubin increase and lipase increase)For 1.8mg/kg Q3W, there were 4 subjects who experienced an SAE (44%; neutrophil count decrease, intestinal obstruction, lower limb fracture, and sepsis caused by E. coli); for 1.8mg/kg 2Q3W there were11 subjects who experienced an SAE (44%; nausea, pyrexia, lipase increased, hyponatremia, syncope, corneal perforation, hypercalcaemia, gastritis, pneumonia, hepatic encephalopathy, and edema of lower extremities) and of these SAEs, fewer were deemed related to treatment by the investigator (for 1.8mg/kg Q3W: 1 SAE (11.1%; neutrophil count decrease); 1.8mg/kg 2Q3W: 3 SAEs (12%; hepatic encephalopathy, lipase increased and gastritis). For 1.8mg/kg 2Q3W, 2 related AEs led to treatment discontinuation (Grade 2 peripheral neuropathy and Grade 2 fatigue). No AEs led to treatment discontinuation for 1.8mg/kg Q3W.</w:t>
      </w:r>
      <w:r>
        <w:rPr>
          <w:rFonts w:ascii="Times New Roman" w:hAnsi="Times New Roman"/>
          <w:sz w:val="20"/>
        </w:rPr>
        <w:t xml:space="preserve"> </w:t>
      </w:r>
    </w:p>
    <w:p>
      <w:pPr>
        <w:pStyle w:val="TextBody"/>
        <w:spacing w:lineRule="auto" w:line="273" w:before="216" w:after="0"/>
        <w:jc w:val="center"/>
        <w:rPr>
          <w:rFonts w:ascii="Times New Roman" w:hAnsi="Times New Roman"/>
          <w:b/>
          <w:sz w:val="18"/>
        </w:rPr>
      </w:pPr>
      <w:r>
        <w:rPr>
          <w:rFonts w:ascii="Times New Roman" w:hAnsi="Times New Roman"/>
          <w:b/>
          <w:sz w:val="18"/>
        </w:rPr>
        <w:t>Overview of adverse events in mecbotamab vedotin (BA3011) Phase 1 trial for patients administered 1.8mg/kg Q3W (d1) or 2Q3W (d1,8) (safety population)</w:t>
      </w:r>
    </w:p>
    <w:p>
      <w:pPr>
        <w:pStyle w:val="TextBody"/>
        <w:spacing w:lineRule="auto" w:line="273" w:before="0" w:after="0"/>
        <w:jc w:val="center"/>
        <w:rPr/>
      </w:pPr>
      <w:r>
        <w:rPr/>
        <w:t> </w:t>
      </w:r>
    </w:p>
    <w:tbl>
      <w:tblPr>
        <w:tblW w:w="6945" w:type="dxa"/>
        <w:jc w:val="left"/>
        <w:tblInd w:w="0" w:type="dxa"/>
        <w:tblCellMar>
          <w:top w:w="28" w:type="dxa"/>
          <w:left w:w="28" w:type="dxa"/>
          <w:bottom w:w="28" w:type="dxa"/>
          <w:right w:w="28" w:type="dxa"/>
        </w:tblCellMar>
      </w:tblPr>
      <w:tblGrid>
        <w:gridCol w:w="3616"/>
        <w:gridCol w:w="146"/>
        <w:gridCol w:w="556"/>
        <w:gridCol w:w="749"/>
        <w:gridCol w:w="146"/>
        <w:gridCol w:w="146"/>
        <w:gridCol w:w="594"/>
        <w:gridCol w:w="801"/>
        <w:gridCol w:w="19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b/>
                <w:sz w:val="18"/>
                <w:u w:val="single"/>
              </w:rPr>
            </w:pPr>
            <w:r>
              <w:rPr>
                <w:rFonts w:ascii="Times New Roman" w:hAnsi="Times New Roman"/>
                <w:b/>
                <w:sz w:val="18"/>
                <w:u w:val="single"/>
              </w:rPr>
              <w:t>Characteristic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BA3011</w:t>
              <w:br/>
              <w:t>1.8 mg/kg Q3W</w:t>
              <w:br/>
              <w:t>(N=9)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BA3011</w:t>
              <w:br/>
              <w:t>1.8 mg/kg 2Q3W</w:t>
              <w:br/>
              <w:t>(N=25)</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Any AEs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 (100%)</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9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 (100%)</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Related AEs with CTCAE1 Grade 3 or 4</w:t>
            </w:r>
            <w:r>
              <w:rPr>
                <w:rFonts w:ascii="Times New Roman" w:hAnsi="Times New Roman"/>
                <w:b w:val="false"/>
                <w:sz w:val="12"/>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 (22%)</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9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 (52%)</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Any related serious AEs</w:t>
            </w:r>
            <w:r>
              <w:rPr>
                <w:rFonts w:ascii="Times New Roman" w:hAnsi="Times New Roman"/>
                <w:b w:val="false"/>
                <w:sz w:val="12"/>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 (11%)</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9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 (12%)</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AEs leading to death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 (11%)</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Related AEs leading to death</w:t>
            </w:r>
            <w:r>
              <w:rPr>
                <w:rFonts w:ascii="Times New Roman" w:hAnsi="Times New Roman"/>
                <w:b w:val="false"/>
                <w:sz w:val="12"/>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left"/>
              <w:rPr/>
            </w:pPr>
            <w:r>
              <w:rPr/>
              <w:t> </w:t>
            </w:r>
          </w:p>
        </w:tc>
        <w:tc>
          <w:tcPr>
            <w:tcW w:w="74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Related AEs leading to treatment discontinuation</w:t>
            </w:r>
            <w:r>
              <w:rPr>
                <w:rFonts w:ascii="Times New Roman" w:hAnsi="Times New Roman"/>
                <w:b w:val="false"/>
                <w:sz w:val="12"/>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left"/>
              <w:rPr/>
            </w:pPr>
            <w:r>
              <w:rPr/>
              <w:t> </w:t>
            </w:r>
          </w:p>
        </w:tc>
        <w:tc>
          <w:tcPr>
            <w:tcW w:w="74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9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 (8%)</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7"/>
        </w:rPr>
      </w:pPr>
      <w:r>
        <w:rPr>
          <w:rFonts w:ascii="Times New Roman" w:hAnsi="Times New Roman"/>
          <w:b w:val="false"/>
          <w:sz w:val="17"/>
        </w:rPr>
        <w:t>1.</w:t>
      </w:r>
    </w:p>
    <w:p>
      <w:pPr>
        <w:pStyle w:val="TextBody"/>
        <w:spacing w:lineRule="auto" w:line="273" w:before="0" w:after="0"/>
        <w:jc w:val="left"/>
        <w:rPr>
          <w:rFonts w:ascii="Times New Roman" w:hAnsi="Times New Roman"/>
          <w:b w:val="false"/>
          <w:sz w:val="17"/>
        </w:rPr>
      </w:pPr>
      <w:r>
        <w:rPr>
          <w:rFonts w:ascii="Times New Roman" w:hAnsi="Times New Roman"/>
          <w:b w:val="false"/>
          <w:sz w:val="17"/>
        </w:rPr>
        <w:t>CTCAE: Common Terminology Criteria for Adverse Events. The NCI Common Terminology Criteria for Adverse Events is a descriptive terminology which is utilized for AE reporting. A grading (severity) scale is provided for each AE term.</w:t>
      </w:r>
    </w:p>
    <w:p>
      <w:pPr>
        <w:pStyle w:val="TextBody"/>
        <w:spacing w:lineRule="auto" w:line="273" w:before="0" w:after="0"/>
        <w:jc w:val="left"/>
        <w:rPr>
          <w:rFonts w:ascii="Times New Roman" w:hAnsi="Times New Roman"/>
          <w:b w:val="false"/>
          <w:sz w:val="17"/>
        </w:rPr>
      </w:pPr>
      <w:r>
        <w:rPr>
          <w:rFonts w:ascii="Times New Roman" w:hAnsi="Times New Roman"/>
          <w:b w:val="false"/>
          <w:sz w:val="17"/>
        </w:rPr>
        <w:t>2.</w:t>
      </w:r>
    </w:p>
    <w:p>
      <w:pPr>
        <w:pStyle w:val="TextBody"/>
        <w:spacing w:lineRule="auto" w:line="273"/>
        <w:jc w:val="left"/>
        <w:rPr>
          <w:rFonts w:ascii="Times New Roman" w:hAnsi="Times New Roman"/>
          <w:b w:val="false"/>
          <w:sz w:val="17"/>
        </w:rPr>
      </w:pPr>
      <w:r>
        <w:rPr>
          <w:rFonts w:ascii="Times New Roman" w:hAnsi="Times New Roman"/>
          <w:b w:val="false"/>
          <w:sz w:val="17"/>
        </w:rPr>
        <w:t>As assessed by the investigator. Missing responses are counted as related.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believe that our CAB AXL ADC, mecbotamab vedotin, compares favorably to enapotamab vedotin, a non-CAB AXL ADC with regard to safety and key pharmacokinetic properties. Comparing across the two Phase 1 trials, both ADCs: (i) were designed to deliver 4 MMAE molecules per antibody (DAR4 loading), (ii) employed similar ADC doses and (iii) enrolled comparable patients with advanced cancer who had experienced treatment failure of prior regimens (see figure below). As a key difference, mecbotamab vedotin was designed to only bind to the AXL target expressed by tumor while enapotamab vedotin would be anticipated to bind to the AXL target throughout the body.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Notably, the estimated half-life of mecbotamab vedotin was approximately four days, which is twice the 1.9-day half-life reported for enapotamab vedotin. We believe this difference may be due to the decreased TMDD resulting from the lack of binding of mecbotamab vedotin to AXL outside of tumors. With respect to reported toxicity comparisons, constipation is believed to be an on-target delivery of MMAE to normal gut tissues that express the AXL target. Despite including a risk mitigation plan in enapotamab vedotin’s trial protocol (a prophylactic stool-softener medication in all patients), the clinical data presented at ASCO 2019 showed that AEs of constipation Grade 1-2 were reported in 49% of the patients and Grade 3-4 in 9% of patients. The rate of constipation reported with mecbotamab vedotin (26% Grade 1-2 and 43% Grade 3-4) was approximately 2 or 3-fold lower for Grade 1-2 and Grade 3-4 TAEs, respectively. We believe the lower observed rates of constipation observed among the mecbotamab vedotin treated patients were typical for an advanced cancer population who commonly receive pain medications that can also cause constipation. While supportive of a reduced toxicity benefit from CAB technology, these comparisons are derived from cross-trial analyses, and would not be included as part of our labeling.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Adverse events, such as peripheral neuropathy, are commonly seen with other ADCs and may be due to free circulating MMAE. Clinical data presented at ASCO 2019 for enapotamab vedotin showed that 38% of the patients had peripheral neuropathy (all Grades) with 2 patients reporting Grade 3-4 AEs. The rate of peripheral neuropathy (all Grade; no Grade 3-4) reported for mecbotamab vedotin (28%) was meaningfully lower than the rate reported with enapotamab vedotin and is believed to be due to the advantageous pharmacokinetic characteristics of a CAB ADC vs. a non-CAB ADC.</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At a dose of 2.4 mg/kg Q3W mecbotamab vedotin, two patients experienced dose-limiting toxicities: one with Grade 3 febrile neutropenia and the other with Grade 4 hyperglycemia. Dosing continued at the 2.4 mg/kg with prophylactic administration of pegfilgrastim without any additional dose limiting toxicities. Dosing above 2.4 mg/kg was terminated due to one patient who experienced Grade 4 febrile neutropenia and cardio-respiratory arrest at 3 mg/kg likely related to delayed hepatic and renal excretion of MMAE.</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162550" cy="2886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162550" cy="2886075"/>
                    </a:xfrm>
                    <a:prstGeom prst="rect">
                      <a:avLst/>
                    </a:prstGeom>
                  </pic:spPr>
                </pic:pic>
              </a:graphicData>
            </a:graphic>
          </wp:inline>
        </w:drawing>
      </w:r>
      <w:r>
        <w:rPr/>
        <w:t> </w:t>
      </w:r>
    </w:p>
    <w:p>
      <w:pPr>
        <w:pStyle w:val="TextBody"/>
        <w:spacing w:lineRule="auto" w:line="273" w:before="210" w:after="0"/>
        <w:jc w:val="left"/>
        <w:rPr>
          <w:rFonts w:ascii="Times New Roman" w:hAnsi="Times New Roman"/>
          <w:b w:val="false"/>
          <w:i/>
          <w:sz w:val="18"/>
        </w:rPr>
      </w:pPr>
      <w:r>
        <w:rPr>
          <w:rFonts w:ascii="Times New Roman" w:hAnsi="Times New Roman"/>
          <w:b w:val="false"/>
          <w:i/>
          <w:sz w:val="18"/>
        </w:rPr>
        <w:t>Phase 2 clinical trial</w:t>
      </w:r>
    </w:p>
    <w:p>
      <w:pPr>
        <w:pStyle w:val="TextBody"/>
        <w:spacing w:lineRule="auto" w:line="273" w:before="108" w:after="0"/>
        <w:jc w:val="left"/>
        <w:rPr>
          <w:rFonts w:ascii="Times New Roman" w:hAnsi="Times New Roman"/>
          <w:sz w:val="20"/>
        </w:rPr>
      </w:pPr>
      <w:r>
        <w:rPr>
          <w:rFonts w:ascii="Times New Roman" w:hAnsi="Times New Roman"/>
          <w:b w:val="false"/>
          <w:sz w:val="18"/>
        </w:rPr>
        <w:t>We are conducting a Phase 2, potentially registration-enabling trial with mecbotamab vedotin, enrolling 90 soft-tissue and bone sarcoma patients, with interim analysis anticipated in early 2022 and the complete data set expected in 2023. In addition, we have initiated a Phase 2 trial in NSCLC with mecbotamab vedotin as monotherapy and in combination with an anti-PD-1 agent in patients who have experienced prior disease progression on a PD-1/L1 inhibitor and have a TmPS of 1% or greater. The FDA has reviewed the trial designs, but has not opined on whether Phase 2 clinical trials will be sufficient to support regulatory approval. However, we intend to ask the FDA to consider this further at the planned interim data review point or points for each clinical trial. We cannot assure you that the FDA will agree that such data will be sufficient to support approval. A summary of our clinical development plan for mecbotamab vedotin is below.</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Additionally, a multi-center investigator-initiated trial of mecbotamab vedotin led by the Canadian Cancer Trials Group, or CCTG, in platinum-resistant ovarian cancer patients has begun enrollment.</w:t>
        <w:br/>
      </w:r>
      <w:r>
        <w:rPr>
          <w:rFonts w:ascii="Times New Roman" w:hAnsi="Times New Roman"/>
          <w:sz w:val="20"/>
        </w:rPr>
        <w:t> </w:t>
      </w:r>
    </w:p>
    <w:p>
      <w:pPr>
        <w:pStyle w:val="TextBody"/>
        <w:spacing w:lineRule="auto" w:line="273" w:before="216" w:after="0"/>
        <w:jc w:val="center"/>
        <w:rPr>
          <w:rFonts w:ascii="Times New Roman" w:hAnsi="Times New Roman"/>
          <w:b/>
          <w:sz w:val="18"/>
        </w:rPr>
      </w:pPr>
      <w:r>
        <w:rPr>
          <w:rFonts w:ascii="Times New Roman" w:hAnsi="Times New Roman"/>
          <w:b/>
          <w:sz w:val="18"/>
        </w:rPr>
        <w:t>Clinical development plan for mecbotamab vedotin (BA3011), which includes multiple Phase 2 trials</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4914900" cy="2667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914900" cy="2667000"/>
                    </a:xfrm>
                    <a:prstGeom prst="rect">
                      <a:avLst/>
                    </a:prstGeom>
                  </pic:spPr>
                </pic:pic>
              </a:graphicData>
            </a:graphic>
          </wp:inline>
        </w:drawing>
      </w: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u w:val="single"/>
        </w:rPr>
      </w:pPr>
      <w:r>
        <w:rPr>
          <w:rFonts w:ascii="Times New Roman" w:hAnsi="Times New Roman"/>
          <w:b w:val="false"/>
          <w:sz w:val="18"/>
          <w:u w:val="single"/>
        </w:rPr>
        <w:t>Sarcoma Phase 2 trial: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This Phase 2 trial is an open-label trial to evaluate the efficacy and safety of mecbotamab vedotin alone and in combination with an anti-PD-1 agent in adult and adolescent patients with AXL-expressing TmPS &gt;= 70%, and advanced, refractory sarcoma who have measurable disease by RECIST Version 1.1 criteria and have documented progression according to RECIST Version 1.1 criteria within the six months prior to enrollment. In addition, there is an exploratory cohort of patients with AXL-expressing TmPS of 50-69%. To enroll, patients either had to be ineligible for chemotherapy or had received at least one regimen containing anthracycline and a maximum of three previous lines of systemic therapy for metastatic disease (no more than two lines of combination regimens), including pazopanib, trabectedin, eribulin mesylate or tazemetostat, if applicable, per regional prescribing information. Patients who met the enrollment criteria were assigned to receive either mecbotamab vedotin alone or in combination with an anti-PD-1 agent (for patients 18 years old and above: 240 mg every two weeks (Q2W); for patients 12-17 years old: 3 mg/kg Q2W IV infusion). Patients with tumors showing B-cell infiltration (per immunohistochemistry, or IHC, assay) are preferentially assigned to receive mecbotamab vedotin in combination with an anti-PD-1 agent. Based on data from the Phase 1 part of the trial, the dose of mecbotamab vedotin for Phase 2 is 1.8 mg/kg Q2W.</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In Part 1 of this Phase 2 trial, seven cohorts of approximately 10 patients per sarcoma subtype in the monotherapy arm are enrolled: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Soft tissue sarcoma: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Leiomyosarcoma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Synovial sarcoma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Liposarcoma</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All other soft tissue sarcomas, except gastro intestinal stromal tumors, dermatofibrosarcoma protuberans, inflammatory myofibroblastic tumor and malignant mesothelioma</w:t>
      </w:r>
    </w:p>
    <w:p>
      <w:pPr>
        <w:pStyle w:val="TextBody"/>
        <w:spacing w:lineRule="auto" w:line="273" w:before="108" w:after="0"/>
        <w:jc w:val="left"/>
        <w:rPr>
          <w:rFonts w:ascii="Times New Roman" w:hAnsi="Times New Roman"/>
          <w:sz w:val="20"/>
        </w:rPr>
      </w:pPr>
      <w:r>
        <w:rPr>
          <w:rFonts w:ascii="Times New Roman" w:hAnsi="Times New Roman"/>
          <w:b w:val="false"/>
          <w:sz w:val="18"/>
          <w:u w:val="single"/>
        </w:rPr>
        <w:t>Bone sarcoma</w:t>
      </w:r>
      <w:r>
        <w:rPr>
          <w:rFonts w:ascii="Times New Roman" w:hAnsi="Times New Roman"/>
          <w:b w:val="false"/>
          <w:sz w:val="18"/>
        </w:rPr>
        <w: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Osteosarcoma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Ewing sarcoma</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Other bone sarcomas, including undifferentiated pleomorphic sarcoma, malignant fibrous histiocytoma, and chondrosarcoma</w:t>
      </w:r>
    </w:p>
    <w:p>
      <w:pPr>
        <w:pStyle w:val="TextBody"/>
        <w:spacing w:lineRule="auto" w:line="273" w:before="216" w:after="0"/>
        <w:jc w:val="left"/>
        <w:rPr>
          <w:rFonts w:ascii="Times New Roman" w:hAnsi="Times New Roman"/>
          <w:sz w:val="20"/>
        </w:rPr>
      </w:pPr>
      <w:r>
        <w:rPr>
          <w:rFonts w:ascii="Times New Roman" w:hAnsi="Times New Roman"/>
          <w:b w:val="false"/>
          <w:sz w:val="18"/>
        </w:rPr>
        <w:t>In addition, two combination cohorts (mecbotamab vedotin with an anti-PD-1 agent) are enrolling up to approximately 10 patients each, of any sarcoma subtype. Patients in one arm will have a tumor showing B-cell infiltration and patients in the other arm will not.</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Tumor assessment occurs approximately every 6 weeks from cycle 1 day 1 of treatment, or C1D1, until 12 weeks, and every 8 weeks thereafter. Pharmacokinetic, pharmacodynamic, immunogenicity and biomarker assessments will also be performed at various time points.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An interim analysis is conducted for each subtype or treatment after approximately 10 patients in the subtype or treatment have been followed for at least 12 weeks after the initiation of treatment. Following interim analysis, accrual to the subtype or to a treatment (i.e., mecbotamab vedotin alone or in combination with an anti-PD-1 agent) may proceed to Part 2 of the trial if one or more patients with a response (i.e., confirmed or unconfirmed complete response or partial response) or progression-free rate at 12 weeks is &gt;= 40%. Several cohorts already have qualified to proceed to this Part 2 of the trial. Approximately 150 additional patients may be enrolled for sarcoma subtypes that meet the threshold. The accrual of patients to a specific subtype or to one or both treatment regimen(s) (i.e., mecbotamab vedotin alone and/or mecbotamab vedotin in combination with an anti-PD-1 agent) can be put on hold at any time based on evaluation of available data or by the Independent Data Monitoring Committee, or IDMC, at any time upon review of safety data. Treatment for all enrolled patients will continue until disease progression, unacceptable toxicity, or other reason for treatment discontinuation.</w:t>
        <w:br/>
      </w:r>
      <w:r>
        <w:rPr>
          <w:rFonts w:ascii="Times New Roman" w:hAnsi="Times New Roman"/>
          <w:sz w:val="20"/>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u w:val="single"/>
        </w:rPr>
      </w:pPr>
      <w:r>
        <w:rPr>
          <w:rFonts w:ascii="Times New Roman" w:hAnsi="Times New Roman"/>
          <w:b w:val="false"/>
          <w:sz w:val="18"/>
          <w:u w:val="single"/>
        </w:rPr>
        <w:t>NSCLC Phase 2 trial:</w:t>
      </w:r>
    </w:p>
    <w:p>
      <w:pPr>
        <w:pStyle w:val="TextBody"/>
        <w:spacing w:lineRule="auto" w:line="273" w:before="108" w:after="0"/>
        <w:jc w:val="left"/>
        <w:rPr>
          <w:rFonts w:ascii="Times New Roman" w:hAnsi="Times New Roman"/>
          <w:sz w:val="20"/>
        </w:rPr>
      </w:pPr>
      <w:r>
        <w:rPr>
          <w:rFonts w:ascii="Times New Roman" w:hAnsi="Times New Roman"/>
          <w:b w:val="false"/>
          <w:sz w:val="18"/>
        </w:rPr>
        <w:t>This is a multi-center, open-label, Phase 2 study designed to evaluate the efficacy and safety of mecbotamab vedotin alone and in combination with an anti-PD-1 agent in patients with AXL-expressing TmPS &gt;=1%, metastatic NSCLC who have measurable disease by RECIST v1.1 criteria and have documented progression according to RECIST v1.1 criteria within the 6 months prior to enrollment. To enroll, patients must have prior disease progression on a PD-1/L-1 inhibitor (either monotherapy or in combination with another therapy such as ipilimumab). Patients with EGFR or anaplastic lymphoma kinase (ALK) genomic tumor aberrations should have had disease progression on FDA-approved therapy for these aberrations.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Patients who meet enrollment criteria will be assigned to receive either mecbotamab vedotin alone or in combination with an anti-PD-1 agent (240 mg every 2 weeks (Q2W)). For the first 20 patients (Part 1), treatment assignment will be determined by the sponsor and the medical monitor based on the patient’s prior experience with PD-1/L1 treatment. To be eligible for the PD-1 combination arm, patients must have acceptably tolerated prior PD-1/L1 treatment. In Part 2, up to approximately 200 additional patients may be enrolled depending on observed efficacy at interim analysis. If both monotherapy and combination therapy are further pursued post interim analysis, patients that have acceptably tolerated prior PD-1/L1 treatment will be randomized 1:1 to receive either mecbotamab vedotin alone or mecbotamab vedotin in combination with an anti-PD-1 agent. Randomization will be stratified according to histology (squamous vs. non-squamous) and the number of prior systemic regimens (&lt; 2 vs. &lt; 3). Patients that have not acceptably tolerated prior PD-1/L1 treatment will be assigned to the mecbotamab vedotin monotherapy arm of the study. Based on data from the Phase 1 study, the dose of mecbotamab vedotin for Phase 2 is 1.8 mg/kg Q2W. A dose reduction to 1.5 mg/kg Q2W may be implemented if deemed warranted by the IDMC.</w:t>
        <w:br/>
      </w:r>
      <w:r>
        <w:rPr>
          <w:rFonts w:ascii="Times New Roman" w:hAnsi="Times New Roman"/>
          <w:sz w:val="20"/>
        </w:rPr>
        <w:t>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Tumor assessment will occur approximately every 6 weeks from C1D1 until 12 weeks, and every 8 weeks thereafter. Pharmacokinetic, pharmacodynamic, immunogenicity and biomarker assessments will be performed at various time points.</w:t>
      </w:r>
    </w:p>
    <w:p>
      <w:pPr>
        <w:pStyle w:val="TextBody"/>
        <w:spacing w:lineRule="auto" w:line="273" w:before="216" w:after="0"/>
        <w:jc w:val="left"/>
        <w:rPr>
          <w:rFonts w:ascii="Times New Roman" w:hAnsi="Times New Roman"/>
          <w:sz w:val="20"/>
        </w:rPr>
      </w:pPr>
      <w:r>
        <w:rPr>
          <w:rFonts w:ascii="Times New Roman" w:hAnsi="Times New Roman"/>
          <w:b w:val="false"/>
          <w:sz w:val="18"/>
        </w:rPr>
        <w:t xml:space="preserve">An interim analysis will be conducted after approximately 20 patients (e.g. 10 patients on mecbotamab vedotin monotherapy arm and 10 patients in the mecbotamab vedotin and anti-PD-1 agent combination arm) have the potential to be followed for at least 12 weeks after the initiation of investigational product. Following interim analysis, accrual to a treatment (i.e., mecbotamab vedotin alone or in combination with an anti-PD-1 agent) may be put on hold if the number of patients with a response (i.e., confirmed or unconfirmed complete response, partial response or stable disease) are below a pre-defined threshold. Depending on observed efficacy at the interim analysis, additional NSCLC patients may be enrolled for a total of up to approximately 200 patients (100 patients in each of the 2 treatment groups) with AXL-expressing, metastatic NSCLC. The accrual of patients to one or both treatment regimen(s) (i.e., mecbotamab vedotin alone and/or mecbotamab vedotin in combination with an anti-PD-1 agent) can be put on hold at any time based on evaluation of available data. Treatment for all enrolled patients will continue until disease progression, unacceptable toxicity, or other reason for treatment discontinuation. </w:t>
        <w:br/>
      </w:r>
      <w:r>
        <w:rPr>
          <w:rFonts w:ascii="Times New Roman" w:hAnsi="Times New Roman"/>
          <w:sz w:val="20"/>
        </w:rPr>
        <w:t> </w:t>
      </w:r>
    </w:p>
    <w:p>
      <w:pPr>
        <w:pStyle w:val="TextBody"/>
        <w:spacing w:lineRule="auto" w:line="273" w:before="324" w:after="0"/>
        <w:jc w:val="left"/>
        <w:rPr>
          <w:rFonts w:ascii="Times New Roman" w:hAnsi="Times New Roman"/>
          <w:b/>
          <w:i/>
          <w:sz w:val="18"/>
        </w:rPr>
      </w:pPr>
      <w:r>
        <w:rPr>
          <w:rFonts w:ascii="Times New Roman" w:hAnsi="Times New Roman"/>
          <w:b/>
          <w:i/>
          <w:sz w:val="18"/>
        </w:rPr>
        <w:t>Ozuriftamab Vedotin (BA3021)</w:t>
      </w:r>
    </w:p>
    <w:p>
      <w:pPr>
        <w:pStyle w:val="TextBody"/>
        <w:spacing w:lineRule="auto" w:line="273" w:before="108" w:after="0"/>
        <w:jc w:val="left"/>
        <w:rPr>
          <w:rFonts w:ascii="Times New Roman" w:hAnsi="Times New Roman"/>
          <w:b w:val="false"/>
          <w:i/>
          <w:sz w:val="18"/>
          <w:u w:val="single"/>
        </w:rPr>
      </w:pPr>
      <w:r>
        <w:rPr>
          <w:rFonts w:ascii="Times New Roman" w:hAnsi="Times New Roman"/>
          <w:b w:val="false"/>
          <w:i/>
          <w:sz w:val="18"/>
          <w:u w:val="single"/>
        </w:rPr>
        <w:t>Phase 1 clinical trial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have completed the dose escalation part of a Phase 1 clinical trial of ozuriftamab vedotin in patients with locally advanced unresectable or metastatic solid tumors including NSCLC and melanoma, who were refractory or resistant to standard therapies. As shown below, cohorts were treated with doses of ozuriftamab vedotin ranging from 0.3 mg/kg to 3.3 mg/kg once every three weeks (Q3W) or doses ranging from 1.5 mg/kg to 1.8 mg/kg twice every three weeks on days 1 and 8 (2Q3W). In Phase 1, 60 subjects were enrolled into 9 dose cohorts: 0.3 mg/kg Q3W (1 subject), 0.6 mg/kg Q3W (1 subject), 1.2 mg/kg Q3W (1 subject), 1.8 mg/kg Q3W (3 subjects), 2.4 mg/kg Q3W (16 subjects), 3.0 mg/kg Q3W (19 subject), 3.3 mg/kg Q3W (5 subjects), 1.2 mg/kg 2Q3W (3 subjects), 1.5 mg/kg 2Q3W (3 subjects), and 1.8 mg/kg 2Q3W (8 subjects). The solid tumor types enrolled in this study were: soft tissue sarcoma (40 subjects), NSCLC (6 subjects), melanoma (2 subjects), pancreatic (2 subjects), non-TNBC (2 subjects), TNBC (2 subjects), colorectal, GIST, urachus, ampulla of vatter, rectal carcinoid and head and neck (1 subject each).</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main goal of this trial was to evaluate the safety, tolerability, antitumor activity, pharmacokinetic and immunogenicity of ozuriftamab vedotin in solid tumor patients. Based upon the overall safety and response rates, the recommended Phase 2 dose is 1.8 mg/kg delivered every two weeks (Q2W). The trial’s objectives were the following:</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Primary</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To define the safety profile, including DLT, and determine the MTD and/or RP2D and other safety parameters for ozuriftamab vedotin in patients with advanced solid tumors.</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Secondary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To assess antitumor activity of ozuriftamab vedotin including endpoints such as OR, DoR, disease control, time-to-response, and ORR, according to RECIST Version 1.1.</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To assess the pharmacokinetics of ozuriftamab vedotin.</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val="false"/>
          <w:sz w:val="18"/>
        </w:rPr>
        <w:t>To evaluate the immunogenicity of ozuriftamab vedotin.</w:t>
      </w:r>
      <w:r>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val="false"/>
          <w:i/>
          <w:sz w:val="18"/>
          <w:u w:val="single"/>
        </w:rPr>
      </w:pPr>
      <w:r>
        <w:rPr>
          <w:rFonts w:ascii="Times New Roman" w:hAnsi="Times New Roman"/>
          <w:b w:val="false"/>
          <w:i/>
          <w:sz w:val="18"/>
          <w:u w:val="single"/>
        </w:rPr>
        <w:t>Antitumor activity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evaluated OR, one of our secondary endpoints, as shown in the figure below. At various dose levels, treatment with ozuriftamab vedotin has resulted in a complete response in one patient with metastatic melanoma. This patient remains progression free more than two years after initiating therapy. In addition, two patients with NSCLC (~31% and ~49% tumor reduction) and one patient with advanced head and neck cancer (~54% tumor reduction) were partial responses.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Of the six NSCLC patients enrolled in the dose escalation phase, two patients achieved a durable partial response (duration of response is one of our secondary endpoints) and a third experienced tumor reduction to a lesser degree (change from baseline in tumor size is one of our secondary endpoints, as shown below). Similar to the observed correlation of antitumor activity with higher levels of tumoral membrane AXL expression, as shown below, the two NSCLC patients with partial responses to ozuriftamab vedotin had ROR2 TmPS of at least 70%. We were not able to characterize ROR2 TmPS for the third patient who also experienced tumor shrinkage. Another patient with late stage NSCLC and bone metastases and a ROR2 TmPS of 100%, treated with a suboptimal dose of ozuriftamab vedotin (1.2mg/kg 2Q3W), experienced tumor shrinkage prior to progression of their metastatic bone lesions. All NSCLC patients who enrolled in this trial had previously been treated with PD-1 therapy.</w:t>
      </w:r>
    </w:p>
    <w:p>
      <w:pPr>
        <w:pStyle w:val="TextBody"/>
        <w:spacing w:lineRule="auto" w:line="273" w:before="216" w:after="0"/>
        <w:jc w:val="center"/>
        <w:rPr/>
      </w:pPr>
      <w:r>
        <w:rPr/>
        <w:drawing>
          <wp:inline distT="0" distB="0" distL="0" distR="0">
            <wp:extent cx="4238625" cy="3476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238625" cy="3476625"/>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NSCLC patients enrolled in ozuriftamab vedotin (BA3021) Phase 1 trial by ROR2 TmPS. Tumor membrane ROR2 expression was associated with antitumor response in two of the five NSCLC patients with evaluable ROR2 TmPS</w:t>
      </w:r>
    </w:p>
    <w:p>
      <w:pPr>
        <w:pStyle w:val="TextBody"/>
        <w:spacing w:lineRule="auto" w:line="273" w:before="216" w:after="0"/>
        <w:jc w:val="left"/>
        <w:rPr>
          <w:rFonts w:ascii="Times New Roman" w:hAnsi="Times New Roman"/>
          <w:sz w:val="20"/>
        </w:rPr>
      </w:pPr>
      <w:r>
        <w:rPr>
          <w:rFonts w:ascii="Times New Roman" w:hAnsi="Times New Roman"/>
          <w:b w:val="false"/>
          <w:sz w:val="18"/>
        </w:rPr>
        <w:t>Two metastatic melanoma patients were enrolled in the initial part of the trial, as shown below. The ROR2 positive patient achieved a significant durable partial response (duration of response is one of our secondary endpoints). Furthermore, this patient, who had previously experienced failure of both nivolumab and nivolumab plus ipilimumab, achieved complete response and remains without disease progression more than two years after initiating ozuriftamab vedotin.</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center"/>
        <w:rPr>
          <w:rFonts w:ascii="Times New Roman" w:hAnsi="Times New Roman"/>
          <w:b/>
          <w:sz w:val="18"/>
        </w:rPr>
      </w:pPr>
      <w:r>
        <w:rPr>
          <w:rFonts w:ascii="Times New Roman" w:hAnsi="Times New Roman"/>
          <w:b/>
          <w:sz w:val="18"/>
        </w:rPr>
        <w:t>All evaluable metastatic melanoma patients enrolled in ozuriftamab vedotin (BA3021) Phase 1 trial by ROR2 TmPS</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6038850" cy="2543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038850" cy="2543175"/>
                    </a:xfrm>
                    <a:prstGeom prst="rect">
                      <a:avLst/>
                    </a:prstGeom>
                  </pic:spPr>
                </pic:pic>
              </a:graphicData>
            </a:graphic>
          </wp:inline>
        </w:drawing>
      </w:r>
      <w:r>
        <w:rPr/>
        <w:t>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metastatic melanoma patient who achieved a complete response experienced clearance of metastatic lung lesions. Illustrated below is one of the two lung lesions that cleared. Moreover, a pretreatment biopsy of an involved, abnormally enlarged cervical lymph node showed active melanoma. Subsequently, an on-treatment biopsy of the same node demonstrated no evidence of melanoma.</w:t>
      </w:r>
    </w:p>
    <w:p>
      <w:pPr>
        <w:pStyle w:val="TextBody"/>
        <w:spacing w:lineRule="auto" w:line="273" w:before="216" w:after="0"/>
        <w:jc w:val="center"/>
        <w:rPr>
          <w:rFonts w:ascii="Times New Roman" w:hAnsi="Times New Roman"/>
          <w:b/>
          <w:sz w:val="18"/>
        </w:rPr>
      </w:pPr>
      <w:r>
        <w:rPr>
          <w:rFonts w:ascii="Times New Roman" w:hAnsi="Times New Roman"/>
          <w:b/>
          <w:sz w:val="18"/>
        </w:rPr>
        <w:t>Clearance of lung lesions in metastatic melanoma patient who received ozuriftamab vedotin (BA3021)</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133975" cy="2000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133975" cy="2000250"/>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Pre-treatment and post-treatment CT scans of one of two lung lesions that were both cleared in a metastatic melanoma patient who received ozuriftamab vedotin (BA3021)</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In addition, one head and neck cancer patient achieved a partial response with a 54% reduction in tumor size.</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Safety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Similar to mecbotamab vedotin, ozuriftamab vedotin was generally well-tolerated. We have not observed adverse events that appear to be related to on-target injury of normal, ROR2-expressing tissues. We believe that reported toxicities were consistent with off-target effects of free MMAE consistent with those described with other marketed MMAE-based ADCs.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the Phase 1 trial, the Grade 3 or greater AEs or SAEs deemed related to ozuriftamab vedotin were consistent with MMAE-based toxicity and could generally be classified as either reversible myelosuppression (AEs: neutropenia, anemia), transient liver enzyme elevations (AEs: AST/ALT increased) or metabolic disturbances (AEs: hyponatremia, hypokalemia). There were a total of 24 (40%) patients who experienced an SAE, 12 (20%) of which were serious TEAEs that were considered related to treatment. At the Phase 2 exposure levels (1.8mg/kg Q2W), ozuriftamab vedotin was generally well tolerated. For 1.8 mg 1Q3W33.3% (1/3) of subjects experienced treatment-related Grade 3-4 AEs (anemia) and 0% had an SAEs (0); for 1.8 mg 2Q3W:62% (5/8) of subjects experienced treatment-related Grade 3-4 AEs (fatigue, hyponatremia, multiorgan failure, peripheral neuropathy and hyperglycemia) and 50% experienced an SAEs (4/8%; infected biloma, pyrexia, multiorgan failure and hyperglycemia). Three of these SAEs, were deemed related to treatment by the investigator (37.5%; pyrexia, multiorgan failure and hyperglycemia). For 1.8mg/kg 2Q3W, one subject (12.5%) experienced a TEAE that led to death and was considered potentially related to study treatment.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sz w:val="20"/>
        </w:rPr>
      </w:pPr>
      <w:r>
        <w:rPr>
          <w:rFonts w:ascii="Times New Roman" w:hAnsi="Times New Roman"/>
          <w:b w:val="false"/>
          <w:sz w:val="18"/>
        </w:rPr>
        <w:t>The subject was a 47-year-old female with a history of metastatic TNBC previously treated with bilateral mastectomy, radiotherapy, doxorubicin + cyclophosphamide + paclitaxel, capecitabine, nab-paclitaxel, atezolizumab, and sacituzumab govitecan. According to the investigator, no clear etiology of the subject’s signs and symptoms was identified. The investigator was unable to identify another clear-cut cause of the subject’s medical deterioration; however, as these events were temporally following her infusion of study drug, the investigator was unable to rule out that the events were not related. Given the widespread metastatic tumor and that the measured free MMAE levels were within the range observed in other patients treated at the same dose level, the Investigator could not conclude these events were definitely related to the study drug.</w:t>
      </w:r>
      <w:r>
        <w:rPr>
          <w:rFonts w:ascii="Times New Roman" w:hAnsi="Times New Roman"/>
          <w:sz w:val="20"/>
        </w:rPr>
        <w:t xml:space="preserve"> </w:t>
      </w:r>
    </w:p>
    <w:p>
      <w:pPr>
        <w:pStyle w:val="TextBody"/>
        <w:spacing w:lineRule="auto" w:line="273" w:before="108" w:after="0"/>
        <w:jc w:val="left"/>
        <w:rPr>
          <w:rFonts w:ascii="Times New Roman" w:hAnsi="Times New Roman"/>
          <w:sz w:val="20"/>
        </w:rPr>
      </w:pPr>
      <w:r>
        <w:rPr>
          <w:rFonts w:ascii="Times New Roman" w:hAnsi="Times New Roman"/>
          <w:b w:val="false"/>
          <w:sz w:val="18"/>
        </w:rPr>
        <w:t>For 1.8mg/kg Q3W, none of the related AEs or SAEs led to treatment discontinuation. For 1.8mg/kg 2Q3W, one (12.5%) of the related AEs or SAEs (multiorgan failure) led to treatment discontinuation.</w:t>
      </w:r>
      <w:r>
        <w:rPr>
          <w:rFonts w:ascii="Times New Roman" w:hAnsi="Times New Roman"/>
          <w:sz w:val="20"/>
        </w:rPr>
        <w:t xml:space="preserve"> </w:t>
      </w:r>
    </w:p>
    <w:p>
      <w:pPr>
        <w:pStyle w:val="TextBody"/>
        <w:spacing w:lineRule="auto" w:line="273" w:before="216" w:after="0"/>
        <w:jc w:val="center"/>
        <w:rPr>
          <w:rFonts w:ascii="Times New Roman" w:hAnsi="Times New Roman"/>
          <w:b/>
          <w:sz w:val="18"/>
        </w:rPr>
      </w:pPr>
      <w:r>
        <w:rPr>
          <w:rFonts w:ascii="Times New Roman" w:hAnsi="Times New Roman"/>
          <w:b/>
          <w:sz w:val="18"/>
        </w:rPr>
        <w:t>Overview of adverse events in ozuriftamab vedotin (BA3021) Phase 1 trial for patients administered 1.8mg/kg Q3W (d1) or 2Q3W (d1,8) (safety population)</w:t>
      </w:r>
    </w:p>
    <w:p>
      <w:pPr>
        <w:pStyle w:val="TextBody"/>
        <w:spacing w:lineRule="auto" w:line="273" w:before="0" w:after="0"/>
        <w:jc w:val="left"/>
        <w:rPr/>
      </w:pPr>
      <w:r>
        <w:rPr/>
        <w:t> </w:t>
      </w:r>
    </w:p>
    <w:tbl>
      <w:tblPr>
        <w:tblW w:w="7040" w:type="dxa"/>
        <w:jc w:val="left"/>
        <w:tblInd w:w="0" w:type="dxa"/>
        <w:tblCellMar>
          <w:top w:w="28" w:type="dxa"/>
          <w:left w:w="28" w:type="dxa"/>
          <w:bottom w:w="28" w:type="dxa"/>
          <w:right w:w="28" w:type="dxa"/>
        </w:tblCellMar>
      </w:tblPr>
      <w:tblGrid>
        <w:gridCol w:w="3616"/>
        <w:gridCol w:w="146"/>
        <w:gridCol w:w="607"/>
        <w:gridCol w:w="818"/>
        <w:gridCol w:w="146"/>
        <w:gridCol w:w="146"/>
        <w:gridCol w:w="156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b/>
                <w:sz w:val="18"/>
                <w:u w:val="single"/>
              </w:rPr>
            </w:pPr>
            <w:r>
              <w:rPr>
                <w:rFonts w:ascii="Times New Roman" w:hAnsi="Times New Roman"/>
                <w:b/>
                <w:sz w:val="18"/>
                <w:u w:val="single"/>
              </w:rPr>
              <w:t>Characteristic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BA3021</w:t>
              <w:br/>
              <w:t>1.8 mg/kg (Q3W)</w:t>
              <w:br/>
              <w:t>(N=3)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BA3021</w:t>
              <w:br/>
              <w:t>1.8 mg/kg (2Q3W)</w:t>
              <w:br/>
              <w:t>(N=8)</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Any AEs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 (100%)</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 (100%)</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Related AEs with CTCAE Grade 3 or 4</w:t>
            </w:r>
            <w:r>
              <w:rPr>
                <w:rFonts w:ascii="Times New Roman" w:hAnsi="Times New Roman"/>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2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 (33%)</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 (62%)</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Any related serious AEs</w:t>
            </w:r>
            <w:r>
              <w:rPr>
                <w:rFonts w:ascii="Times New Roman" w:hAnsi="Times New Roman"/>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7" w:type="dxa"/>
            <w:tcBorders/>
            <w:shd w:fill="auto" w:val="clear"/>
            <w:vAlign w:val="center"/>
          </w:tcPr>
          <w:p>
            <w:pPr>
              <w:pStyle w:val="TableContents"/>
              <w:spacing w:lineRule="auto" w:line="252" w:before="0" w:after="0"/>
              <w:ind w:left="0" w:right="0" w:hanging="0"/>
              <w:jc w:val="left"/>
              <w:rPr/>
            </w:pPr>
            <w:r>
              <w:rPr/>
              <w:t> </w:t>
            </w:r>
          </w:p>
        </w:tc>
        <w:tc>
          <w:tcPr>
            <w:tcW w:w="81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 (37.5%)</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Related AEs leading to death</w:t>
            </w:r>
            <w:r>
              <w:rPr>
                <w:rFonts w:ascii="Times New Roman" w:hAnsi="Times New Roman"/>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7" w:type="dxa"/>
            <w:tcBorders/>
            <w:shd w:fill="auto" w:val="clear"/>
            <w:vAlign w:val="center"/>
          </w:tcPr>
          <w:p>
            <w:pPr>
              <w:pStyle w:val="TableContents"/>
              <w:spacing w:lineRule="auto" w:line="252" w:before="0" w:after="0"/>
              <w:ind w:left="0" w:right="0" w:hanging="0"/>
              <w:jc w:val="left"/>
              <w:rPr/>
            </w:pPr>
            <w:r>
              <w:rPr/>
              <w:t> </w:t>
            </w:r>
          </w:p>
        </w:tc>
        <w:tc>
          <w:tcPr>
            <w:tcW w:w="81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 (12.5%)</w:t>
            </w:r>
          </w:p>
        </w:tc>
      </w:tr>
      <w:tr>
        <w:trPr/>
        <w:tc>
          <w:tcPr>
            <w:tcW w:w="3616" w:type="dxa"/>
            <w:tcBorders/>
            <w:shd w:fill="auto" w:val="clear"/>
            <w:vAlign w:val="center"/>
          </w:tcPr>
          <w:p>
            <w:pPr>
              <w:pStyle w:val="TableContents"/>
              <w:spacing w:lineRule="auto" w:line="252" w:before="0" w:after="0"/>
              <w:ind w:left="0" w:right="0" w:hanging="0"/>
              <w:jc w:val="left"/>
              <w:rPr>
                <w:rFonts w:ascii="Times New Roman" w:hAnsi="Times New Roman"/>
                <w:sz w:val="18"/>
              </w:rPr>
            </w:pPr>
            <w:r>
              <w:rPr>
                <w:rFonts w:ascii="Times New Roman" w:hAnsi="Times New Roman"/>
                <w:b w:val="false"/>
                <w:sz w:val="18"/>
              </w:rPr>
              <w:t>Related AEs leading to treatment discontinuation</w:t>
            </w:r>
            <w:r>
              <w:rPr>
                <w:rFonts w:ascii="Times New Roman" w:hAnsi="Times New Roman"/>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7" w:type="dxa"/>
            <w:tcBorders/>
            <w:shd w:fill="auto" w:val="clear"/>
            <w:vAlign w:val="center"/>
          </w:tcPr>
          <w:p>
            <w:pPr>
              <w:pStyle w:val="TableContents"/>
              <w:spacing w:lineRule="auto" w:line="252" w:before="0" w:after="0"/>
              <w:ind w:left="0" w:right="0" w:hanging="0"/>
              <w:jc w:val="left"/>
              <w:rPr/>
            </w:pPr>
            <w:r>
              <w:rPr/>
              <w:t> </w:t>
            </w:r>
          </w:p>
        </w:tc>
        <w:tc>
          <w:tcPr>
            <w:tcW w:w="81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 (12.5%)</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1.</w:t>
      </w:r>
    </w:p>
    <w:p>
      <w:pPr>
        <w:pStyle w:val="TextBody"/>
        <w:spacing w:lineRule="auto" w:line="273"/>
        <w:jc w:val="left"/>
        <w:rPr>
          <w:rFonts w:ascii="Times New Roman" w:hAnsi="Times New Roman"/>
          <w:b w:val="false"/>
          <w:sz w:val="18"/>
        </w:rPr>
      </w:pPr>
      <w:r>
        <w:rPr>
          <w:rFonts w:ascii="Times New Roman" w:hAnsi="Times New Roman"/>
          <w:b w:val="false"/>
          <w:sz w:val="18"/>
        </w:rPr>
        <w:t>As assessed by the investigator. Missing responses are counted as related.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At a dose of 3mg/kg Q3W, two patients experienced dose-limiting toxicities: one with Grade 3 dyspnea (self-resolved without intervention) and the other with Grade 4 febrile neutropenia (in a subject that did not receive prophylactic pegfilgrastim as directed) which resolved on day 2 of hospitalization.</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Clinical development plans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are conducting a potentially registration-enabling Phase 2 trial for ozuriftamab vedotin monotherapy or in combination with a PD-1 inhibitor in melanoma and NSCLC patients that have experienced prior disease progression on a PD1/L1 inhibitor and have a ROR2 TmPS of 1% or more. However, we have not discussed with the FDA whether the Phase 2 clinical trials will be sufficient to support regulatory approval and we cannot assure you that the FDA will agree that such data will be sufficient to support approval. We intend to perform an interim analysis when up to approximately 20 evaluable patients in each indication have the potential to be followed for at least 12 weeks, which we expect to occur in the second half of 2022. Results from these analyses will drive the decision to expand enrollment in each indication to up to 200 patients, and we expect final data in 2024.</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initiated a Phase 2 clinical trial for ozuriftamab vedotin in head and neck squamous cell carcinoma (SCCHN). In the dose escalation part of the ozuriftamab vedotin Phase 2 trial, we observed a partial response (PR) in one ROR2 positive SCCHN patient (TmPS=16%) who was refractory to four prior lines of therapy including treatment with cetuximab and pembrolizumab. The Phase 2 trial studying SCCHN will enroll 40 patients who had experienced prior failure of PD-1 therapy. Dosing in the first half of 2022, the patients will receive ozuriftamab vedotin monotherapy. Additionally, a multi-center investigator-initiated trial of ozuriftamab vedotin led by CCTG in platinum-resistant ovarian cancer patients has begun enrollment.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center"/>
        <w:rPr>
          <w:rFonts w:ascii="Times New Roman" w:hAnsi="Times New Roman"/>
          <w:b/>
          <w:sz w:val="18"/>
        </w:rPr>
      </w:pPr>
      <w:r>
        <w:rPr>
          <w:rFonts w:ascii="Times New Roman" w:hAnsi="Times New Roman"/>
          <w:b/>
          <w:sz w:val="18"/>
        </w:rPr>
        <w:t>Phase 2 clinical development plan for ozuriftamab vedotin (BA3021) for multiple indications</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810250" cy="2533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810250" cy="2533650"/>
                    </a:xfrm>
                    <a:prstGeom prst="rect">
                      <a:avLst/>
                    </a:prstGeom>
                  </pic:spPr>
                </pic:pic>
              </a:graphicData>
            </a:graphic>
          </wp:inline>
        </w:drawing>
      </w:r>
      <w:r>
        <w:rPr/>
        <w:t> </w:t>
      </w:r>
    </w:p>
    <w:p>
      <w:pPr>
        <w:pStyle w:val="TextBody"/>
        <w:spacing w:lineRule="auto" w:line="273" w:before="324" w:after="0"/>
        <w:jc w:val="left"/>
        <w:rPr>
          <w:rFonts w:ascii="Times New Roman" w:hAnsi="Times New Roman"/>
          <w:b w:val="false"/>
          <w:sz w:val="18"/>
          <w:u w:val="single"/>
        </w:rPr>
      </w:pPr>
      <w:r>
        <w:rPr>
          <w:rFonts w:ascii="Times New Roman" w:hAnsi="Times New Roman"/>
          <w:b w:val="false"/>
          <w:sz w:val="18"/>
          <w:u w:val="single"/>
        </w:rPr>
        <w:t>NSCLC and Melanoma Phase 2 trial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This Phase 2 trial is an open-label trial to evaluate the efficacy and safety of ozuriftamab vedotin alone and in combination with an anti-PD-1 agent in patients with ROR2-expressing (TmPS &gt;1%) and metastatic NSCLC or melanoma who have measurable disease by RECIST Version 1.1 criteria and have documented progression according to RECIST v1.1 criteria within the 6 months prior to enrollment.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Enrolled patients are assigned to receive either ozuriftamab vedotin alone or in combination with an anti-PD-1 agent (240 mg every 2 weeks (Q2W)). For the first 20 patients (10 patients in each of the 2 indications) (Part 1), treatment assignment is determined by the sponsor and the medical monitor based on the patient’s prior experience with PD-1/L1 treatment. To be eligible for the PD-1 combination arm, patients must have acceptably tolerated prior PD-1/L1 treatment. In Part 2, up to approximately 200 additional patients per indication may be enrolled depending on observed efficacy at interim analysis. For each indication, if both monotherapy and combination therapy are further pursued post interim analysis, patients that have acceptably tolerated prior PD-1/L1 treatment will be randomized 1:1 to receive either ozuriftamab vedotin alone or ozuriftamab vedotin in combination with an anti-PD-1 agent. For the NSCLC indication, randomization will be stratified according to histology (squamous vs. non-squamous) and the number of prior systemic regimens (&lt; 2 vs. &lt; 3). For the melanoma indication, randomization will be stratified according to Eastern Cooperative Oncology Group performance status 0 vs. 1 and the number of prior systemic regimens (&lt; 2 vs. &lt; 3). For both indications, patients that have not acceptably tolerated prior PD-1/L1 treatment will be assigned to the ozuriftamab vedotin monotherapy arm of the study. Based on data from the Phase 1 part of the study, the dose of ozuriftamab vedotin for Phase 2 is 1.8 mg/kg Q2W. A dose reduction to 1.5 mg/kg Q2W may be implemented if deemed warranted by the IDMC.</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Tumor assessment will occur approximately every 6 weeks from C1D1 until 12 weeks, and every 8 weeks thereafter. Pharmacokinetic, pharmacodynamic, immunogenicity and biomarker assessments will be performed at various time points.</w:t>
      </w:r>
    </w:p>
    <w:p>
      <w:pPr>
        <w:pStyle w:val="TextBody"/>
        <w:spacing w:lineRule="auto" w:line="273" w:before="216" w:after="0"/>
        <w:jc w:val="left"/>
        <w:rPr>
          <w:rFonts w:ascii="Times New Roman" w:hAnsi="Times New Roman"/>
          <w:sz w:val="20"/>
        </w:rPr>
      </w:pPr>
      <w:r>
        <w:rPr>
          <w:rFonts w:ascii="Times New Roman" w:hAnsi="Times New Roman"/>
          <w:b w:val="false"/>
          <w:sz w:val="18"/>
        </w:rPr>
        <w:t>For each indication, an interim analysis will be conducted after up to approximately 20 patients (</w:t>
      </w:r>
      <w:r>
        <w:rPr>
          <w:rFonts w:ascii="Times New Roman" w:hAnsi="Times New Roman"/>
          <w:b w:val="false"/>
          <w:i/>
          <w:sz w:val="18"/>
        </w:rPr>
        <w:t>e.g.</w:t>
      </w:r>
      <w:r>
        <w:rPr>
          <w:rFonts w:ascii="Times New Roman" w:hAnsi="Times New Roman"/>
          <w:b w:val="false"/>
          <w:sz w:val="18"/>
        </w:rPr>
        <w:t>10 patients in each treatment group) have the potential to be followed for at least 12 weeks after the initiation of investigational product. Following interim analysis, accrual to a treatment (i.e., ozuriftamab vedotin alone or in combination with an anti-PD-1 agent) may be put on hold if the number of patients with a response (i.e., confirmed or unconfirmed complete response or partial response) are below a pre-defined threshold. Depending on observed efficacy at the interim analysis, additional NSCLC and/or melanoma patients may be enrolled for a total of up to approximately 200 patients (100 patients in each of the 2 treatment groups) with ROR2-expressing, metastatic NSCLC and a total of up to approximately 200 patients with ROR2-expressing, metastatic melanoma. The accrual of patients to a treatment regimen(s) (i.e., ozuriftamab vedotin alone and/or ozuriftamab vedotin in combination with an anti-PD-1 agent) can be put on hold by the sponsor at any time based on evaluation of available data or by the IDMC at any time upon review of safety data. Treatment for all enrolled patients will continue until disease progression, unacceptable toxicity or other reason for treatment discontinuation.</w:t>
      </w:r>
    </w:p>
    <w:p>
      <w:pPr>
        <w:pStyle w:val="TextBody"/>
        <w:spacing w:lineRule="auto" w:line="273" w:before="324" w:after="0"/>
        <w:jc w:val="left"/>
        <w:rPr>
          <w:rFonts w:ascii="Times New Roman" w:hAnsi="Times New Roman"/>
          <w:b/>
          <w:i/>
          <w:sz w:val="18"/>
        </w:rPr>
      </w:pPr>
      <w:r>
        <w:rPr>
          <w:rFonts w:ascii="Times New Roman" w:hAnsi="Times New Roman"/>
          <w:b/>
          <w:i/>
          <w:sz w:val="18"/>
        </w:rPr>
        <w:t>BA3071</w:t>
      </w:r>
    </w:p>
    <w:p>
      <w:pPr>
        <w:pStyle w:val="TextBody"/>
        <w:spacing w:lineRule="auto" w:line="273" w:before="108" w:after="0"/>
        <w:jc w:val="left"/>
        <w:rPr>
          <w:rFonts w:ascii="Times New Roman" w:hAnsi="Times New Roman"/>
          <w:b w:val="false"/>
          <w:i/>
          <w:sz w:val="18"/>
        </w:rPr>
      </w:pPr>
      <w:r>
        <w:rPr>
          <w:rFonts w:ascii="Times New Roman" w:hAnsi="Times New Roman"/>
          <w:b w:val="false"/>
          <w:i/>
          <w:sz w:val="18"/>
        </w:rPr>
        <w:t>Preclinical studies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a mouse colon adenocarcinoma, or MC38, xenograft model in which the human CTLA-4 gene had been introduced, we found that BA3071 had similar antitumor efficacy as a traditional anti-CTLA-4 antibody that is an analog of ipilimumab, or an Ipi-analog. As shown below, BA3071 led to equivalent tumor regression to ipilimumab out of eight treated mice and in two instances we saw a complete response, or no detectable tumor remaining.</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center"/>
        <w:rPr>
          <w:rFonts w:ascii="Times New Roman" w:hAnsi="Times New Roman"/>
          <w:b/>
          <w:sz w:val="18"/>
        </w:rPr>
      </w:pPr>
      <w:r>
        <w:rPr>
          <w:rFonts w:ascii="Times New Roman" w:hAnsi="Times New Roman"/>
          <w:b/>
          <w:sz w:val="18"/>
        </w:rPr>
        <w:t>Efficacy in human CTLA-4 engineered mouse model</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2552700" cy="1800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52700" cy="1800225"/>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BA3071 had potent antitumor activity and led to two complete responses in an MC38 tumor cell line model in mice containing the human CTLA-4 gene.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As shown below, examination of the immune cell composition of treated tumors found that those treated with BA3071 antibodies had increased numbers of CD8 T cells than IgG control mice. CD8 T cells are effector cells that mediate tumor cell killing. These levels were similar to those observed in tumors treated with the ipilimumab analog.</w:t>
      </w:r>
    </w:p>
    <w:p>
      <w:pPr>
        <w:pStyle w:val="TextBody"/>
        <w:spacing w:lineRule="auto" w:line="273" w:before="210" w:after="0"/>
        <w:jc w:val="center"/>
        <w:rPr>
          <w:rFonts w:ascii="Times New Roman" w:hAnsi="Times New Roman"/>
          <w:b/>
          <w:sz w:val="18"/>
        </w:rPr>
      </w:pPr>
      <w:r>
        <w:rPr>
          <w:rFonts w:ascii="Times New Roman" w:hAnsi="Times New Roman"/>
          <w:b/>
          <w:sz w:val="18"/>
        </w:rPr>
        <w:t>Tumor infiltrating lymphocytes of human CTLA-4 engineered mice</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1914525" cy="1857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914525" cy="1857375"/>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BA3071 functioned similar to ipilimumab in stimulating CD8 T cells in tumors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contrast, BA3071 antibodies did not lead to changes in the T cell subsets in peripheral blood, as set forth in the figure below. The percentage of CD4 effector cells in CAB-treated mice were similar to those observed with the controls. The percentage of CD4 effector cells in ipilimumab analog-treated mice more than doubled, consistent with systemic inhibition of the CTLA-4 checkpoint. We believe that the observed tumor-restricted activity of BA3071 will be associated with fewer systemic target-based toxicities.</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center"/>
        <w:rPr>
          <w:rFonts w:ascii="Times New Roman" w:hAnsi="Times New Roman"/>
          <w:b/>
          <w:sz w:val="18"/>
        </w:rPr>
      </w:pPr>
      <w:r>
        <w:rPr>
          <w:rFonts w:ascii="Times New Roman" w:hAnsi="Times New Roman"/>
          <w:b/>
          <w:sz w:val="18"/>
        </w:rPr>
        <w:t>Normal peripheral blood lymphocytes of human CTLA-4 engineered mice</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2133600" cy="1762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133600" cy="1762125"/>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Unlike the ipilimumab analog, BA3071 did not lead to stimulation of T cells in peripheral blood</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Safety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preclinical toxicity study of BA3071 in non-human primates compares its safety profile to that of ipilimumab. Specifically, as shown in the figure below, we examined the gastrointestinal toxicities associated with combination therapy with nivolumab. To examine toxicities, these animals were dosed with high levels of both agents. Dosing of non-human primates with BA3071 in combination with nivolumab was associated with fewer occurrences of events associated with gastrointestinal toxicity than the combination of ipilimumab and nivolumab. These animals received 20 mg/kg nivolumab, which represents 12 times the human dose, and either 15 mg/kg of ipilimumab or 15 mg/kg of BA3071, which we estimate is 45 to 60 times the current human dose. There were 33 gastrointestinal events such as liquid feces, non-formed feces and other gastrointestinal symptoms in the ipilimumab plus nivolumab combination across 29 days and five animals. There was only a single case of liquid feces in one animal on one day in the BA3071 plus nivolumab treatment group.</w:t>
      </w:r>
    </w:p>
    <w:p>
      <w:pPr>
        <w:pStyle w:val="TextBody"/>
        <w:spacing w:lineRule="auto" w:line="273" w:before="216" w:after="0"/>
        <w:jc w:val="center"/>
        <w:rPr>
          <w:rFonts w:ascii="Times New Roman" w:hAnsi="Times New Roman"/>
          <w:b/>
          <w:sz w:val="18"/>
        </w:rPr>
      </w:pPr>
      <w:r>
        <w:rPr>
          <w:rFonts w:ascii="Times New Roman" w:hAnsi="Times New Roman"/>
          <w:b/>
          <w:sz w:val="18"/>
        </w:rPr>
        <w:t>Toxicity study of BA3071 comparing its safety profile to ipilimumab</w:t>
      </w:r>
    </w:p>
    <w:p>
      <w:pPr>
        <w:pStyle w:val="TextBody"/>
        <w:spacing w:lineRule="auto" w:line="273" w:before="0" w:after="0"/>
        <w:jc w:val="left"/>
        <w:rPr/>
      </w:pPr>
      <w:r>
        <w:rPr/>
        <w:t> </w:t>
      </w:r>
    </w:p>
    <w:p>
      <w:pPr>
        <w:pStyle w:val="TextBody"/>
        <w:spacing w:lineRule="auto" w:line="273" w:before="0" w:after="0"/>
        <w:jc w:val="center"/>
        <w:rPr/>
      </w:pPr>
      <w:r>
        <w:rPr/>
        <w:drawing>
          <wp:inline distT="0" distB="0" distL="0" distR="0">
            <wp:extent cx="5934075" cy="31527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934075" cy="3152775"/>
                    </a:xfrm>
                    <a:prstGeom prst="rect">
                      <a:avLst/>
                    </a:prstGeom>
                  </pic:spPr>
                </pic:pic>
              </a:graphicData>
            </a:graphic>
          </wp:inline>
        </w:drawing>
      </w:r>
      <w:r>
        <w:rPr/>
        <w:t> </w:t>
      </w:r>
    </w:p>
    <w:p>
      <w:pPr>
        <w:pStyle w:val="TextBody"/>
        <w:spacing w:lineRule="auto" w:line="273" w:before="216" w:after="0"/>
        <w:jc w:val="center"/>
        <w:rPr>
          <w:rFonts w:ascii="Times New Roman" w:hAnsi="Times New Roman"/>
          <w:b/>
          <w:sz w:val="18"/>
        </w:rPr>
      </w:pPr>
      <w:r>
        <w:rPr>
          <w:rFonts w:ascii="Times New Roman" w:hAnsi="Times New Roman"/>
          <w:b/>
          <w:sz w:val="18"/>
        </w:rPr>
        <w:t>Treatment of non-human primates with a combination of BA3071 and nivolumab resulted in fewer gastrointestinal adverse events than treatment with ipilimumab and nivolumab.</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These results were consistent with the preclinical results shown two and three figures above that demonstrated that CAB anti-CTLA-4 antibodies had insignificant target-based activity outside of tumors. We believe that this non-human primate study provides support for assessing the safety and tolerability of BA3071 in clinical trials. We anticipate that BA3071 will have a wider therapeutic window than ipilimumab, which may enable it to be better tolerated when used in combination with an anti-PD-1 antibody with the potential to further increase efficacy by allowing administration of higher doses and longer duration of treatment.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Clinical Development Plans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initiated a Phase 1 dose-escalation trial of BA3071 in advanced solid tumor patients in 2021 and expect our first enrolled patient in the first half of 2022. We expect this trial will examine the safety and tolerability of BA3071 at doses ranging from 7mg Q3W to 700mg Q3W (equivalent to 10mg/kg of ipilimumab) as monotherapy and in combination with an anti-PD-1 antibody.</w:t>
      </w:r>
    </w:p>
    <w:p>
      <w:pPr>
        <w:pStyle w:val="TextBody"/>
        <w:spacing w:lineRule="auto" w:line="273" w:before="324" w:after="0"/>
        <w:jc w:val="left"/>
        <w:rPr>
          <w:rFonts w:ascii="Times New Roman" w:hAnsi="Times New Roman"/>
          <w:sz w:val="20"/>
        </w:rPr>
      </w:pPr>
      <w:r>
        <w:rPr>
          <w:rFonts w:ascii="Times New Roman" w:hAnsi="Times New Roman"/>
          <w:b w:val="false"/>
          <w:sz w:val="18"/>
          <w:u w:val="single"/>
        </w:rPr>
        <w:t>BA3361: CAB-Nectin-4-ADC</w:t>
      </w:r>
      <w:r>
        <w:rPr>
          <w:rFonts w:ascii="Times New Roman" w:hAnsi="Times New Roman"/>
          <w:sz w:val="20"/>
        </w:rPr>
        <w:t xml:space="preserve">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Nectin-4 is widely expressed and has adhesive roles in normal tissues. The CAB selectivity to target Nectin-4 in the tumor microenvironment is critical in providing the necessary safety to deliver the drug conjugate selectively to cancerous tissue. A clinical candidate was selected from a set of lead molecules that were characterized by multiple assays including functional assays. In addition to the assay performance, the lead candidate demonstrated high binding under tumor conditions and little to no binding under normal physiological conditions. The candidate is in cell line development and a new, highly stable linker was successfully tested in vitro and in vivo.</w:t>
      </w:r>
    </w:p>
    <w:p>
      <w:pPr>
        <w:pStyle w:val="TextBody"/>
        <w:spacing w:lineRule="auto" w:line="273" w:before="324" w:after="0"/>
        <w:jc w:val="left"/>
        <w:rPr>
          <w:rFonts w:ascii="Times New Roman" w:hAnsi="Times New Roman"/>
          <w:b w:val="false"/>
          <w:sz w:val="18"/>
          <w:u w:val="single"/>
        </w:rPr>
      </w:pPr>
      <w:r>
        <w:rPr>
          <w:rFonts w:ascii="Times New Roman" w:hAnsi="Times New Roman"/>
          <w:b w:val="false"/>
          <w:sz w:val="18"/>
          <w:u w:val="single"/>
        </w:rPr>
        <w:t>BA3151: CAB-B7-H4-ADC</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B7-H4 is highly expressed on numerous tumor tissues and the expression level directly correlates with adverse clinical and pathological features. A set of lead molecules were characterized in vitro including functional assays and in vivo efficacy models. Selection of the lead candidate was based on criteria including high binding activity under tumor conditions and low binding activity under normal physiological conditions.</w:t>
      </w:r>
    </w:p>
    <w:p>
      <w:pPr>
        <w:pStyle w:val="TextBody"/>
        <w:spacing w:lineRule="auto" w:line="273" w:before="324" w:after="0"/>
        <w:jc w:val="left"/>
        <w:rPr>
          <w:rFonts w:ascii="Times New Roman" w:hAnsi="Times New Roman"/>
          <w:b/>
          <w:i/>
          <w:sz w:val="18"/>
        </w:rPr>
      </w:pPr>
      <w:r>
        <w:rPr>
          <w:rFonts w:ascii="Times New Roman" w:hAnsi="Times New Roman"/>
          <w:b/>
          <w:i/>
          <w:sz w:val="18"/>
        </w:rPr>
        <w:t>Bispecific candidates</w:t>
      </w:r>
    </w:p>
    <w:p>
      <w:pPr>
        <w:pStyle w:val="TextBody"/>
        <w:spacing w:lineRule="auto" w:line="273" w:before="108" w:after="0"/>
        <w:jc w:val="left"/>
        <w:rPr>
          <w:rFonts w:ascii="Times New Roman" w:hAnsi="Times New Roman"/>
          <w:b w:val="false"/>
          <w:sz w:val="18"/>
          <w:u w:val="single"/>
        </w:rPr>
      </w:pPr>
      <w:r>
        <w:rPr>
          <w:rFonts w:ascii="Times New Roman" w:hAnsi="Times New Roman"/>
          <w:b w:val="false"/>
          <w:sz w:val="18"/>
          <w:u w:val="single"/>
        </w:rPr>
        <w:t>BA3182: EpCAM x CD3</w:t>
      </w:r>
    </w:p>
    <w:p>
      <w:pPr>
        <w:pStyle w:val="TextBody"/>
        <w:spacing w:lineRule="auto" w:line="273" w:before="108" w:after="0"/>
        <w:jc w:val="left"/>
        <w:rPr>
          <w:rFonts w:ascii="Times New Roman" w:hAnsi="Times New Roman"/>
          <w:sz w:val="20"/>
        </w:rPr>
      </w:pPr>
      <w:r>
        <w:rPr>
          <w:rFonts w:ascii="Times New Roman" w:hAnsi="Times New Roman"/>
          <w:b w:val="false"/>
          <w:sz w:val="18"/>
        </w:rPr>
        <w:t>We have developed and conducted preclinical studies of an EpCAM x CD3 bispecific candidate, BA3182, with an EpCAM binding domain and a CD3 binding domain , both binding domains with CAB activity (Dual-CAB). Dosage was 1mg per kilogram twice per week in mice, which is roughly equivalent to 0.25 mg per kilogram in non-human primates. As shown below, we found this construct had a potent antitumor activity in a HCT116, a human colorectal carcinoma cell line, xenograft model in mice with a humanized immune system.</w:t>
      </w:r>
      <w:r>
        <w:rPr>
          <w:rFonts w:ascii="Times New Roman" w:hAnsi="Times New Roman"/>
          <w:sz w:val="20"/>
        </w:rPr>
        <w:t xml:space="preserve"> </w:t>
      </w:r>
    </w:p>
    <w:p>
      <w:pPr>
        <w:pStyle w:val="TextBody"/>
        <w:spacing w:lineRule="auto" w:line="273" w:before="108" w:after="0"/>
        <w:jc w:val="center"/>
        <w:rPr>
          <w:rFonts w:ascii="Times New Roman" w:hAnsi="Times New Roman"/>
          <w:sz w:val="20"/>
        </w:rPr>
      </w:pPr>
      <w:r>
        <w:rPr>
          <w:rFonts w:ascii="Times New Roman" w:hAnsi="Times New Roman"/>
          <w:b w:val="false"/>
          <w:sz w:val="18"/>
        </w:rPr>
        <w:br/>
        <w:br/>
      </w:r>
      <w:r>
        <w:rPr>
          <w:rFonts w:ascii="Times New Roman" w:hAnsi="Times New Roman"/>
          <w:sz w:val="20"/>
        </w:rPr>
        <w:drawing>
          <wp:inline distT="0" distB="0" distL="0" distR="0">
            <wp:extent cx="4048125" cy="26479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048125" cy="2647950"/>
                    </a:xfrm>
                    <a:prstGeom prst="rect">
                      <a:avLst/>
                    </a:prstGeom>
                  </pic:spPr>
                </pic:pic>
              </a:graphicData>
            </a:graphic>
          </wp:inline>
        </w:drawing>
      </w:r>
      <w:r>
        <w:rPr>
          <w:rFonts w:ascii="Times New Roman" w:hAnsi="Times New Roman"/>
          <w:sz w:val="20"/>
        </w:rPr>
        <w:t> </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Safety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While there was no observable difference in antitumor efficacy between antibodies with CAB domains and those with conventional non-CAB antigen-binding domains, a conventional EpCAM x CD3 bispecific antibody led to a much higher level of undesirable systemic immune activation than the CAB EpCAM x CAB CD3 bispecific antibody in non-human primates.</w:t>
      </w:r>
    </w:p>
    <w:p>
      <w:pPr>
        <w:pStyle w:val="TextBody"/>
        <w:spacing w:lineRule="auto" w:line="273" w:before="324" w:after="0"/>
        <w:jc w:val="left"/>
        <w:rPr>
          <w:rFonts w:ascii="Times New Roman" w:hAnsi="Times New Roman"/>
          <w:b w:val="false"/>
          <w:sz w:val="18"/>
          <w:u w:val="single"/>
        </w:rPr>
      </w:pPr>
      <w:r>
        <w:rPr>
          <w:rFonts w:ascii="Times New Roman" w:hAnsi="Times New Roman"/>
          <w:b w:val="false"/>
          <w:sz w:val="18"/>
          <w:u w:val="single"/>
        </w:rPr>
        <w:t>BA3142: B7-H3 x CD3</w:t>
      </w:r>
    </w:p>
    <w:p>
      <w:pPr>
        <w:pStyle w:val="TextBody"/>
        <w:spacing w:lineRule="auto" w:line="273" w:before="108" w:after="0"/>
        <w:jc w:val="left"/>
        <w:rPr>
          <w:rFonts w:ascii="Times New Roman" w:hAnsi="Times New Roman"/>
          <w:sz w:val="20"/>
        </w:rPr>
      </w:pPr>
      <w:r>
        <w:rPr>
          <w:rFonts w:ascii="Times New Roman" w:hAnsi="Times New Roman"/>
          <w:b w:val="false"/>
          <w:sz w:val="18"/>
        </w:rPr>
        <w:t>Our second bispecific product candidate, BA3142, is a dual-CAB T-cell engager targeting B7-H3, a protein expressed on many solid tumors. The lead molecule was characterized by multiple assays including functional assays, and by efficacy studies in a xenograft model of human pharyngeal cancer using mice with a humanized immune system. The lead molecule showed antitumor activity comparable to a non-CAB antibody, while demonstrating lower binding and functional activity under physiological conditions, as expected for a CAB bispecific antibody.</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sz w:val="20"/>
        </w:rPr>
      </w:pPr>
      <w:r>
        <w:rPr>
          <w:rFonts w:ascii="Times New Roman" w:hAnsi="Times New Roman"/>
          <w:b w:val="false"/>
          <w:sz w:val="18"/>
          <w:u w:val="single"/>
        </w:rPr>
        <w:t>BA3311: EGFR x CD3</w:t>
      </w:r>
      <w:r>
        <w:rPr>
          <w:rFonts w:ascii="Times New Roman" w:hAnsi="Times New Roman"/>
          <w:sz w:val="20"/>
        </w:rPr>
        <w:t xml:space="preserve">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Targeting EGFR with a CAB bispecific antibody is expected to provide benefit since the target is widely expressed in healthy tissue, such as skin, which would otherwise result in on-target, off-tumor toxicity if targeted by a non-CAB antibody. A set of lead molecules were characterized by multiple assays including functional assays and all demonstrated high activity at acidic pH with little to no activity under physiological conditions. Studies, using a colorectal cancer model to select the clinical lead, are in progress and are expected to be completed in the first quarter of 2022.</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Clinical Development Plans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believe that our CAB technology opens up the opportunity for the creation of a broad set of bispecific product candidates with antitumor potential. Through these CAB bispecific antibodies, we believe we can activate T cells directly in tumors using CAB domains targeting tumor-specific antigens. Our CAB bispecific antibodies are not expected to lead to systemic immune activation, which we believe may allow for increased efficacy through more potent T cell activation, higher doses or administration in combination with other immuno-oncology therapies, such as checkpoint inhibitors.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shown in preclinical experiments that our CAB bispecific molecules meet or exceed the activity of conventional bispecifics and reduce systemic activation of potentially fatal immune responses. We have advanced two CAB bispecific antibody product candidates, BA3182 (EpCAM x CD3) and BA3142 (B7H3 x CD3) into preclinical studies, and BA3311 (EGFR x CD3) is a current subject of IND enabling studies. We believe that our CAB technology opens up the opportunity for the creation of a broad set of bispecific product candidates with antitumor potential. Through these CAB bispecific antibodies, we believe we can activate T cells directly in tumors using CAB domains targeting tumor-specific antigens. Our CAB bispecific antibodies are not expected to lead to systemic immune activation, which we believe may allow for increased efficacy through more potent T cell activation, higher doses or administration in combination with other immuno-oncology therapies, such as checkpoint inhibitors.</w:t>
      </w:r>
    </w:p>
    <w:p>
      <w:pPr>
        <w:pStyle w:val="TextBody"/>
        <w:spacing w:lineRule="auto" w:line="273" w:before="324" w:after="0"/>
        <w:jc w:val="left"/>
        <w:rPr>
          <w:rFonts w:ascii="Times New Roman" w:hAnsi="Times New Roman"/>
          <w:b/>
          <w:sz w:val="18"/>
        </w:rPr>
      </w:pPr>
      <w:r>
        <w:rPr>
          <w:rFonts w:ascii="Times New Roman" w:hAnsi="Times New Roman"/>
          <w:b/>
          <w:sz w:val="18"/>
        </w:rPr>
        <w:t>Competition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 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pStyle w:val="TextBody"/>
        <w:spacing w:lineRule="auto" w:line="273" w:before="216" w:after="0"/>
        <w:jc w:val="left"/>
        <w:rPr>
          <w:rFonts w:ascii="Times New Roman" w:hAnsi="Times New Roman"/>
          <w:sz w:val="20"/>
        </w:rPr>
      </w:pPr>
      <w:r>
        <w:rPr>
          <w:rFonts w:ascii="Times New Roman" w:hAnsi="Times New Roman"/>
          <w:b w:val="false"/>
          <w:sz w:val="18"/>
        </w:rPr>
        <w:t>There are numerous companies in various stages of clinical development of ADCs, one of the key feature of our product candidates mecbotamab vedotin and ozuriftamab vedotin. Currently, there are multiple approved ADCs and many more in clinical development, the vast majority of which were being developed for the treatment of cancer. Certain other companies are also pursuing antibody therapies in immuno-oncology, such as Seattle Genetics. Although we do not believe competing companies have selective CAB technology, there is a wide array of activity in multiple areas of immune-based cellular therapies for oncology.</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although yet to be identified,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spacing w:lineRule="auto" w:line="273" w:before="324" w:after="0"/>
        <w:jc w:val="left"/>
        <w:rPr>
          <w:rFonts w:ascii="Times New Roman" w:hAnsi="Times New Roman"/>
          <w:b/>
          <w:sz w:val="18"/>
        </w:rPr>
      </w:pPr>
      <w:r>
        <w:rPr>
          <w:rFonts w:ascii="Times New Roman" w:hAnsi="Times New Roman"/>
          <w:b/>
          <w:sz w:val="18"/>
        </w:rPr>
        <w:t>Manufacturing</w:t>
      </w:r>
    </w:p>
    <w:p>
      <w:pPr>
        <w:pStyle w:val="TextBody"/>
        <w:spacing w:lineRule="auto" w:line="273" w:before="108" w:after="0"/>
        <w:jc w:val="left"/>
        <w:rPr>
          <w:rFonts w:ascii="Times New Roman" w:hAnsi="Times New Roman"/>
          <w:sz w:val="20"/>
        </w:rPr>
      </w:pPr>
      <w:r>
        <w:rPr>
          <w:rFonts w:ascii="Times New Roman" w:hAnsi="Times New Roman"/>
          <w:b w:val="false"/>
          <w:sz w:val="18"/>
        </w:rPr>
        <w:t>Our CAB antibodies are designed and produced using our patented Comprehensive Integrated Antibody Optimization</w:t>
      </w:r>
      <w:r>
        <w:rPr>
          <w:rFonts w:ascii="Times New Roman" w:hAnsi="Times New Roman"/>
          <w:b w:val="false"/>
          <w:sz w:val="12"/>
        </w:rPr>
        <w:t>TM</w:t>
      </w:r>
      <w:r>
        <w:rPr>
          <w:rFonts w:ascii="Times New Roman" w:hAnsi="Times New Roman"/>
          <w:b w:val="false"/>
          <w:sz w:val="18"/>
        </w:rPr>
        <w:t>, or CIAO!</w:t>
      </w:r>
      <w:r>
        <w:rPr>
          <w:rFonts w:ascii="Times New Roman" w:hAnsi="Times New Roman"/>
          <w:b w:val="false"/>
          <w:sz w:val="12"/>
        </w:rPr>
        <w:t>TM</w:t>
      </w:r>
      <w:r>
        <w:rPr>
          <w:rFonts w:ascii="Times New Roman" w:hAnsi="Times New Roman"/>
          <w:b w:val="false"/>
          <w:sz w:val="18"/>
        </w:rPr>
        <w:t>, technology. The successful evolution, design, and development of a CAB antibody with specific characteristics and qualities require that the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 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current good manufacturing practices, or cGMPs, and project management experience to oversee our third-party manufacturers and to manage manufacturing and quality data and information for regulatory compliance purposes.</w:t>
      </w:r>
    </w:p>
    <w:p>
      <w:pPr>
        <w:pStyle w:val="TextBody"/>
        <w:spacing w:lineRule="auto" w:line="273" w:before="324" w:after="0"/>
        <w:jc w:val="left"/>
        <w:rPr>
          <w:rFonts w:ascii="Times New Roman" w:hAnsi="Times New Roman"/>
          <w:b/>
          <w:sz w:val="18"/>
        </w:rPr>
      </w:pPr>
      <w:r>
        <w:rPr>
          <w:rFonts w:ascii="Times New Roman" w:hAnsi="Times New Roman"/>
          <w:b/>
          <w:sz w:val="18"/>
        </w:rPr>
        <w:t>Collaborations</w:t>
      </w:r>
    </w:p>
    <w:p>
      <w:pPr>
        <w:pStyle w:val="TextBody"/>
        <w:spacing w:lineRule="auto" w:line="273" w:before="108" w:after="0"/>
        <w:jc w:val="left"/>
        <w:rPr>
          <w:rFonts w:ascii="Times New Roman" w:hAnsi="Times New Roman"/>
          <w:sz w:val="20"/>
        </w:rPr>
      </w:pPr>
      <w:r>
        <w:rPr>
          <w:rFonts w:ascii="Times New Roman" w:hAnsi="Times New Roman"/>
          <w:b w:val="false"/>
          <w:sz w:val="18"/>
        </w:rPr>
        <w:t>We intend to selectively enter into collaborations to maximize the value of our platform and pipeline.</w:t>
        <w:br/>
      </w:r>
      <w:r>
        <w:rPr>
          <w:rFonts w:ascii="Times New Roman" w:hAnsi="Times New Roman"/>
          <w:sz w:val="20"/>
        </w:rPr>
        <w:t> </w:t>
      </w:r>
    </w:p>
    <w:p>
      <w:pPr>
        <w:pStyle w:val="TextBody"/>
        <w:spacing w:lineRule="auto" w:line="273" w:before="324" w:after="0"/>
        <w:jc w:val="left"/>
        <w:rPr>
          <w:rFonts w:ascii="Times New Roman" w:hAnsi="Times New Roman"/>
          <w:b/>
          <w:sz w:val="18"/>
        </w:rPr>
      </w:pPr>
      <w:r>
        <w:rPr>
          <w:rFonts w:ascii="Times New Roman" w:hAnsi="Times New Roman"/>
          <w:b/>
          <w:sz w:val="18"/>
        </w:rPr>
        <w:t>License Agreements</w:t>
      </w:r>
    </w:p>
    <w:p>
      <w:pPr>
        <w:pStyle w:val="TextBody"/>
        <w:spacing w:lineRule="auto" w:line="273" w:before="108" w:after="0"/>
        <w:jc w:val="left"/>
        <w:rPr>
          <w:rFonts w:ascii="Times New Roman" w:hAnsi="Times New Roman"/>
          <w:b/>
          <w:i/>
          <w:sz w:val="18"/>
        </w:rPr>
      </w:pPr>
      <w:r>
        <w:rPr>
          <w:rFonts w:ascii="Times New Roman" w:hAnsi="Times New Roman"/>
          <w:b/>
          <w:i/>
          <w:sz w:val="18"/>
        </w:rPr>
        <w:t>Global Co-Development and Collaboration Agreement with BeiGene, Ltd.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April 2019, we entered into a Global Co-Development and Collaboration Agreement with BeiGene, Ltd. which, as amended in December 2019 and October 2020, provided for the development, manufacturing and commercialization of BioAtla’s investigational CAB CTLA-4 antibody, BA3071. Under the terms of our BeiGene collaboration, BeiGene was generally responsible for developing the CAB-CTLA-4 antibody and for global regulatory filings and commercialization. Subject to the terms of the agreement, BeiGene held an exclusive license with BioAtla to develop and manufacture the product candidate globally. BeiGene was responsible for all costs of development, manufacturing and commercialization globally. At the time of execution of the BeiGene collaboration, we received a $20 million upfront payment and in December 2019, we received an additional $5 million for the reimbursement of manufacturing costs. We were eligible to receive subsequent development and regulatory milestones globally and commercial milestones in the BeiGene territory, together with tiered royalties on sales worldwide.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On November 19, 2021, we entered into Amendment No. 3 to the Global Co-Development and Collaboration Agreement ( “Amendment No.3”) Under Amendment No. 3, the collaboration agreement was terminated, subject to survival of certain provisions, and BeiGene handed back rights to certain know-how and materials received under the collaboration agreement and we assumed responsibility for the development and commercialization of BA3071, in addition to other standard provisions. As consideration for Amendment No.3, we agreed to pay BeiGene mid-single digit royalties on sales worldwide and on a limited basis will share in any upfront and milestone payments received through a sublicense of BA3071.</w:t>
      </w:r>
    </w:p>
    <w:p>
      <w:pPr>
        <w:pStyle w:val="TextBody"/>
        <w:spacing w:lineRule="auto" w:line="273" w:before="216" w:after="0"/>
        <w:jc w:val="left"/>
        <w:rPr>
          <w:rFonts w:ascii="Times New Roman" w:hAnsi="Times New Roman"/>
          <w:b/>
          <w:i/>
          <w:sz w:val="18"/>
        </w:rPr>
      </w:pPr>
      <w:r>
        <w:rPr>
          <w:rFonts w:ascii="Times New Roman" w:hAnsi="Times New Roman"/>
          <w:b/>
          <w:i/>
          <w:sz w:val="18"/>
        </w:rPr>
        <w:t>Exclusive License Agreement with Inversagen, LLC</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March 2019, we entered into an Exclusive License Agreement with Inversagen, LLC, as amended in July 2020. Under the terms of the agreement, we granted Inversagen an exclusive, worldwide, royalty-bearing license under certain patents and know-how controlled by us to develop, make, have made, sell, have sold, offer for sale and import CAB-antibodies for the field of diseases associated with aging, outside of cancer, and an immuno-oncology antibody. We may perform development services under the agreement and will be reimbursed by Inversagen for our costs. Commencing on the first commercial sale of the CAB-antibodies and immuno-oncology antibody subject to the agreement, Inversagen will pay us royalties in the mid-single digits, which represents a variable interest held by us. We have an option for a period of 10 years to acquire the sole and exclusive rights solely to develop, make, have made, use, sell, have sold, offer for sale and import the immuno-oncology antibody in the field worldwide (except for the People’s Republic of China, Hong Kong, Taiwan and Macau) in return for royalty payments in the low-single digits during the applicable royalty term. For both royalties paid to us by Inversagen and, upon exercise of our option, royalties paid to Inversagen by us, the royalty term, on a product-by-product basis, is the period of time commencing on the first commercial sale of such product in a country and ending upon the later to occur of (i) expiration of the last-to-expire valid claim of the patent rights controlled by us or by Inversagen covering the manufacture, use, sale, offer for sale or import of such product, (ii) 10 years following the first commercial sale of such product in such country and (iii) the expiration of regulatory exclusivity for such product in such country. Unless earlier terminated, the agreement continues in effect so long as Inversagen or any of its affiliates, licensees or sublicensees are developing or commercializing the CAB-antibodies or immuno-oncology antibody in the field or we or any of our affiliates, licensees or sublicensees are developing or commercializing the CAB-antibodies or immuno-oncology antibody outside the field. We can also terminate the agreement with 30 days prior written notice for Inversagen’s failure to pay. No payments have been made to date.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i/>
          <w:sz w:val="18"/>
        </w:rPr>
      </w:pPr>
      <w:r>
        <w:rPr>
          <w:rFonts w:ascii="Times New Roman" w:hAnsi="Times New Roman"/>
          <w:b/>
          <w:i/>
          <w:sz w:val="18"/>
        </w:rPr>
        <w:t>Amended and Restated Exclusive Rights Agreement with Himalaya Therapeutics SEZC</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the People's Republic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option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 (i) 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pStyle w:val="TextBody"/>
        <w:spacing w:lineRule="auto" w:line="273" w:before="216" w:after="0"/>
        <w:jc w:val="left"/>
        <w:rPr>
          <w:rFonts w:ascii="Times New Roman" w:hAnsi="Times New Roman"/>
          <w:b/>
          <w:i/>
          <w:sz w:val="18"/>
        </w:rPr>
      </w:pPr>
      <w:r>
        <w:rPr>
          <w:rFonts w:ascii="Times New Roman" w:hAnsi="Times New Roman"/>
          <w:b/>
          <w:i/>
          <w:sz w:val="18"/>
        </w:rPr>
        <w:t>Exclusive License Agreement with BioAtla Holdings, LLC</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January 2020, we entered into an Exclusive License Agreement with BioAtla Holdings, LLC, as amended in July 2020. Under the terms of the agreement, we granted BioAtla Holdings an exclusive, worldwide license under certain patents and know-how controlled by us to develop, make, have made, use, sell, have sold, offer for sale and import CAB antibodies for certain targets in the field of Adoptive Cell Therapy, or ACT (CAR-T). Commencing on the first commercial sale of the CAB antibodies subject to the agreement, BioAtla Holdings will pay us royalties in the mid-single digits, which represents a variable interest held by us. We have an option for a period of 10 years to acquire the sole and exclusive rights solely to develop, make, have made, use, sell, have sold, offer for sale and import the ACT preparations and ACT treatments in the ACT field worldwide (except for the People’s Republic of China, Hong Kong, Taiwan and Macau) in return for royalty payments in the low-single digits during the applicable royalty term. For both royalties paid to us by BioAtla Holdings and, upon exercise of our option, royalties paid to BioAtla Holdings by us, the royalty term, on a product-by-product basis, is the period of time commencing on the first commercial sale of such product in a country and ending upon the expiration of the last-to-expire valid claim of the patent rights controlled by us or by BioAtla Holdings covering the manufacture, use, sale, offer for sale or import of such product. We will not owe BioAtla Holdings any milestone or royalty payments unless we exercise our option to acquire the rights to the ACT preparations and ACT treatments. During the term of the agreement, we agreed not to develop, make, have made, use, sell, have sold, offer for sale or import any CAB ACT treatment in the field of ACT. Unless earlier terminated, the agreement continues in effect so long as BioAtla Holdings or any of its affiliates, licensees or sublicensees are developing or commercializing the ACT preparations and treatments in the ACT field or we or any of our affiliates, licensees or sublicensees are developing or commercializing any CAB non-ACT product for any indication outside the ACT field. The agreement may be terminated only by the mutual written agreement of the parties. No payments have been made to date.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effective January 2020, we entered into a Royalty Sharing Agreement whereby we agreed to share with BioAtla Holdings 50% of the royalties we receive under the license agreement with EXUMA Biotech Corp. (formerly F1 Oncology, Inc.) described below.</w:t>
      </w:r>
    </w:p>
    <w:p>
      <w:pPr>
        <w:pStyle w:val="TextBody"/>
        <w:spacing w:lineRule="auto" w:line="273" w:before="216" w:after="0"/>
        <w:jc w:val="left"/>
        <w:rPr>
          <w:rFonts w:ascii="Times New Roman" w:hAnsi="Times New Roman"/>
          <w:b/>
          <w:i/>
          <w:sz w:val="18"/>
        </w:rPr>
      </w:pPr>
      <w:r>
        <w:rPr>
          <w:rFonts w:ascii="Times New Roman" w:hAnsi="Times New Roman"/>
          <w:b/>
          <w:i/>
          <w:sz w:val="18"/>
        </w:rPr>
        <w:t>Amended and Restated Exclusive License Agreement with EXUMA Biotech Corp</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May 2016, we entered into an Exclusive License Agreement with EXUMA Biotech Corp. (“EXUMA”, formerly F1 Oncology, Inc.) and its affiliates, which, as amended in July 2016 and November 2017 and as amended and restated in November 2019, granted an exclusive, worldwide, sublicensable license under certain patents and know-how controlled by us to develop, manufacture and commercialize four CAB ACT (CAR-T) preparations and treatments for cancer. EXUMA granted us an exclusive, worldwide, royalty free, fully paid-up, sublicensable license under certain patents and know-how controlled by EXUMA and EXUMA’s interest in technology jointly developed under the agreement to develop, manufacture and commercialize non-ACT CAB products for any indication.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EXUMA is obligated to pay us during the royalty term, on a product-by-product basis and country-by-country basis, mid-single-digit royalties based on annual net sales of certain EXUMA ACT products, subject to certain adjustments. The term during which EXUMA is obligated to pay royalties under the agreement with respect to any particular product in any particular country, will begin on the first commercial sale of such product in such country and will end on the date of expiration of the last-to-expire of certain product-related patent rights in such country.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Unless earlier terminated, the agreement continues in effect so long as EXUMA or any of its affiliates, licensees or sublicensees are developing or commercializing any EXUMA products in the ACT field or we or any of our affiliates, licensees or sublicensees are developing or commercializing any CAB products for any indication outside the ACT field. The agreement may be terminated only by the mutual written agreement of the parties.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connection with the agreement, we received common and preferred stock of EXUMA. These holdings of EXUMA common and preferred stock were retained by BioAtla Holdings in connection with the LLC Division.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November 22, 2019, we entered into an Amended and Restated Exclusive License Agreement with EXUMA, which curtailed the rights to certain CAB intellectual property previously licensed to EXUMA in exchange for a one-time, non-refundable, non-creditable license fee of $10,000, but does not change EXUMA’s obligation to pay us royalties on licensed products. In connection with the Amended and Restated Exclusive License Agreement, BioAtla Holdings sold its EXUMA common and preferred holdings back to EXUMA for consideration of $25,000.</w:t>
      </w:r>
    </w:p>
    <w:p>
      <w:pPr>
        <w:pStyle w:val="TextBody"/>
        <w:spacing w:lineRule="auto" w:line="273" w:before="216" w:after="0"/>
        <w:jc w:val="left"/>
        <w:rPr>
          <w:rFonts w:ascii="Times New Roman" w:hAnsi="Times New Roman"/>
          <w:b/>
          <w:i/>
          <w:sz w:val="18"/>
        </w:rPr>
      </w:pPr>
      <w:r>
        <w:rPr>
          <w:rFonts w:ascii="Times New Roman" w:hAnsi="Times New Roman"/>
          <w:b/>
          <w:i/>
          <w:sz w:val="18"/>
        </w:rPr>
        <w:t>CHO-S Cell Line License Agreement with Life Technologies Corporation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On June 28, 2018, we entered into the CHO-S Cell Line License Agreement with Life Technologies Corporation. Under the terms of the agreement, Life Technologies Corporation provides and grants to us a worldwide, non-exclusive, royalty-free, non-sublicensable license to use certain CHO-S cells to make, or have made, recombinant proteins for clinical or commercial purposes and to seek regulatory approval for the sale of such recombinant proteins in exchange for a one-time, non-refundable, non-creditable license fee of $400,000. No royalties are due by us to Life Technologies Corporation under the agreement. Additional specific lots of Life Technologies Corporation’s recombinant proteins may be ordered by us for an additional fee of $50,000 per lot. The term of the agreement continues in perpetuity unless terminated by either party.</w:t>
      </w:r>
    </w:p>
    <w:p>
      <w:pPr>
        <w:pStyle w:val="TextBody"/>
        <w:spacing w:lineRule="auto" w:line="273" w:before="324" w:after="0"/>
        <w:jc w:val="left"/>
        <w:rPr>
          <w:rFonts w:ascii="Times New Roman" w:hAnsi="Times New Roman"/>
          <w:b/>
          <w:sz w:val="18"/>
        </w:rPr>
      </w:pPr>
      <w:r>
        <w:rPr>
          <w:rFonts w:ascii="Times New Roman" w:hAnsi="Times New Roman"/>
          <w:b/>
          <w:sz w:val="18"/>
        </w:rPr>
        <w:t>Intellectual property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 patent applications. As of December 31, 2021, we had 584 patents and patent applications with 319 issued, 8 allowed applications and 257 pending applications.</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The objectives of our IP strategy are to increase shareholder value by adequately protecting our platform technologies and compositions of matter, discerning and maximizing the value of our patent portfolio, providing a flexible portfolio that is aligned with our business model and maintaining a cost-effective strategy. We achieve these goals by creating a defensible patent shield, employing most-likely-to-succeed strategies, patenting strategically to reinforce the value of our IP and to minimize costs related to patenting while maximizing value, and by understanding the technology landscape to ensure patentability and freedom to operate. For our CAB products, we act strategically to maximize patent term by timely filing our patent applications.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recognize that the ability to obtain patent protection and the degree of such protection depends on a number of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file our applications with the U.S. Patent and Trademark Office to establish a priority filing date. Generally, we initially file provisional applications. Provisional applications are designed to provide a lower-cost first patent application filing in the United States. 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Subsequently, when appropriate, we pursue patent applications in foreign countries. The PCT system for filing international patent applications is used. This system allows a single application to be filed within 12 months of the original priority date of the patent application designating all 153 PCT member states (including countries in South, Central and North America, Africa, Europe, Asia and Australia) in which national/regional patent applications can later be pursued based on the international patent application filed under the PCT. The PCT searching authority performs a patentability search and issues a non-binding patentability opinion which can be used to evaluate the chances of success for future the national/regional patent applications in foreign countries prior to having to incur the filing and translation costs for such applications. At the end of a period of 2 1/2 years from the first priority date of the PCT patent application, separate patent applications can be pursued in any of the 153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For all patent applications, we determine the claiming strategy on a case-by-case basis. Advice of counsel and our business model and needs are always considered. We file patents containing claims for protection of all useful applications of our proprietary technologies and any products, as well as all new applications or uses we discover for existing technologies and products, assuming these are strategically valuable. 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are attentive to the need to avoid the unauthorized use of patented technology belonging to third parties. We perform non-infringement searches and analyses for our existing technologies and will continue to do so for 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prospectus, we have freedom to operate on all of our technologies and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or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 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pStyle w:val="TextBody"/>
        <w:spacing w:lineRule="auto" w:line="273" w:before="216" w:after="0"/>
        <w:jc w:val="left"/>
        <w:rPr>
          <w:rFonts w:ascii="Times New Roman" w:hAnsi="Times New Roman"/>
          <w:b/>
          <w:i/>
          <w:sz w:val="18"/>
        </w:rPr>
      </w:pPr>
      <w:r>
        <w:rPr>
          <w:rFonts w:ascii="Times New Roman" w:hAnsi="Times New Roman"/>
          <w:b/>
          <w:i/>
          <w:sz w:val="18"/>
        </w:rPr>
        <w:t>Company-owned patents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Mecbotamab vedotin is covered by a number of filings, including a published PCT application filed in 2017 that entered the national phase in 2018. National phase applications have been granted in Australia, Israel, Japan, and the United States and are pending in 13 jurisdictions, including most major market countries. Composition of matter claims issuing from this application would not expire before 2037.</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Ozuriftamab vedotin is covered by a number of filings, including a published PCT application filed in 2017 that entered the national phase in 2018. National phase applications are pending in 14 jurisdictions in addition to the United States, including most major market countries. Composition of matter claims issuing from this application would not expire before 2037.</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BA3071 is covered by a number of filings, including a published PCT application filed in 2019 that entered the national phase in 2021. In addition to filings made in the non-PCT countries of Argentina and Taiwan, national phase applications are pending in 15 jurisdictions in addition to the United States, including most major market countries. Composition of matter claims issuing from this application would not expire before 2039.</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pre-clinical stage CAB antibody programs, including CAB-anti-EpCAM antibodies and CAB-anti-Nectin-4 antibodies, are covered by a number of filings. As of December 31, 2021, CAB-anti-EpCAM antibodies are covered by 10 national phase filings, including the United States, and a non-PCT filing in Taiwan. CAB-anti-Nectin-4 antibodies are covered by a PCT application and an application in Taiwan. Composition of matter claims issuing from these applications would not expire before either 2040 or 2041.</w:t>
      </w:r>
    </w:p>
    <w:p>
      <w:pPr>
        <w:pStyle w:val="TextBody"/>
        <w:spacing w:lineRule="auto" w:line="273" w:before="216" w:after="0"/>
        <w:jc w:val="left"/>
        <w:rPr>
          <w:rFonts w:ascii="Times New Roman" w:hAnsi="Times New Roman"/>
          <w:sz w:val="20"/>
        </w:rPr>
      </w:pPr>
      <w:r>
        <w:rPr>
          <w:rFonts w:ascii="Times New Roman" w:hAnsi="Times New Roman"/>
          <w:b w:val="false"/>
          <w:sz w:val="18"/>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29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15 issued U.S. patents covering various aspects of the manufacturing methods used to generate CAB antibodies that have patent terms expiring from 2030 to 2036. We also have an issued patent in the U.S. protecting our method of manufacturing conditionally active multi-specific antibodies that has a patent term expiring in 2033.</w:t>
      </w:r>
    </w:p>
    <w:p>
      <w:pPr>
        <w:pStyle w:val="TextBody"/>
        <w:spacing w:lineRule="auto" w:line="273" w:before="216" w:after="0"/>
        <w:jc w:val="left"/>
        <w:rPr>
          <w:rFonts w:ascii="Times New Roman" w:hAnsi="Times New Roman"/>
          <w:b/>
          <w:i/>
          <w:sz w:val="18"/>
        </w:rPr>
      </w:pPr>
      <w:r>
        <w:rPr>
          <w:rFonts w:ascii="Times New Roman" w:hAnsi="Times New Roman"/>
          <w:b/>
          <w:i/>
          <w:sz w:val="18"/>
        </w:rPr>
        <w:t>Out-licensed patents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Himalaya Therapeutics SEZC has exclusive rights to patents/patent applications in China, Macao, Hong Kong and Taiwan relating to ROR2 (Patent applications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BioAtla Holdings, LLC has exclusive worldwide rights to all patents for the field of ACT (CAR-T), excluding the targets licensed to EXUMA Biotech Corp (“EXUMA”).</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Inversagen, LLC has exclusive worldwide rights to all patents solely in the field of diseases associated with aging (outside of cancer), diagnostics related thereto and an immuno-oncology antibody.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EXUMA has an exclusive worldwide license to all patents solely to develop, make, have made, use, sell, have sold, offer for sale and import adoptive cell therapy (CAR-T) products to four named targets for the treatment of cancer. EXUMA’s rights under the agreement exclude the right to grant sublicenses to third parties to discover, develop or manufacture any CAB ACT or any component of our CAB ACT technology, except as used in or incorporated into EXUMA’s ACTs for cancer.</w:t>
      </w:r>
    </w:p>
    <w:p>
      <w:pPr>
        <w:pStyle w:val="TextBody"/>
        <w:spacing w:lineRule="auto" w:line="273" w:before="324" w:after="0"/>
        <w:jc w:val="left"/>
        <w:rPr>
          <w:rFonts w:ascii="Times New Roman" w:hAnsi="Times New Roman"/>
          <w:b/>
          <w:sz w:val="18"/>
        </w:rPr>
      </w:pPr>
      <w:r>
        <w:rPr>
          <w:rFonts w:ascii="Times New Roman" w:hAnsi="Times New Roman"/>
          <w:b/>
          <w:sz w:val="18"/>
        </w:rPr>
        <w:t>Government regulation and product approval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pStyle w:val="TextBody"/>
        <w:spacing w:lineRule="auto" w:line="273" w:before="216" w:after="0"/>
        <w:jc w:val="left"/>
        <w:rPr>
          <w:rFonts w:ascii="Times New Roman" w:hAnsi="Times New Roman"/>
          <w:b/>
          <w:i/>
          <w:sz w:val="18"/>
        </w:rPr>
      </w:pPr>
      <w:r>
        <w:rPr>
          <w:rFonts w:ascii="Times New Roman" w:hAnsi="Times New Roman"/>
          <w:b/>
          <w:i/>
          <w:sz w:val="18"/>
        </w:rPr>
        <w:t>Licensure and regulation of biologics in the United States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the United States, the FDA regulates biologic products under the Federal Food, Drug, and Cosmetic Act, or the FDCA, the Public Health Service Act, or the PHSA, and regulations and guidance implementing these laws. The FDCA, PHSA and their corresponding regulations govern, among other things, the testing, manufacturing, safety, purity, potency, labeling, packaging, storage, record keeping, distribution, post-approval monitoring and reporting, import, export,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or NDAs. Biological products are approved for marketing under provisions of the PHSA, via a Biologic License Application, or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U.S. biologic products development process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Biological product candidates must be approved by the FDA pursuant to a BLA before they may be legally marketed in the United States. The process generally involves the following:</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18"/>
        </w:rPr>
        <w:t>Completion of extensive preclinical laboratory tests and</w:t>
      </w:r>
      <w:r>
        <w:rPr/>
        <w:t xml:space="preserve"> </w:t>
      </w:r>
      <w:r>
        <w:rPr>
          <w:rFonts w:ascii="Times New Roman" w:hAnsi="Times New Roman"/>
          <w:b w:val="false"/>
          <w:i/>
          <w:sz w:val="18"/>
        </w:rPr>
        <w:t>in vivo</w:t>
      </w:r>
      <w:r>
        <w:rPr/>
        <w:t xml:space="preserve"> </w:t>
      </w:r>
      <w:r>
        <w:rPr>
          <w:rFonts w:ascii="Times New Roman" w:hAnsi="Times New Roman"/>
          <w:b w:val="false"/>
          <w:sz w:val="18"/>
        </w:rPr>
        <w:t>studies in accordance with the FDA’s current good laboratory practice, or GLP, regulations and applicable requirements for the humane use of laboratory animals or other applicable regulations;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Submission to the FDA of an IND, which must become effective before clinical trials may begin;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Approval by an independent institutional review board, or IRB, reviewing each clinical site before each clinical trial may be initiated;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Performance of adequate and well-controlled clinical trials in accordance with the FDA’s IND regulations, GCP requirements, and any additional requirements for the protection of human research subjects and their health information, to establish the safety and efficacy of the proposed biologic product candidate for its intended use;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Preparation and submission to the FDA of a BLA for marketing approval that includes substantial evidence of safety, purity and potency from results of nonclinical testing and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 determination by the FDA within 60 days of its receipt of a BLA to file the application;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Satisfactory completion of FDA pre-approval inspections of the manufacturing facility or facilities where the biologic product candidate is produced to assess compliance with cGMPs and to assure that the facilities, methods and controls are adequate to preserve the biologic product candidate’s identity, safety, strength, quality, potency and purity;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Satisfactory completion of any potential FDA audits of the nonclinical and clinical trial sites that generated the data in support of the BLA to assure compliance with GCPs and integrity of the clinical data;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Payment of user fees for FDA review of the BLA;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 xml:space="preserve">Review of the product by an FDA advisory committee, if applicable;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FDA review and approval of the BLA.</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Preclinical studies</w:t>
      </w:r>
    </w:p>
    <w:p>
      <w:pPr>
        <w:pStyle w:val="TextBody"/>
        <w:spacing w:lineRule="auto" w:line="273" w:before="108" w:after="0"/>
        <w:jc w:val="left"/>
        <w:rPr>
          <w:rFonts w:ascii="Times New Roman" w:hAnsi="Times New Roman"/>
          <w:sz w:val="20"/>
        </w:rPr>
      </w:pPr>
      <w:r>
        <w:rPr>
          <w:rFonts w:ascii="Times New Roman" w:hAnsi="Times New Roman"/>
          <w:b w:val="false"/>
          <w:sz w:val="18"/>
        </w:rPr>
        <w:t>Before testing any biologic product candidate in humans, the product candidate must undergo rigorous preclinical testing. Preclinical tests, also referred to as nonclinical studies, include laboratory evaluations of product chemistry, toxicity and formulation, as well as</w:t>
      </w:r>
      <w:r>
        <w:rPr>
          <w:rFonts w:ascii="Times New Roman" w:hAnsi="Times New Roman"/>
          <w:sz w:val="20"/>
        </w:rPr>
        <w:t xml:space="preserve"> </w:t>
      </w:r>
      <w:r>
        <w:rPr>
          <w:rFonts w:ascii="Times New Roman" w:hAnsi="Times New Roman"/>
          <w:b w:val="false"/>
          <w:i/>
          <w:sz w:val="18"/>
        </w:rPr>
        <w:t>in vivo</w:t>
      </w:r>
      <w:r>
        <w:rPr>
          <w:rFonts w:ascii="Times New Roman" w:hAnsi="Times New Roman"/>
          <w:sz w:val="20"/>
        </w:rPr>
        <w:t xml:space="preserve"> </w:t>
      </w:r>
      <w:r>
        <w:rPr>
          <w:rFonts w:ascii="Times New Roman" w:hAnsi="Times New Roman"/>
          <w:b w:val="false"/>
          <w:sz w:val="18"/>
        </w:rPr>
        <w:t>studies to assess the potential safety and activity of the product candidate and to establish a rationale for therapeutic use. The conduct of the preclinical tests must comply with federal regulations and requirements including GLPs.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Clinical trials under an IND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Clinical trials involve the administration of the biologic product candidate to healthy volunteers or patients under the supervision of qualified investigators, who are generally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Clinical trials typically are conducted in three sequential phases that may overlap or be combined:</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Phase 1.</w:t>
      </w:r>
      <w:r>
        <w:rPr/>
        <w:t xml:space="preserve"> </w:t>
      </w:r>
      <w:r>
        <w:rPr>
          <w:rFonts w:ascii="Times New Roman" w:hAnsi="Times New Roman"/>
          <w:b w:val="false"/>
          <w:sz w:val="18"/>
        </w:rPr>
        <w:t>The biologic product candidate initially is introduced into a small number of healthy human subjects and tested for safety, dosage tolerance, absorption, metabolism, distribution or excretion. If possible, a Phase 1 clinical trial may also seek to gain an early understanding of the product candidate’s effectiveness. In the case of some product candidates for severe or life-threatening diseases, especially when the product candidate may be too inherently toxic to ethically administer to healthy volunteers, the initial human testing is often conducted in patients.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sz w:val="18"/>
        </w:rPr>
        <w:t>Phase 2.</w:t>
      </w:r>
      <w:r>
        <w:rPr/>
        <w:t xml:space="preserve"> </w:t>
      </w:r>
      <w:r>
        <w:rPr>
          <w:rFonts w:ascii="Times New Roman" w:hAnsi="Times New Roman"/>
          <w:b w:val="false"/>
          <w:sz w:val="18"/>
        </w:rPr>
        <w:t>The biologic product candidate is evaluated in a limited patient population to identify possible adverse effects and safety risks, to preliminarily evaluate the efficacy of the product candidate for specific targeted diseases and to determine dosage tolerance, optimal dosage and dosing schedule. Multiple Phase 2 clinical trials may be conducted to obtain information prior to beginning larger and more expensive Phase 3 clinical trials.</w:t>
      </w:r>
    </w:p>
    <w:p>
      <w:pPr>
        <w:pStyle w:val="TextBody"/>
        <w:spacing w:lineRule="auto" w:line="273" w:before="120" w:after="0"/>
        <w:jc w:val="left"/>
        <w:rPr/>
      </w:pPr>
      <w:r>
        <w:rPr/>
        <w:t>•</w:t>
      </w:r>
    </w:p>
    <w:p>
      <w:pPr>
        <w:pStyle w:val="TextBody"/>
        <w:spacing w:lineRule="auto" w:line="273" w:before="120" w:after="283"/>
        <w:jc w:val="left"/>
        <w:rPr/>
      </w:pPr>
      <w:r>
        <w:rPr>
          <w:rFonts w:ascii="Times New Roman" w:hAnsi="Times New Roman"/>
          <w:b/>
          <w:sz w:val="18"/>
        </w:rPr>
        <w:t>Phase 3.</w:t>
      </w:r>
      <w:r>
        <w:rPr/>
        <w:t xml:space="preserve"> </w:t>
      </w:r>
      <w:r>
        <w:rPr>
          <w:rFonts w:ascii="Times New Roman" w:hAnsi="Times New Roman"/>
          <w:b w:val="false"/>
          <w:sz w:val="18"/>
        </w:rPr>
        <w:t xml:space="preserve">The biologic product candidate is administered to an expanded patient population at multiple sites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labeling. In most cases, the FDA requires two adequate and well-controlled Phase 3 clinical trials to demonstrate the efficacy of a biologic.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may be sufficient in rare instances, including (i)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in conjunction with other confirmatory evidence. Approval on the basis of a single trial may be subject to the requirement of additional post-approval studies.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Concurrent with clinical trials, companies usually must complete some long-term preclinical testing, such as animal tests of reproductive adverse events and carcinogenicity, and must also develop additional information about the chemistry and physical characteristics of the drug or biologic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potency and purity of the final product. Additionally, appropriate packaging must be selected and tested and stability studies must be conducted to demonstrate that the product does not undergo unacceptable deterioration over its shelf life.</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U.S. review and approval processes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FDA approval of a BLA must be obtained before commercial marketing of the biologic product. The results of the preclinical tests and clinical trials, together with detailed information relating to the product’s CMC and proposed labeling, among other things, are submitted to the FDA as part of the BLA requesting approval to market the product for one or more indications.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cost of preparing and submitting a BLA is substantial. Under the Prescription Drug User Fee Act, or PDUFA, each BLA must be accompanied by a significant user fee. The FDA adjusts the PDUFA user fees on an annual basis. The PDUFA also imposes an annual prescription drug program.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FDA reviews a BLA within 60 days of submission to determine if it is substantially complete before the agency files.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on approval. During the product approval process, the FDA also will determine whether a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the product, 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Before approving a BLA, the FDA will inspect the facilities at which the product candidate is manufactured. The FDA will not approve the product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FDA has agreed to specified performance goals in the review of BLAs under the PDUFA. One such goal is to review standard BLAs in 10 months after the FDA files the BLA, and priority BLAs in six months, whereupon a review decision is to be made. The review process and the PDUFA goal date for both standard and priority review BLAs may be extended by three months if the FDA requests or the BLA sponsor otherwise provides additional information or clarification regarding information already provided in the submission within the last three months before the PDUFA goal date.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Compliance with cGMP requirements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Expedited development and review programs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FDA is authorized to designate certain products for expedited review if they are intended to address an unmet medical need in the treatment of a serious or life-threatening disease or condition.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Post-approval requirements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Orphan drug designation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Orphan drug designation in the United States is designed to encourage sponsors to develop products intended for treatment of rare diseases or conditions. In the United States, pursuant to the Orphan Drug Act, the FDA may grant orphan designation to a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pStyle w:val="TextBody"/>
        <w:spacing w:lineRule="auto" w:line="273" w:before="216" w:after="0"/>
        <w:jc w:val="left"/>
        <w:rPr>
          <w:rFonts w:ascii="Times New Roman" w:hAnsi="Times New Roman"/>
          <w:sz w:val="20"/>
        </w:rPr>
      </w:pPr>
      <w:r>
        <w:rPr>
          <w:rFonts w:ascii="Times New Roman" w:hAnsi="Times New Roman"/>
          <w:b w:val="false"/>
          <w:sz w:val="18"/>
        </w:rPr>
        <w:t>Orphan drug designation qualifies a company for tax credits and market exclusivity for seven years following the date of the product’s marketing approval if granted by the FDA.</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An application for designation as an orphan product can be made any time prior to the filing of an application for approval to market the product. A product becomes an orphan when it receives orphan drug designation from the Office of Orphan Products Development at the FDA based on acceptable confidential requests made under the regulatory provisions. The product must then go through the review and approval process like any other product. Orphan drug designation on its own does not convey any advantage in or shorten the duration of the regulatory review and approval process.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pStyle w:val="TextBody"/>
        <w:spacing w:lineRule="auto" w:line="273" w:before="216" w:after="0"/>
        <w:jc w:val="left"/>
        <w:rPr>
          <w:rFonts w:ascii="Times New Roman" w:hAnsi="Times New Roman"/>
          <w:sz w:val="20"/>
        </w:rPr>
      </w:pPr>
      <w:r>
        <w:rPr>
          <w:rFonts w:ascii="Times New Roman" w:hAnsi="Times New Roman"/>
          <w:b w:val="false"/>
          <w:sz w:val="18"/>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such as a showing of clinical superiority to the product with orphan exclusivity by means of greater effectiveness, greater safety, or providing a major contribution to patient care, or in instances of product supply issues. If a product designated as an orphan drug ultimately receives marketing approval for an indication broader than what was designated in its orphan drug application, it may not be entitled to exclusivity. Competitors may receive approval of either a different product for the same indication or the same product for a different indication.</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Because healthcare professionals are free to prescribe products for off-label uses, the competitor’s product could be used for the orphan indication despite another product’s orphan exclusivity. The FDA cannot, however, approve the same product made by another manufacturer for the same indication during the market exclusivity period unless it has the consent of the sponsor or the sponsor is unable to provide sufficient quantities.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FDA’s determination of whether two ADCs are the same product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FDA approval and regulation of companion diagnostics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If use of an in vitro diagnostic is essential to the safe and effective use of a drug or biologic product, then the FDA generally will require approval or clearance of that diagnostic, known as a companion diagnostic, at the same time that the FDA approves the therapeutic product. In August 2014, the FDA issued final guidance clarifying the requirements that will apply to approval of therapeutic products and in vitro 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pStyle w:val="TextBody"/>
        <w:spacing w:lineRule="auto" w:line="273" w:before="108" w:after="0"/>
        <w:jc w:val="left"/>
        <w:rPr>
          <w:rFonts w:ascii="Times New Roman" w:hAnsi="Times New Roman"/>
          <w:sz w:val="20"/>
        </w:rPr>
      </w:pPr>
      <w:r>
        <w:rPr>
          <w:rFonts w:ascii="Times New Roman" w:hAnsi="Times New Roman"/>
          <w:b w:val="false"/>
          <w:sz w:val="18"/>
        </w:rPr>
        <w:t>Under the FDCA, in vitro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The FDA has generally required in vitro companion diagnostics intended to select the patients who will respond to cancer treatment to obtain a PMA for that diagnostic simultaneously with approval of the therapeutic.</w:t>
      </w:r>
      <w:r>
        <w:rPr>
          <w:rFonts w:ascii="Times New Roman" w:hAnsi="Times New Roman"/>
          <w:sz w:val="20"/>
        </w:rPr>
        <w:t xml:space="preserve">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additional testing and/or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After a device is placed on the market, it remains subject to significant regulatory requirements. Medical devices may be marketed only for the uses and indications for which they are cleared or approved. Device manufacturers must also register their establishments and list their devices with the FDA. A medical device manufacturer’s manufacturing processes, and the processes of the device specification developer and repackager/relabeler (if different from the manufacturer) and initial importer (if manufactured outside of the United States) are required to comply with the applicable portions of the QSR, which cover the methods and documentation of the design, testing, production, processes, controls, quality assurance, importation, labeling, packaging and shipping of medical devices. Facility records and manufacturing processes are subject to periodic unscheduled inspections by the FDA.</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Pediatric information</w:t>
      </w:r>
    </w:p>
    <w:p>
      <w:pPr>
        <w:pStyle w:val="TextBody"/>
        <w:spacing w:lineRule="auto" w:line="273" w:before="108" w:after="0"/>
        <w:jc w:val="left"/>
        <w:rPr>
          <w:rFonts w:ascii="Times New Roman" w:hAnsi="Times New Roman"/>
          <w:sz w:val="20"/>
        </w:rPr>
      </w:pPr>
      <w:r>
        <w:rPr>
          <w:rFonts w:ascii="Times New Roman" w:hAnsi="Times New Roman"/>
          <w:b w:val="false"/>
          <w:sz w:val="18"/>
        </w:rPr>
        <w:t>Under the Pediatric Research Equity Act, or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with the exception of orphan-designated biologics if the biologic is a molecularly targeted cancer product intended for the treatment of an adult cancer and is directed at a molecular target that FDA has determined is substantially relevant to the growth or progression of a pediatric cancer.</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Best Pharmaceuticals for Children Act, or BPCA, provides a six-month extension of any non-patent exclusivity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Biosimilars and exclusivity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Patient Protection and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The FDA has licensed numerous biosimilars under the BPCIA, and has issued several guidance documents outlining an approach to review and approval of biosimilars.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Biosimilarity, which requires that there be no clinically meaningful differences between the proposed biosimilar biological product and the reference product in terms of safety, purity and potency, can be shown through analytical studies, animal studies and a clinical trial or studies though the FDA has broad discretion to set or waive certain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some hurdles to biosimilar product implementation which is still being evaluated by the FDA.</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eighteen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Patent term restoration and extension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pStyle w:val="TextBody"/>
        <w:spacing w:lineRule="auto" w:line="273" w:before="324" w:after="0"/>
        <w:jc w:val="left"/>
        <w:rPr>
          <w:rFonts w:ascii="Times New Roman" w:hAnsi="Times New Roman"/>
          <w:b/>
          <w:i/>
          <w:sz w:val="18"/>
        </w:rPr>
      </w:pPr>
      <w:r>
        <w:rPr>
          <w:rFonts w:ascii="Times New Roman" w:hAnsi="Times New Roman"/>
          <w:b/>
          <w:i/>
          <w:sz w:val="18"/>
        </w:rPr>
        <w:t>Regulation and procedures governing approval of medicinal products in the European Union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Clinical trial approval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 member states. Under this system, the sponsor of a clinical trial must submit a request for authorization to the competent national authority of the European Union member state in which the clinical trial is to be conducted, or in multiple member states if the clinical trial is to be conducted in a number of member states.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PRIME designation in the European Union</w:t>
      </w:r>
    </w:p>
    <w:p>
      <w:pPr>
        <w:pStyle w:val="TextBody"/>
        <w:spacing w:lineRule="auto" w:line="273" w:before="108" w:after="0"/>
        <w:jc w:val="left"/>
        <w:rPr>
          <w:rFonts w:ascii="Times New Roman" w:hAnsi="Times New Roman"/>
          <w:sz w:val="20"/>
        </w:rPr>
      </w:pPr>
      <w:r>
        <w:rPr>
          <w:rFonts w:ascii="Times New Roman" w:hAnsi="Times New Roman"/>
          <w:b w:val="false"/>
          <w:sz w:val="18"/>
        </w:rPr>
        <w:t>In March 2016, the EMA launched an initiative to facilitate development of product candidates of major interest from the point of view of public health and in particular from the point of view of therapeutic innovation. The PRIority MEdicines, or PRIME, scheme is intended to encourage drug development in areas of unmet medical need and provides accelerated assessment of products representing substantial innovation</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reviewed under the centralized procedure. Eligibility for the PRIME scheme depends on the availability of adequate preclinical and clinical data to justify a potential major public health interest prior to the initiation of confirmatory clinical trials at the proof of 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 the overall development and regulatory strategies. Importantly, a dedicated EMA contact (rapporteur) from the Committee for Human Medicinal Products, or CHMP, or Committee for Advanced Therapies in the case of an advanced therapy, are appointed early in the PRIME scheme to provide continuous support and help to build knowledge ahead of a MAA.</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Marketing authorization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 territories or (iii) the mutual recognition procedure, which applies to products already authorized in a Member State and whose marketing in other Member States’ territories is sought.</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Regulatory data protection in the European Union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Patent term extensions in the European Union and other jurisdictions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Periods of authorization and renewals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Regulatory requirements after marketing authorization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Orphan drug designation and exclusivity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An orphan drug designation provides a number of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to justify market exclusivity.</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General Data Protection Regulation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39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Brexit and the regulatory framework in the United Kingdom</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On June 23, 2016, the electorate in the United Kingdom voted in favor of leaving the European Union, commonly referred to as Brexit. Following protracted negotiations, the United Kingdom left the European Union on January 31, 2020. The transition period ended on December 31, 2020. On December 30, 2020, the United Kingdom and EU signed the Trade and Cooperation Agreement (TCA), which includes an agreement on free trade between the two parties. The TCA does not contain wholesale mutual recognition of regulatory regimes for pharmaceuticals as was hoped. There is mutual recognition of cGMP inspections of manufacturing facilities but it does not include reciprocal arrangements for the recognition of batch testing certification, in order to avoid unnecessary re-testing on importation of products.</w:t>
      </w:r>
    </w:p>
    <w:p>
      <w:pPr>
        <w:pStyle w:val="TextBody"/>
        <w:spacing w:lineRule="auto" w:line="273" w:before="216" w:after="0"/>
        <w:jc w:val="left"/>
        <w:rPr>
          <w:rFonts w:ascii="Times New Roman" w:hAnsi="Times New Roman"/>
          <w:sz w:val="20"/>
        </w:rPr>
      </w:pPr>
      <w:r>
        <w:rPr>
          <w:rFonts w:ascii="Times New Roman" w:hAnsi="Times New Roman"/>
          <w:b w:val="false"/>
          <w:sz w:val="18"/>
        </w:rPr>
        <w:t xml:space="preserve">There is considerable uncertainty resulting from a lack of precedent and the complexity of the United Kingdom and the EU’s intertwined legal regimes as to how Brexit will impact the life sciences industry in Europe, including our company, including with respect to ongoing or future clinical trials. Any delay in obtaining, or an inability to obtain, any marketing approvals, as a result of Brexit or otherwise, may force us to restrict or delay efforts to seek regulatory approval in the United Kingdom for any product candidates we may develop, which could significantly and materially harm our business. See “Risk factors—Risks related to regulatory approval and other legal compliance matters—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 for additional disclosures regarding risks related to privacy laws in the United Kingdom and European Union. </w:t>
        <w:br/>
      </w:r>
      <w:r>
        <w:rPr>
          <w:rFonts w:ascii="Times New Roman" w:hAnsi="Times New Roman"/>
          <w:sz w:val="20"/>
        </w:rPr>
        <w:t> </w:t>
      </w:r>
    </w:p>
    <w:p>
      <w:pPr>
        <w:pStyle w:val="TextBody"/>
        <w:spacing w:lineRule="auto" w:line="273" w:before="324" w:after="0"/>
        <w:jc w:val="left"/>
        <w:rPr>
          <w:rFonts w:ascii="Times New Roman" w:hAnsi="Times New Roman"/>
          <w:b/>
          <w:i/>
          <w:sz w:val="18"/>
        </w:rPr>
      </w:pPr>
      <w:r>
        <w:rPr>
          <w:rFonts w:ascii="Times New Roman" w:hAnsi="Times New Roman"/>
          <w:b/>
          <w:i/>
          <w:sz w:val="18"/>
        </w:rPr>
        <w:t>Coverage and reimbursement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pStyle w:val="TextBody"/>
        <w:spacing w:lineRule="auto" w:line="273" w:before="324" w:after="0"/>
        <w:jc w:val="left"/>
        <w:rPr>
          <w:rFonts w:ascii="Times New Roman" w:hAnsi="Times New Roman"/>
          <w:b/>
          <w:i/>
          <w:sz w:val="18"/>
        </w:rPr>
      </w:pPr>
      <w:r>
        <w:rPr>
          <w:rFonts w:ascii="Times New Roman" w:hAnsi="Times New Roman"/>
          <w:b/>
          <w:i/>
          <w:sz w:val="18"/>
        </w:rPr>
        <w:t>Other U.S. healthcare laws and compliance requirements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the United States, biotechnology company activities are potentially subject to regulation by various federal, state and local authorities in addition to the FDA, including but not limited to, the Centers for Medicare &amp; Medicaid Services, or CMS, other divisions of the U.S. Department of Health and Human Services, or HHS (e.g., the Office of Inspector General and the Office for Civil Rights), the U.S. Department of Justice, or the DOJ, and individual U.S. Attorney offices within the DOJ, and state and local governments. The laws biotechnology companies may have to comply with include the anti-fraud and abuse provisions of the Social Security Act, the federal false claims laws, the privacy and security provisions of the Health Insurance Portability and Accountability Act of 1996, or HIPAA, and similar state laws, each as amended, as applicable.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of the criteria for protection under a statutory exception or regulatory safe harbor. In addition, the statutory exceptions and regulatory safe harbors are subject to change. 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w:t>
      </w:r>
    </w:p>
    <w:p>
      <w:pPr>
        <w:pStyle w:val="TextBody"/>
        <w:spacing w:lineRule="auto" w:line="273" w:before="216" w:after="0"/>
        <w:jc w:val="left"/>
        <w:rPr>
          <w:rFonts w:ascii="Times New Roman" w:hAnsi="Times New Roman"/>
          <w:sz w:val="20"/>
        </w:rPr>
      </w:pPr>
      <w:r>
        <w:rPr>
          <w:rFonts w:ascii="Times New Roman" w:hAnsi="Times New Roman"/>
          <w:b w:val="false"/>
          <w:sz w:val="18"/>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biotechnology companies have been prosecuted under these laws for, among other things, allegedly providing free product to customers with the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Also, many states have similar fraud and abuse statutes or regulations that apply to items and services reimbursed under Medicaid and other state programs, or, in several states, apply regardless of the payor.</w:t>
      </w:r>
    </w:p>
    <w:p>
      <w:pPr>
        <w:pStyle w:val="TextBody"/>
        <w:spacing w:lineRule="auto" w:line="273" w:before="216" w:after="0"/>
        <w:jc w:val="left"/>
        <w:rPr>
          <w:rFonts w:ascii="Times New Roman" w:hAnsi="Times New Roman"/>
          <w:sz w:val="20"/>
        </w:rPr>
      </w:pPr>
      <w:r>
        <w:rPr>
          <w:rFonts w:ascii="Times New Roman" w:hAnsi="Times New Roman"/>
          <w:b w:val="false"/>
          <w:sz w:val="18"/>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members.</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pStyle w:val="TextBody"/>
        <w:spacing w:lineRule="auto" w:line="273" w:before="324" w:after="0"/>
        <w:jc w:val="left"/>
        <w:rPr>
          <w:rFonts w:ascii="Times New Roman" w:hAnsi="Times New Roman"/>
          <w:b/>
          <w:i/>
          <w:sz w:val="18"/>
        </w:rPr>
      </w:pPr>
      <w:r>
        <w:rPr>
          <w:rFonts w:ascii="Times New Roman" w:hAnsi="Times New Roman"/>
          <w:b/>
          <w:i/>
          <w:sz w:val="18"/>
        </w:rPr>
        <w:t>Federal and state data privacy and security laws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Additionally, state laws govern the privacy and security of health information in specified circumstances, many of which differ from each other in significant ways and may not have the same effect, thus complicating compliance efforts. For example, the California Consumer Privacy Act, or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This private right of action may increase the likelihood of, and risks associated with, data breach litigation. On November 3, 2020, California voters approved a new privacy law, the California Privacy Rights Act, or the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State laws are changing rapidly and there is discussion in the U.S. of a new comprehensive federal data privacy law to which we would become subject if it is enacted.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Healthcare reform</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On September 9, 2021,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w:t>
      </w:r>
    </w:p>
    <w:p>
      <w:pPr>
        <w:pStyle w:val="TextBody"/>
        <w:spacing w:lineRule="auto" w:line="273" w:before="324" w:after="0"/>
        <w:jc w:val="left"/>
        <w:rPr>
          <w:rFonts w:ascii="Times New Roman" w:hAnsi="Times New Roman"/>
          <w:b/>
          <w:sz w:val="18"/>
        </w:rPr>
      </w:pPr>
      <w:r>
        <w:rPr>
          <w:rFonts w:ascii="Times New Roman" w:hAnsi="Times New Roman"/>
          <w:b/>
          <w:sz w:val="18"/>
        </w:rPr>
        <w:t>Human Capital Management</w:t>
      </w:r>
    </w:p>
    <w:p>
      <w:pPr>
        <w:pStyle w:val="TextBody"/>
        <w:spacing w:lineRule="auto" w:line="273" w:before="108" w:after="0"/>
        <w:jc w:val="left"/>
        <w:rPr>
          <w:rFonts w:ascii="Times New Roman" w:hAnsi="Times New Roman"/>
          <w:sz w:val="20"/>
        </w:rPr>
      </w:pPr>
      <w:r>
        <w:rPr>
          <w:rFonts w:ascii="Times New Roman" w:hAnsi="Times New Roman"/>
          <w:b w:val="false"/>
          <w:i/>
          <w:sz w:val="18"/>
        </w:rPr>
        <w:t>Employees</w:t>
      </w:r>
      <w:r>
        <w:rPr>
          <w:rFonts w:ascii="Times New Roman" w:hAnsi="Times New Roman"/>
          <w:b w:val="false"/>
          <w:sz w:val="18"/>
        </w:rPr>
        <w:t>. As of December 31, 2021, we employed 56 employees. We also engaged 18 independent contractors located in China as of December 31, 2021 pursuant to our relationship with BioDuro-Sundia, a U.S.-based provider of preclinical development services. None of our employees are subject to a collective bargaining agreement. We consider our relationship with our employees to be good.</w:t>
      </w:r>
    </w:p>
    <w:p>
      <w:pPr>
        <w:pStyle w:val="TextBody"/>
        <w:spacing w:lineRule="auto" w:line="273" w:before="210" w:after="0"/>
        <w:jc w:val="left"/>
        <w:rPr>
          <w:rFonts w:ascii="Times New Roman" w:hAnsi="Times New Roman"/>
          <w:sz w:val="20"/>
        </w:rPr>
      </w:pPr>
      <w:r>
        <w:rPr>
          <w:rFonts w:ascii="Times New Roman" w:hAnsi="Times New Roman"/>
          <w:b w:val="false"/>
          <w:i/>
          <w:sz w:val="18"/>
        </w:rPr>
        <w:t>Compensation and Benefits Program</w:t>
      </w:r>
      <w:r>
        <w:rPr>
          <w:rFonts w:ascii="Times New Roman" w:hAnsi="Times New Roman"/>
          <w:b w:val="false"/>
          <w:sz w:val="18"/>
        </w:rPr>
        <w:t>. 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paid time off, paid parental leave, participation in our Employee Stock Purchase Plan and a 401(k) plan.</w:t>
      </w:r>
    </w:p>
    <w:p>
      <w:pPr>
        <w:pStyle w:val="TextBody"/>
        <w:spacing w:lineRule="auto" w:line="273" w:before="216" w:after="0"/>
        <w:jc w:val="left"/>
        <w:rPr>
          <w:rFonts w:ascii="Times New Roman" w:hAnsi="Times New Roman"/>
          <w:sz w:val="20"/>
        </w:rPr>
      </w:pPr>
      <w:r>
        <w:rPr>
          <w:rFonts w:ascii="Times New Roman" w:hAnsi="Times New Roman"/>
          <w:b w:val="false"/>
          <w:i/>
          <w:sz w:val="18"/>
        </w:rPr>
        <w:t>Diversity and Inclusion</w:t>
      </w:r>
      <w:r>
        <w:rPr>
          <w:rFonts w:ascii="Times New Roman" w:hAnsi="Times New Roman"/>
          <w:b w:val="false"/>
          <w:sz w:val="18"/>
        </w:rPr>
        <w:t>. We believe that an equitable and inclusive environment with diverse teams produces more creative solutions, results in better, more innovative products and services and is crucial to our efforts to attract and retain key talent. Our current efforts are focused on three primary areas: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Safe work environment. We provide training to all employees to improve their understanding of behaviors that can be perceived as discriminatory, exclusionary, and/or harassing, and provide safe avenues for employees to report such behaviors.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Equal employment opportunity. We ensure that our practices and processes attract a diverse range of candidate, and that candidates are recruited, hired, assigned, developed, and promoted based on merit and their alignment to our values.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Learning and development opportunities. To support our employees in reaching their full potential, we offer a wide range of internal and external learning and development opportunities.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Community Involvement. We aim to give back to the communities where we live and work, and believe that this commitment helps in our efforts to attract and retain employees. We work with local universities to introduce and promote careers in science and biotechnology through internship opportunities.</w:t>
      </w:r>
    </w:p>
    <w:p>
      <w:pPr>
        <w:pStyle w:val="TextBody"/>
        <w:spacing w:lineRule="auto" w:line="273" w:before="324" w:after="0"/>
        <w:jc w:val="left"/>
        <w:rPr>
          <w:rFonts w:ascii="Times New Roman" w:hAnsi="Times New Roman"/>
          <w:b/>
          <w:sz w:val="18"/>
        </w:rPr>
      </w:pPr>
      <w:r>
        <w:rPr>
          <w:rFonts w:ascii="Times New Roman" w:hAnsi="Times New Roman"/>
          <w:b/>
          <w:sz w:val="18"/>
        </w:rPr>
        <w:t>Corporate Information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business was founded in March 2007 and originally operated as a Delaware limited liability company, BioAtla, LLC. In July 2020, we converted from a limited liability company into a Delaware corporation pursuant to a statutory conversion and changed our name from BioAtla, LLC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Annual Report on Form 10-K and should not be considered a part of this Annual Report on Form 10-K.</w:t>
      </w:r>
    </w:p>
    <w:p>
      <w:pPr>
        <w:pStyle w:val="TextBody"/>
        <w:spacing w:lineRule="auto" w:line="273" w:before="216" w:after="0"/>
        <w:jc w:val="left"/>
        <w:rPr>
          <w:rFonts w:ascii="Times New Roman" w:hAnsi="Times New Roman"/>
          <w:sz w:val="20"/>
        </w:rPr>
      </w:pPr>
      <w:r>
        <w:rPr>
          <w:rFonts w:ascii="Times New Roman" w:hAnsi="Times New Roman"/>
          <w:b w:val="false"/>
          <w:sz w:val="18"/>
        </w:rPr>
        <w:t>We have obtained a registered trademark for BioAtla</w:t>
      </w:r>
      <w:r>
        <w:rPr>
          <w:rFonts w:ascii="Times New Roman" w:hAnsi="Times New Roman"/>
          <w:b w:val="false"/>
          <w:sz w:val="16"/>
        </w:rPr>
        <w:t>®</w:t>
      </w:r>
      <w:r>
        <w:rPr>
          <w:rFonts w:ascii="Times New Roman" w:hAnsi="Times New Roman"/>
          <w:sz w:val="20"/>
        </w:rPr>
        <w:t xml:space="preserve"> </w:t>
      </w:r>
      <w:r>
        <w:rPr>
          <w:rFonts w:ascii="Times New Roman" w:hAnsi="Times New Roman"/>
          <w:b w:val="false"/>
          <w:sz w:val="18"/>
        </w:rPr>
        <w:t xml:space="preserve">in the United States. 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w:t>
      </w:r>
      <w:r>
        <w:rPr>
          <w:rFonts w:ascii="Times New Roman" w:hAnsi="Times New Roman"/>
          <w:b w:val="false"/>
          <w:sz w:val="16"/>
        </w:rPr>
        <w:t>®</w:t>
      </w:r>
      <w:r>
        <w:rPr>
          <w:rFonts w:ascii="Times New Roman" w:hAnsi="Times New Roman"/>
          <w:sz w:val="20"/>
        </w:rPr>
        <w:t xml:space="preserve"> </w:t>
      </w:r>
      <w:r>
        <w:rPr>
          <w:rFonts w:ascii="Times New Roman" w:hAnsi="Times New Roman"/>
          <w:b w:val="false"/>
          <w:sz w:val="18"/>
        </w:rPr>
        <w:t xml:space="preserve">or </w:t>
      </w:r>
      <w:r>
        <w:rPr>
          <w:rFonts w:ascii="Times New Roman" w:hAnsi="Times New Roman"/>
          <w:b w:val="false"/>
          <w:sz w:val="12"/>
        </w:rPr>
        <w:t xml:space="preserve">TM </w:t>
      </w:r>
      <w:r>
        <w:rPr>
          <w:rFonts w:ascii="Times New Roman" w:hAnsi="Times New Roman"/>
          <w:b w:val="false"/>
          <w:sz w:val="18"/>
        </w:rPr>
        <w:t>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sz w:val="18"/>
        </w:rPr>
      </w:pPr>
      <w:r>
        <w:rPr>
          <w:rFonts w:ascii="Times New Roman" w:hAnsi="Times New Roman"/>
          <w:b/>
          <w:sz w:val="18"/>
        </w:rPr>
        <w:t>Available Information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make available, free of charge through our website www.bioatla.com,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The SEC maintains an internet site (http://www.sec.gov) that contains reports, proxy and information statements, and other information regarding issuers that file electronically with the SEC.</w:t>
      </w:r>
    </w:p>
    <w:p>
      <w:pPr>
        <w:pStyle w:val="TextBody"/>
        <w:spacing w:lineRule="auto" w:line="273" w:before="320" w:after="0"/>
        <w:jc w:val="left"/>
        <w:rPr>
          <w:rFonts w:ascii="Times New Roman" w:hAnsi="Times New Roman"/>
          <w:b/>
          <w:sz w:val="18"/>
        </w:rPr>
      </w:pPr>
      <w:bookmarkStart w:id="5" w:name="item_1a_risk_factors"/>
      <w:bookmarkEnd w:id="5"/>
      <w:r>
        <w:rPr>
          <w:rFonts w:ascii="Times New Roman" w:hAnsi="Times New Roman"/>
          <w:b/>
          <w:sz w:val="18"/>
        </w:rPr>
        <w:t>ITEM 1A. Risk Factors</w:t>
      </w:r>
    </w:p>
    <w:p>
      <w:pPr>
        <w:pStyle w:val="TextBody"/>
        <w:spacing w:lineRule="auto" w:line="273" w:before="108" w:after="0"/>
        <w:jc w:val="left"/>
        <w:rPr>
          <w:rFonts w:ascii="Times New Roman" w:hAnsi="Times New Roman"/>
          <w:b/>
          <w:sz w:val="18"/>
        </w:rPr>
      </w:pPr>
      <w:r>
        <w:rPr>
          <w:rFonts w:ascii="Times New Roman" w:hAnsi="Times New Roman"/>
          <w:b/>
          <w:sz w:val="18"/>
        </w:rPr>
        <w:t>Risk Factor Summary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Investing in our common stock involves a high degree of risk. You should carefully consider all information in this Annual Report on Form 10-K before purchasing our common stock. These risks and uncertainties include, but are not limited to, the following:</w:t>
      </w:r>
    </w:p>
    <w:p>
      <w:pPr>
        <w:pStyle w:val="TextBody"/>
        <w:spacing w:lineRule="auto" w:line="273" w:before="0" w:after="0"/>
        <w:jc w:val="left"/>
        <w:rPr/>
      </w:pPr>
      <w:r>
        <w:rPr/>
        <w:t> </w:t>
      </w:r>
    </w:p>
    <w:p>
      <w:pPr>
        <w:pStyle w:val="TextBody"/>
        <w:spacing w:lineRule="auto" w:line="273" w:before="0" w:after="0"/>
        <w:jc w:val="left"/>
        <w:rPr/>
      </w:pPr>
      <w:r>
        <w:rPr/>
        <w:t>•</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product candidates may fail in development or suffer delays that adversely affect their commercial viability.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are substantially dependent on the success of our patented CAB technology platform, and our future success depends heavily on the successful development of this platform.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expend our resources to pursue particular product candidates and fail to capitalize on product candidates that may be more profitable or for which there is a greater likelihood of success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market may not be receptive to our product candidates because they are based on our novel therapeutic modality, and we may not generate any future revenue from the sale or licensing of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in the commencement and completion of clinical trials could increase costs and delay or prevent regulatory approval and commercialization of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face competition from entities that have developed or may develop product candidates for cancer, including companies developing novel treatments and technology platforms.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be unable to obtain U.S. or foreign regulatory approval and, as a result, unable to commercialize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Even if we receive regulatory approval for any of our product candidates, we will be subject to ongoing regulatory obligations and continued regulatory review, which may result in significant additional expense.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If we fail to attract and retain qualified senior management and key scientific personnel, our business may be materially and adversely affected.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future issuance of equity or of debt securities that are convertible into equity will dilute our share capital.</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spacing w:lineRule="auto" w:line="273" w:before="324" w:after="0"/>
        <w:jc w:val="left"/>
        <w:rPr>
          <w:rFonts w:ascii="Times New Roman" w:hAnsi="Times New Roman"/>
          <w:b/>
          <w:sz w:val="18"/>
        </w:rPr>
      </w:pPr>
      <w:r>
        <w:rPr>
          <w:rFonts w:ascii="Times New Roman" w:hAnsi="Times New Roman"/>
          <w:b/>
          <w:sz w:val="18"/>
        </w:rPr>
        <w:t>Risk Factors</w:t>
      </w:r>
    </w:p>
    <w:p>
      <w:pPr>
        <w:pStyle w:val="TextBody"/>
        <w:spacing w:lineRule="auto" w:line="273" w:before="108" w:after="0"/>
        <w:jc w:val="left"/>
        <w:rPr>
          <w:rFonts w:ascii="Times New Roman" w:hAnsi="Times New Roman"/>
          <w:b/>
          <w:sz w:val="18"/>
        </w:rPr>
      </w:pPr>
      <w:r>
        <w:rPr>
          <w:rFonts w:ascii="Times New Roman" w:hAnsi="Times New Roman"/>
          <w:b/>
          <w:sz w:val="18"/>
        </w:rPr>
        <w:t>Risks related to our financial position and need for additional capital</w:t>
      </w:r>
    </w:p>
    <w:p>
      <w:pPr>
        <w:pStyle w:val="TextBody"/>
        <w:spacing w:lineRule="auto" w:line="273" w:before="108" w:after="0"/>
        <w:jc w:val="left"/>
        <w:rPr>
          <w:rFonts w:ascii="Times New Roman" w:hAnsi="Times New Roman"/>
          <w:b/>
          <w:i/>
          <w:sz w:val="18"/>
        </w:rPr>
      </w:pPr>
      <w:r>
        <w:rPr>
          <w:rFonts w:ascii="Times New Roman" w:hAnsi="Times New Roman"/>
          <w:b/>
          <w:i/>
          <w:sz w:val="18"/>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$95.4 million, $35.9 million, and $29.8 million for the years ended December 31, 2021, 2020, and 2019, respectively. As of December 31, 2021, we had an accumulated deficit of $186.3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spacing w:lineRule="auto" w:line="273" w:before="108" w:after="0"/>
        <w:jc w:val="left"/>
        <w:rPr>
          <w:rFonts w:ascii="Times New Roman" w:hAnsi="Times New Roman"/>
          <w:sz w:val="20"/>
        </w:rPr>
      </w:pPr>
      <w:r>
        <w:rPr>
          <w:rFonts w:ascii="Times New Roman" w:hAnsi="Times New Roman"/>
          <w:b w:val="false"/>
          <w:sz w:val="18"/>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and BA3071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commercialization of any product candidate we develop. Accordingly, we will need to obtain substantial additional funding in order to continue our operations.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As of December 31, 2021, we had approximately $245.0 million in cash and cash equivalents. Based on our current operating plan, our current cash and cash equivalents are expected to be sufficient to fund our ongoing operations into the first half of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plan to use our existing cash and cash equivalents to fund the research and development of our product candidates and development programs, and to fund working capital and other general corporate purposes.</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timing and progress of our ongoing clinical trials for mecbotamab vedotin and ozuriftamab vedotin;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number and scope of preclinical and clinical programs we decide to pursue;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progress of the clinical development efforts for BA3071;</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progress of our current and future collaborators with whom we have entered or may in the future enter into collaborations and research and development agreements;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timing and amount of target specific indication and milestone payments we may receive under our collaboration agreements;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ability to maintain our current licenses, collaboration and research and development programs or possibly establish new collaboration arrangements;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costs involved in prosecuting and enforcing patent and other intellectual property claims;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cost and timing of regulatory approvals;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our efforts to enhance operational systems and hire additional personnel, including personnel to support development of our product candidates and satisfy our obligations as a public company.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spacing w:lineRule="auto" w:line="273" w:before="210" w:after="0"/>
        <w:jc w:val="left"/>
        <w:rPr>
          <w:rFonts w:ascii="Times New Roman" w:hAnsi="Times New Roman"/>
          <w:b/>
          <w:sz w:val="18"/>
        </w:rPr>
      </w:pPr>
      <w:r>
        <w:rPr>
          <w:rFonts w:ascii="Times New Roman" w:hAnsi="Times New Roman"/>
          <w:b/>
          <w:sz w:val="18"/>
        </w:rPr>
        <w:t>Risks related to the discovery, development and commercialization of our product candidates</w:t>
      </w:r>
    </w:p>
    <w:p>
      <w:pPr>
        <w:pStyle w:val="TextBody"/>
        <w:spacing w:lineRule="auto" w:line="273" w:before="108" w:after="0"/>
        <w:jc w:val="left"/>
        <w:rPr>
          <w:rFonts w:ascii="Times New Roman" w:hAnsi="Times New Roman"/>
          <w:b/>
          <w:i/>
          <w:sz w:val="18"/>
        </w:rPr>
      </w:pPr>
      <w:r>
        <w:rPr>
          <w:rFonts w:ascii="Times New Roman" w:hAnsi="Times New Roman"/>
          <w:b/>
          <w:i/>
          <w:sz w:val="18"/>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spacing w:lineRule="auto" w:line="273" w:before="108" w:after="0"/>
        <w:jc w:val="left"/>
        <w:rPr>
          <w:rFonts w:ascii="Times New Roman" w:hAnsi="Times New Roman"/>
          <w:sz w:val="20"/>
        </w:rPr>
      </w:pPr>
      <w:r>
        <w:rPr>
          <w:rFonts w:ascii="Times New Roman" w:hAnsi="Times New Roman"/>
          <w:b w:val="false"/>
          <w:sz w:val="18"/>
        </w:rPr>
        <w:t>We have no products on the market and our product candidates are in various stages of development. We are currently conducting Phase 2 clinical trials of mecbotamab vedotin and ozuriftamab vedotin, and we expect Phase 1 trials of BA3071 first patient dosed in the first half of 2022 and various other product candidates in earlier stages of development. Our ability to achieve and sustain profitability depends on obtaining regulatory approvals for and, if approved, successfully commercializing our product candidates, either alone or with third parties. Before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mecbotamab vedotin in treatment-refractory sarcoma patients and PD-1 refractory NSCLC patients. The FDA has reviewed the trial designs but has not opined on whether the Phase 2 clinical trials will in fact be sufficient to support regulatory approval. However, we intend to ask the FDA to consider this further at the planned interim data review point or points. We cannot assure you that the FDA will agree that such data will be sufficient to support approval.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in our clinical trials resulting from factors including those related to the COVID-19 pandemic;</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negative or inconclusive results from preclinical testing or clinical trials leading to a decision or requirement to conduct additional preclinical testing or clinical trials or abandon a program;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product-related side effects experienced by participants in clinical trials or by individuals using therapeutic biologics that share characteristics with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conditions imposed by the FDA or comparable foreign authorities, including the EMA, regarding the scope or design of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in enrolling patients in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high drop-out rates of patients;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inadequate drug materials or other supplies necessary for the conduct of our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greater than anticipated clinical trial costs;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poor effectiveness of our product candidates during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unfavorable FDA or other regulatory agency inspection and review of a clinical trial site;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deficiencies in our third-party manufacturers’ manufacturing processes or facilities;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failure of any third-party contractors, investigators or contract research organizations, or CROs, to comply with regulatory requirements or otherwise meet their contractual obligations in a timely manner, or at all;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varying interpretations of data by the FDA and similar foreign regulatory agencies, including the EMA.</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Because CABs represent a new generation of antibodies, a delay or failure in development of any CAB product candidate could represent a major set-back for our patented technology platform and for our company generally.</w:t>
      </w:r>
    </w:p>
    <w:p>
      <w:pPr>
        <w:pStyle w:val="TextBody"/>
        <w:spacing w:lineRule="auto" w:line="273" w:before="324" w:after="0"/>
        <w:jc w:val="left"/>
        <w:rPr>
          <w:rFonts w:ascii="Times New Roman" w:hAnsi="Times New Roman"/>
          <w:b/>
          <w:i/>
          <w:sz w:val="18"/>
        </w:rPr>
      </w:pPr>
      <w:r>
        <w:rPr>
          <w:rFonts w:ascii="Times New Roman" w:hAnsi="Times New Roman"/>
          <w:b/>
          <w:i/>
          <w:sz w:val="18"/>
        </w:rPr>
        <w:t>We are substantially dependent on the success of our patented CAB technology platform, and our future success depends heavily on the successful development of this platform.</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would be required to abandon or redesign all of our current product candidates, which could have a material adverse effect on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We may not be successful in our efforts to use and expand our patented CAB technology platform to continue to build a pipeline of product candidates and develop marketable products.</w:t>
      </w:r>
    </w:p>
    <w:p>
      <w:pPr>
        <w:pStyle w:val="TextBody"/>
        <w:spacing w:lineRule="auto" w:line="273" w:before="108" w:after="0"/>
        <w:jc w:val="left"/>
        <w:rPr>
          <w:rFonts w:ascii="Times New Roman" w:hAnsi="Times New Roman"/>
          <w:sz w:val="20"/>
        </w:rPr>
      </w:pPr>
      <w:r>
        <w:rPr>
          <w:rFonts w:ascii="Times New Roman" w:hAnsi="Times New Roman"/>
          <w:b w:val="false"/>
          <w:sz w:val="18"/>
        </w:rPr>
        <w:t>We are using our patented technology platform to develop CABs in oncology indications with our lead product candidates mecbotamab vedotin and ozuriftamab vedotin, as well as continuing to build our pipeline of product candidates. Our business depends not only on our ability to successfully develop, obtain regulatory approval for, and commercialize the product candidates we currently have in clinical and preclinical</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We may expend our resources to pursue particular product candidates and fail to capitalize on product candidates that may be more profitable or for which there is a greater likelihood of success.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spacing w:lineRule="auto" w:line="273" w:before="324" w:after="0"/>
        <w:jc w:val="left"/>
        <w:rPr>
          <w:rFonts w:ascii="Times New Roman" w:hAnsi="Times New Roman"/>
          <w:b/>
          <w:i/>
          <w:sz w:val="18"/>
        </w:rPr>
      </w:pPr>
      <w:r>
        <w:rPr>
          <w:rFonts w:ascii="Times New Roman" w:hAnsi="Times New Roman"/>
          <w:b/>
          <w:i/>
          <w:sz w:val="18"/>
        </w:rPr>
        <w:t>If the market opportunities for any product that we develop are smaller than we believe they are, our revenue may be adversely affected and our business may suffer.</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focus our product candidate development on therapeutic CAB antibodies for the treatment of various oncology indications, such as soft tissue and bone sarcoma, NSCLC, melanoma, ovarian cancer,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spacing w:lineRule="auto" w:line="273" w:before="324" w:after="0"/>
        <w:jc w:val="left"/>
        <w:rPr>
          <w:rFonts w:ascii="Times New Roman" w:hAnsi="Times New Roman"/>
          <w:b/>
          <w:i/>
          <w:sz w:val="18"/>
        </w:rPr>
      </w:pPr>
      <w:r>
        <w:rPr>
          <w:rFonts w:ascii="Times New Roman" w:hAnsi="Times New Roman"/>
          <w:b/>
          <w:i/>
          <w:sz w:val="18"/>
        </w:rPr>
        <w:t>The market may not be receptive to our product candidates because they are based on our novel therapeutic modality, and we may not generate any future revenue from the sale or licensing of product candidates.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timing of our receipt of any marketing and commercialization approvals;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terms of any approvals and the countries in which approvals are obtained;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safety and efficacy of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prevalence and severity of any adverse side effects associated with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limitations or warnings contained in any labeling approved by the FDA or other regulatory authority, including the EMA;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 xml:space="preserve">the willingness of patients to obtain biopsies to determine the TmPS score for treatment eligibility;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relative convenience and ease of administration of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willingness of patients to accept any new methods of administration;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success of any physician education programs;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availability of adequate government and third-party payor reimbursement;</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the pricing of our products, particularly as compared to alternative treatments; and</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availability of alternative effective treatments for the disease indications our product candidates are intended to treat and the relative risks, benefits and costs of those treatments.</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If any product candidate we commercialize fails to achieve market acceptance, it could have a material and adverse effect on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mecbotamab vedotin for the treatment of soft tissue and bone sarcoma and for the treatment of PD-1 refractory NSCLC, in our Phase 2 clinical trial of ozuriftamab vedotin for the treatment of PD-1 refractory melanoma and NSCLC and in any subsequent or post-marketing confirmatory clinical trials.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For example, we have initiated potentially registration-enabling Phase 2 trials for BA3011 in treatment-refractory sarcoma patients and PD-1 refractory NSCLC. The FDA has reviewed the trial designs but has not opined on whether the Phase 2 clinical trials will in fact be sufficient to support regulatory approval. However, we intend to ask the FDA to consider this further at the planned interim data review point or points. We cannot assure you that the FDA will agree that such data will be sufficient to support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Furthermore, while multi-center investigator-initiated clinical trials of mecbotamab vedotin and ozuriftamab vedotin in patients with platinum-resistant ovarian cancer are expected to enroll patients in Canada in the first half of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pStyle w:val="TextBody"/>
        <w:spacing w:lineRule="auto" w:line="273" w:before="324" w:after="0"/>
        <w:jc w:val="left"/>
        <w:rPr>
          <w:rFonts w:ascii="Times New Roman" w:hAnsi="Times New Roman"/>
          <w:b/>
          <w:i/>
          <w:sz w:val="18"/>
        </w:rPr>
      </w:pPr>
      <w:r>
        <w:rPr>
          <w:rFonts w:ascii="Times New Roman" w:hAnsi="Times New Roman"/>
          <w:b/>
          <w:i/>
          <w:sz w:val="18"/>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spacing w:lineRule="auto" w:line="273" w:before="216" w:after="0"/>
        <w:jc w:val="left"/>
        <w:rPr>
          <w:rFonts w:ascii="Times New Roman" w:hAnsi="Times New Roman"/>
          <w:sz w:val="20"/>
        </w:rPr>
      </w:pPr>
      <w:r>
        <w:rPr>
          <w:rFonts w:ascii="Times New Roman" w:hAnsi="Times New Roman"/>
          <w:b w:val="false"/>
          <w:sz w:val="18"/>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Delays in the commencement and completion of clinical trials could increase costs and delay or prevent regulatory approval and commercialization of our product candidates.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negative preclinical data;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in receiving the required regulatory clearance from the appropriate regulatory authorities to commence clinical trials or amend clinical trial protocols, including any objections to our INDs or protocol amendments from the FDA;</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in reaching, or a failure to reach, a consensus with regulatory authorities on study design;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difficulties in obtaining IRB approval at each site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challenges in recruiting suitable patients to participate in a trial;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inability to enroll a sufficient number of patients in clinical trials to ensure adequate statistical power to detect statistically significant treatment effects;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difficulties in having patients complete a trial or return for post-treatment follow-up;</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CROs or clinical trial sites failing to comply with regulatory requirements or meet their contractual obligations to us in a timely manner, or at all, deviating from the protocol or dropping out of a clinical trial;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unforeseen safety issues, including occurrence of treatment emergent adverse events, or TEAEs, associated with the product candidate that are viewed to outweigh the product candidate’s potential benefits;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difficulties in adding new clinical trial sites;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ambiguous or negative interim results;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lack of adequate funding to continue the clinical trial;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difficulties in manufacturing sufficient quantities of acceptable product candidate for use in clinical trials in a timely manner, or at all; or</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the COVID-19 pandemic, which continues to adversely affect the pace of patient enrollment in clinical trials, also has caused clinical sites to redirect personnel and resources to focus on immediate and often unplanned numbers and needs of COVID-19 patients. In addition, the pandemic may result in clinical site closures, delays to patient enrollment, patients discontinuing their treatment or follow up visits or changes to trial protocols.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49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Enrollment and retention of patients in clinical trials is an expensive and time-consuming process and could be made more difficult or rendered impossible by multiple factors outside our control.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mecbotamab vedotin and ozuriftamab vedotin due to the limited number of suitable patients meeting the required AXL or ROR2 tumor membrane expression levels.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spacing w:lineRule="auto" w:line="273" w:before="324" w:after="0"/>
        <w:jc w:val="left"/>
        <w:rPr>
          <w:rFonts w:ascii="Times New Roman" w:hAnsi="Times New Roman"/>
          <w:b/>
          <w:i/>
          <w:sz w:val="18"/>
        </w:rPr>
      </w:pPr>
      <w:r>
        <w:rPr>
          <w:rFonts w:ascii="Times New Roman" w:hAnsi="Times New Roman"/>
          <w:b/>
          <w:i/>
          <w:sz w:val="18"/>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our clinical trials for mecbotamab vedotin and ozuriftamab vedotin, we have observed adverse events such as reversible myelosuppression, transient liver enzyme elevations, pyrexia, or fever, metabolic disturbances and peripheral neuropathy.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mecbotamab vedotin and ozuriftamab vedotin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pStyle w:val="TextBody"/>
        <w:spacing w:lineRule="auto" w:line="273" w:before="210" w:after="0"/>
        <w:jc w:val="left"/>
        <w:rPr>
          <w:rFonts w:ascii="Times New Roman" w:hAnsi="Times New Roman"/>
          <w:b w:val="false"/>
          <w:sz w:val="18"/>
        </w:rPr>
      </w:pPr>
      <w:r>
        <w:rPr>
          <w:rFonts w:ascii="Times New Roman" w:hAnsi="Times New Roman"/>
          <w:b w:val="false"/>
          <w:sz w:val="18"/>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regulatory authorities may suspend, limit or withdraw their approval of such product, or seek an injunction against its manufacture or distribution;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be required to conduct additional clinical trials or post-approval studies;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be required to recall a product or change the way such product is administered to patients;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additional restrictions may be imposed on the marketing of the particular product or the manufacturing processes for the product or any component thereof;</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be required to implement a REMS and/or create a Medication Guide outlining the risks of such side effects for distribution to patients, a communication plan for healthcare providers and/or other elements to assure safe use;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could be sued and held liable for harm caused to patients;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be subject to fines, injunctions or the imposition of civil or criminal penalties;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product may become less competitive;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our reputation may suffer.</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spacing w:lineRule="auto" w:line="273" w:before="324" w:after="0"/>
        <w:jc w:val="left"/>
        <w:rPr>
          <w:rFonts w:ascii="Times New Roman" w:hAnsi="Times New Roman"/>
          <w:b/>
          <w:i/>
          <w:sz w:val="18"/>
        </w:rPr>
      </w:pPr>
      <w:r>
        <w:rPr>
          <w:rFonts w:ascii="Times New Roman" w:hAnsi="Times New Roman"/>
          <w:b/>
          <w:i/>
          <w:sz w:val="18"/>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Currently, we are evaluating the use of each of mecbotamab vedotin and ozuriftamab vedotin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spacing w:lineRule="auto" w:line="273" w:before="108" w:after="0"/>
        <w:jc w:val="left"/>
        <w:rPr>
          <w:rFonts w:ascii="Times New Roman" w:hAnsi="Times New Roman"/>
          <w:sz w:val="20"/>
        </w:rPr>
      </w:pPr>
      <w:r>
        <w:rPr>
          <w:rFonts w:ascii="Times New Roman" w:hAnsi="Times New Roman"/>
          <w:b w:val="false"/>
          <w:sz w:val="18"/>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br/>
      </w:r>
      <w:r>
        <w:rPr>
          <w:rFonts w:ascii="Times New Roman" w:hAnsi="Times New Roman"/>
          <w:sz w:val="20"/>
        </w:rPr>
        <w:t> </w:t>
      </w:r>
    </w:p>
    <w:p>
      <w:pPr>
        <w:pStyle w:val="TextBody"/>
        <w:spacing w:lineRule="auto" w:line="273" w:before="108" w:after="0"/>
        <w:jc w:val="left"/>
        <w:rPr>
          <w:rFonts w:ascii="Times New Roman" w:hAnsi="Times New Roman"/>
          <w:sz w:val="20"/>
        </w:rPr>
      </w:pPr>
      <w:r>
        <w:rPr>
          <w:rFonts w:ascii="Times New Roman" w:hAnsi="Times New Roman"/>
          <w:b w:val="false"/>
          <w:sz w:val="18"/>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br/>
      </w:r>
      <w:r>
        <w:rPr>
          <w:rFonts w:ascii="Times New Roman" w:hAnsi="Times New Roman"/>
          <w:sz w:val="20"/>
        </w:rPr>
        <w:t> </w:t>
      </w:r>
    </w:p>
    <w:p>
      <w:pPr>
        <w:pStyle w:val="TextBody"/>
        <w:spacing w:lineRule="auto" w:line="273" w:before="324" w:after="0"/>
        <w:jc w:val="left"/>
        <w:rPr>
          <w:rFonts w:ascii="Times New Roman" w:hAnsi="Times New Roman"/>
          <w:b/>
          <w:i/>
          <w:sz w:val="18"/>
        </w:rPr>
      </w:pPr>
      <w:r>
        <w:rPr>
          <w:rFonts w:ascii="Times New Roman" w:hAnsi="Times New Roman"/>
          <w:b/>
          <w:i/>
          <w:sz w:val="18"/>
        </w:rPr>
        <w:t>If safe and effective use of any of our product candidates, such as mecbotamab vedotin and ozuriftamab vedotin,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spacing w:lineRule="auto" w:line="273" w:before="108" w:after="0"/>
        <w:jc w:val="left"/>
        <w:rPr>
          <w:rFonts w:ascii="Times New Roman" w:hAnsi="Times New Roman"/>
          <w:sz w:val="20"/>
        </w:rPr>
      </w:pPr>
      <w:r>
        <w:rPr>
          <w:rFonts w:ascii="Times New Roman" w:hAnsi="Times New Roman"/>
          <w:b w:val="false"/>
          <w:sz w:val="18"/>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 expression levels on the tumor membrane and cytoplasm. We are using both AXL and ROR2 TmPS scores in our ongoing clinical trials and they may be used for patient selection in future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clinical trials. If the AXL and ROR2 TmPS scores prove to be a useful method for patient selection, we will incorporate the specific diagnostic test into our registrational studies and partner with the appropriate diagnostic provider to codevelop a companion diagnostic.</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use of a companion diagnostic test is essential for the safe and effective use of any of our product candidates, such as mecbotamab vedotin and ozuriftamab vedotin, then the FDA generally will require approval or clearance of that companion diagnostic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financial condition, results of operations and prospects.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spacing w:lineRule="auto" w:line="273" w:before="324" w:after="0"/>
        <w:jc w:val="left"/>
        <w:rPr>
          <w:rFonts w:ascii="Times New Roman" w:hAnsi="Times New Roman"/>
          <w:b/>
          <w:i/>
          <w:sz w:val="18"/>
        </w:rPr>
      </w:pPr>
      <w:r>
        <w:rPr>
          <w:rFonts w:ascii="Times New Roman" w:hAnsi="Times New Roman"/>
          <w:b/>
          <w:i/>
          <w:sz w:val="18"/>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spacing w:lineRule="auto" w:line="273" w:before="324" w:after="0"/>
        <w:jc w:val="left"/>
        <w:rPr>
          <w:rFonts w:ascii="Times New Roman" w:hAnsi="Times New Roman"/>
          <w:b/>
          <w:i/>
          <w:sz w:val="18"/>
        </w:rPr>
      </w:pPr>
      <w:r>
        <w:rPr>
          <w:rFonts w:ascii="Times New Roman" w:hAnsi="Times New Roman"/>
          <w:b/>
          <w:i/>
          <w:sz w:val="18"/>
        </w:rPr>
        <w:t>Our biologic product candidates for which we intend to seek approval may face competition through an abbreviated pathway.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spacing w:lineRule="auto" w:line="273" w:before="108" w:after="0"/>
        <w:jc w:val="left"/>
        <w:rPr>
          <w:rFonts w:ascii="Times New Roman" w:hAnsi="Times New Roman"/>
          <w:sz w:val="20"/>
        </w:rPr>
      </w:pPr>
      <w:r>
        <w:rPr>
          <w:rFonts w:ascii="Times New Roman" w:hAnsi="Times New Roman"/>
          <w:b w:val="false"/>
          <w:sz w:val="18"/>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r>
        <w:rPr>
          <w:rFonts w:ascii="Times New Roman" w:hAnsi="Times New Roman"/>
          <w:sz w:val="20"/>
        </w:rPr>
        <w:t xml:space="preserve"> </w:t>
      </w:r>
    </w:p>
    <w:p>
      <w:pPr>
        <w:pStyle w:val="TextBody"/>
        <w:spacing w:lineRule="auto" w:line="273" w:before="324" w:after="0"/>
        <w:jc w:val="left"/>
        <w:rPr>
          <w:rFonts w:ascii="Times New Roman" w:hAnsi="Times New Roman"/>
          <w:b/>
          <w:i/>
          <w:sz w:val="18"/>
        </w:rPr>
      </w:pPr>
      <w:r>
        <w:rPr>
          <w:rFonts w:ascii="Times New Roman" w:hAnsi="Times New Roman"/>
          <w:b/>
          <w:i/>
          <w:sz w:val="18"/>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sz w:val="18"/>
        </w:rPr>
      </w:pPr>
      <w:r>
        <w:rPr>
          <w:rFonts w:ascii="Times New Roman" w:hAnsi="Times New Roman"/>
          <w:b/>
          <w:sz w:val="18"/>
        </w:rPr>
        <w:t>Risks related to regulatory approval and other legal compliance matters</w:t>
      </w:r>
    </w:p>
    <w:p>
      <w:pPr>
        <w:pStyle w:val="TextBody"/>
        <w:spacing w:lineRule="auto" w:line="273" w:before="108" w:after="0"/>
        <w:jc w:val="left"/>
        <w:rPr>
          <w:rFonts w:ascii="Times New Roman" w:hAnsi="Times New Roman"/>
          <w:b/>
          <w:i/>
          <w:sz w:val="18"/>
        </w:rPr>
      </w:pPr>
      <w:r>
        <w:rPr>
          <w:rFonts w:ascii="Times New Roman" w:hAnsi="Times New Roman"/>
          <w:b/>
          <w:i/>
          <w:sz w:val="18"/>
        </w:rPr>
        <w:t>We may be unable to obtain U.S. or foreign regulatory approval and, as a result, unable to commercialize our product candidates.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our product candidates could fail to receive regulatory approval for many reasons including the following: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FDA or comparable foreign regulatory authorities may disagree with the design or implementation of our clinical trials;</w:t>
      </w:r>
    </w:p>
    <w:p>
      <w:pPr>
        <w:pStyle w:val="TextBody"/>
        <w:spacing w:lineRule="auto" w:line="273" w:before="120" w:after="0"/>
        <w:jc w:val="left"/>
        <w:rPr/>
      </w:pPr>
      <w:r>
        <w:rPr/>
        <w:t>•</w:t>
      </w:r>
    </w:p>
    <w:p>
      <w:pPr>
        <w:pStyle w:val="TextBody"/>
        <w:spacing w:lineRule="auto" w:line="273" w:before="120" w:after="0"/>
        <w:jc w:val="left"/>
        <w:rPr/>
      </w:pPr>
      <w:r>
        <w:rPr>
          <w:rFonts w:ascii="Times New Roman" w:hAnsi="Times New Roman"/>
          <w:b w:val="false"/>
          <w:sz w:val="18"/>
        </w:rPr>
        <w:t>we may be unable to demonstrate to the satisfaction of the FDA or comparable foreign regulatory authorities that a product candidate is safe, pure and potent for its proposed indication;</w:t>
      </w:r>
      <w:r>
        <w:rPr/>
        <w:t xml:space="preserve">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results of clinical trials may fail to achieve the level of statistical significance required by the FDA or comparable foreign regulatory authorities for approval;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be unable to demonstrate that a product candidate’s clinical and other benefits outweigh its safety risks;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be unable to demonstrate a sufficient response rate or duration of response for a product candidate;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FDA or comparable foreign regulatory authorities may disagree with our interpretation of data submitted in support of regulatory approval;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we or our contractors may not meet the cGMPs and other applicable requirements for manufacturing processes, procedures, documentation and facilities necessary for approval by the FDA or comparable foreign regulatory authorities.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intend to seek accelerated approval for mecbotamab vedotin and ozuriftamab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post-marketing confirmatory trials are required to verify and describe the anticipated effect on irreversible morbidity or mortality or other clinical benefit. These confirmatory trials must be completed with due diligence, and the FDA may require that the trial be designed, initiated, and/or fully enrolled prior to approval. If we were to pursue accelerated approval for a product candidate for a disease or condition, we would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spacing w:lineRule="auto" w:line="273" w:before="208" w:after="0"/>
        <w:jc w:val="left"/>
        <w:rPr>
          <w:rFonts w:ascii="Times New Roman" w:hAnsi="Times New Roman"/>
          <w:sz w:val="20"/>
        </w:rPr>
      </w:pPr>
      <w:r>
        <w:rPr>
          <w:rFonts w:ascii="Times New Roman" w:hAnsi="Times New Roman"/>
          <w:b w:val="false"/>
          <w:sz w:val="18"/>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br/>
        <w:br/>
      </w:r>
      <w:r>
        <w:rPr>
          <w:rFonts w:ascii="Times New Roman" w:hAnsi="Times New Roman"/>
          <w:b/>
          <w:i/>
          <w:sz w:val="18"/>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restrictions on the marketing or manufacturing of the product;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withdrawal of the product from the market or voluntary or mandatory product recalls;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fines, warning or untitled letters or holds on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delay of approval or refusal by the FDA or comparable regulatory authorities in other jurisdictions to approve pending applications or supplements to approved applications filed by us, our current collaborator or any future strategic partners;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suspension or revocation of product license approvals;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product seizure or detention or refusal to permit the import or export of products;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injunctions or the imposition of civil or criminal penalties.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Even if we are able to commercialize any product candidate, such product candidate may become subject to unfavorable pricing regulations or third-party coverage and reimbursement policies, which would harm our business.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spacing w:lineRule="auto" w:line="273" w:before="210" w:after="0"/>
        <w:jc w:val="left"/>
        <w:rPr>
          <w:rFonts w:ascii="Times New Roman" w:hAnsi="Times New Roman"/>
          <w:sz w:val="20"/>
        </w:rPr>
      </w:pPr>
      <w:r>
        <w:rPr>
          <w:rFonts w:ascii="Times New Roman" w:hAnsi="Times New Roman"/>
          <w:b w:val="false"/>
          <w:sz w:val="18"/>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left"/>
        <w:rPr>
          <w:rFonts w:ascii="Times New Roman" w:hAnsi="Times New Roman"/>
          <w:b w:val="false"/>
          <w:sz w:val="18"/>
        </w:rPr>
      </w:pPr>
      <w:r>
        <w:rPr>
          <w:rFonts w:ascii="Times New Roman" w:hAnsi="Times New Roman"/>
          <w:b w:val="false"/>
          <w:sz w:val="18"/>
        </w:rPr>
        <w:t>certain product access and marketing cost disclosure and transparency measures, and, in some cases, designed to encourage importation from other countries and bulk purchasing.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spacing w:lineRule="auto" w:line="273" w:before="324" w:after="0"/>
        <w:jc w:val="left"/>
        <w:rPr>
          <w:rFonts w:ascii="Times New Roman" w:hAnsi="Times New Roman"/>
          <w:b/>
          <w:i/>
          <w:sz w:val="18"/>
        </w:rPr>
      </w:pPr>
      <w:r>
        <w:rPr>
          <w:rFonts w:ascii="Times New Roman" w:hAnsi="Times New Roman"/>
          <w:b/>
          <w:i/>
          <w:sz w:val="18"/>
        </w:rPr>
        <w:t>The FDA and other regulatory agencies actively enforce the laws and regulations prohibiting the promotion of off-label uses.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pStyle w:val="TextBody"/>
        <w:spacing w:lineRule="auto" w:line="273" w:before="216" w:after="0"/>
        <w:jc w:val="left"/>
        <w:rPr>
          <w:rFonts w:ascii="Times New Roman" w:hAnsi="Times New Roman"/>
          <w:sz w:val="20"/>
        </w:rPr>
      </w:pPr>
      <w:r>
        <w:rPr>
          <w:rFonts w:ascii="Times New Roman" w:hAnsi="Times New Roman"/>
          <w:b w:val="false"/>
          <w:sz w:val="18"/>
        </w:rPr>
        <w:t>Disruptions at the FDA and other agencies may also slow the time necessary for new drugs to be reviewed 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still be appropriate. Regulatory authorities outside the United States may adopt similar restrictions or other policy measures in response to the COVID-19 pandemic.</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spacing w:lineRule="auto" w:line="273" w:before="324" w:after="0"/>
        <w:jc w:val="left"/>
        <w:rPr>
          <w:rFonts w:ascii="Times New Roman" w:hAnsi="Times New Roman"/>
          <w:b/>
          <w:i/>
          <w:sz w:val="18"/>
        </w:rPr>
      </w:pPr>
      <w:r>
        <w:rPr>
          <w:rFonts w:ascii="Times New Roman" w:hAnsi="Times New Roman"/>
          <w:b/>
          <w:i/>
          <w:sz w:val="18"/>
        </w:rPr>
        <w:t>The FDA, EMA and other comparable foreign regulatory authorities may not accept data from trials conducted in locations outside of their jurisdiction.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spacing w:lineRule="auto" w:line="273" w:before="324" w:after="0"/>
        <w:jc w:val="left"/>
        <w:rPr>
          <w:rFonts w:ascii="Times New Roman" w:hAnsi="Times New Roman"/>
          <w:b/>
          <w:i/>
          <w:sz w:val="18"/>
        </w:rPr>
      </w:pPr>
      <w:r>
        <w:rPr>
          <w:rFonts w:ascii="Times New Roman" w:hAnsi="Times New Roman"/>
          <w:b/>
          <w:i/>
          <w:sz w:val="18"/>
        </w:rPr>
        <w:t>Our employees, independent contractors, principal investigators, CROs, consultants, suppliers and vendors may engage in misconduct or other improper activities, including noncompliance with regulatory standards and requirements.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pStyle w:val="TextBody"/>
        <w:spacing w:lineRule="auto" w:line="273" w:before="324" w:after="0"/>
        <w:jc w:val="left"/>
        <w:rPr>
          <w:rFonts w:ascii="Times New Roman" w:hAnsi="Times New Roman"/>
          <w:b/>
          <w:i/>
          <w:sz w:val="18"/>
        </w:rPr>
      </w:pPr>
      <w:r>
        <w:rPr>
          <w:rFonts w:ascii="Times New Roman" w:hAnsi="Times New Roman"/>
          <w:b/>
          <w:i/>
          <w:sz w:val="18"/>
        </w:rPr>
        <w:t>Healthcare legislative reform measures may have a material adverse effect on our business and results of operations.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lineRule="auto" w:line="273" w:before="216" w:after="0"/>
        <w:jc w:val="left"/>
        <w:rPr>
          <w:rFonts w:ascii="Times New Roman" w:hAnsi="Times New Roman"/>
          <w:sz w:val="20"/>
        </w:rPr>
      </w:pPr>
      <w:r>
        <w:rPr>
          <w:rFonts w:ascii="Times New Roman" w:hAnsi="Times New Roman"/>
          <w:b w:val="false"/>
          <w:sz w:val="18"/>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the any future challenges to the ACA and the healthcare reform measures of the Biden administration will impact the ACA and our business. We are continuing to monitor any changes to the ACA that, in turn, may potentially impact our business in the future.</w:t>
      </w:r>
    </w:p>
    <w:p>
      <w:pPr>
        <w:pStyle w:val="TextBody"/>
        <w:spacing w:lineRule="auto" w:line="273" w:before="216" w:after="0"/>
        <w:jc w:val="left"/>
        <w:rPr>
          <w:rFonts w:ascii="Times New Roman" w:hAnsi="Times New Roman"/>
          <w:sz w:val="20"/>
        </w:rPr>
      </w:pPr>
      <w:r>
        <w:rPr>
          <w:rFonts w:ascii="Times New Roman" w:hAnsi="Times New Roman"/>
          <w:b w:val="false"/>
          <w:sz w:val="18"/>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2030 unless additional Congressional action is taken, with the exception of a temporary suspension from May 1, 2020 through March 31, 2022, and a 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Furthermore, on September 9, 2021,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 and to what extent these or any future legislation or regulations by the Biden administration will have on our business, including market acceptance, and sales, of our products and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59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spacing w:lineRule="auto" w:line="273" w:before="0" w:after="0"/>
        <w:jc w:val="left"/>
        <w:rPr/>
      </w:pPr>
      <w:r>
        <w:rPr/>
        <w:t> </w:t>
      </w:r>
    </w:p>
    <w:p>
      <w:pPr>
        <w:pStyle w:val="TextBody"/>
        <w:spacing w:lineRule="auto" w:line="273" w:before="0" w:after="0"/>
        <w:jc w:val="left"/>
        <w:rPr/>
      </w:pPr>
      <w:r>
        <w:rPr/>
        <w:t>•</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federal and state consumer protection and unfair competition laws, which broadly regulate marketplace activities and activities that potentially harm customers;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pStyle w:val="TextBody"/>
        <w:spacing w:lineRule="auto" w:line="273" w:before="216" w:after="0"/>
        <w:jc w:val="left"/>
        <w:rPr>
          <w:rFonts w:ascii="Times New Roman" w:hAnsi="Times New Roman"/>
          <w:sz w:val="20"/>
        </w:rPr>
      </w:pPr>
      <w:r>
        <w:rPr>
          <w:rFonts w:ascii="Times New Roman" w:hAnsi="Times New Roman"/>
          <w:b w:val="false"/>
          <w:sz w:val="18"/>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Additionally, although not effective until January 1, 2023, the CPRA, which expands upon the CCPA, was passed in the November 2020 election. The CCPA has created new individual privacy rights and places increased privacy and security obligations on entities handling personal information. The CPRA significantly modifies the CCPA, including by expanding consumers’ rights with respect to certain personal information and creating a new state agency to oversee implementation and enforcement efforts. The CCPA and CPRA may increase our compliance costs and potential liability, and similar laws have been proposed at the federal level and in other states.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Ensuring that our internal operations and future business arrangements with third parties comply with applicable healthcare laws and regulations will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spacing w:lineRule="auto" w:line="273" w:before="324" w:after="0"/>
        <w:jc w:val="left"/>
        <w:rPr>
          <w:rFonts w:ascii="Times New Roman" w:hAnsi="Times New Roman"/>
          <w:b/>
          <w:i/>
          <w:sz w:val="18"/>
        </w:rPr>
      </w:pPr>
      <w:r>
        <w:rPr>
          <w:rFonts w:ascii="Times New Roman" w:hAnsi="Times New Roman"/>
          <w:b/>
          <w:i/>
          <w:sz w:val="18"/>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spacing w:lineRule="auto" w:line="273" w:before="324" w:after="0"/>
        <w:jc w:val="left"/>
        <w:rPr>
          <w:rFonts w:ascii="Times New Roman" w:hAnsi="Times New Roman"/>
          <w:b/>
          <w:i/>
          <w:sz w:val="18"/>
        </w:rPr>
      </w:pPr>
      <w:r>
        <w:rPr>
          <w:rFonts w:ascii="Times New Roman" w:hAnsi="Times New Roman"/>
          <w:b/>
          <w:i/>
          <w:sz w:val="18"/>
        </w:rPr>
        <w:t>Our research and development activities could be affected or delayed as a result of possible restrictions on animal testing.</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spacing w:lineRule="auto" w:line="273" w:before="324" w:after="0"/>
        <w:jc w:val="left"/>
        <w:rPr>
          <w:rFonts w:ascii="Times New Roman" w:hAnsi="Times New Roman"/>
          <w:b/>
          <w:i/>
          <w:sz w:val="18"/>
        </w:rPr>
      </w:pPr>
      <w:r>
        <w:rPr>
          <w:rFonts w:ascii="Times New Roman" w:hAnsi="Times New Roman"/>
          <w:b/>
          <w:i/>
          <w:sz w:val="18"/>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spacing w:lineRule="auto" w:line="273" w:before="108" w:after="0"/>
        <w:jc w:val="left"/>
        <w:rPr>
          <w:rFonts w:ascii="Times New Roman" w:hAnsi="Times New Roman"/>
          <w:sz w:val="20"/>
        </w:rPr>
      </w:pPr>
      <w:r>
        <w:rPr>
          <w:rFonts w:ascii="Times New Roman" w:hAnsi="Times New Roman"/>
          <w:b w:val="false"/>
          <w:sz w:val="18"/>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spacing w:lineRule="auto" w:line="273" w:before="324" w:after="0"/>
        <w:jc w:val="left"/>
        <w:rPr>
          <w:rFonts w:ascii="Times New Roman" w:hAnsi="Times New Roman"/>
          <w:b/>
          <w:i/>
          <w:sz w:val="18"/>
        </w:rPr>
      </w:pPr>
      <w:r>
        <w:rPr>
          <w:rFonts w:ascii="Times New Roman" w:hAnsi="Times New Roman"/>
          <w:b/>
          <w:i/>
          <w:sz w:val="18"/>
        </w:rPr>
        <w:t>We and our third-party contractors must comply with environmental, health and safety laws and regulations. A failure to comply with these laws and regulations could expose us to significant costs or liabilities.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spacing w:lineRule="auto" w:line="273" w:before="324" w:after="0"/>
        <w:jc w:val="left"/>
        <w:rPr>
          <w:rFonts w:ascii="Times New Roman" w:hAnsi="Times New Roman"/>
          <w:b/>
          <w:sz w:val="18"/>
        </w:rPr>
      </w:pPr>
      <w:r>
        <w:rPr>
          <w:rFonts w:ascii="Times New Roman" w:hAnsi="Times New Roman"/>
          <w:b/>
          <w:sz w:val="18"/>
        </w:rPr>
        <w:t>Risks related to employee matters, managing our growth and other risks related to our business</w:t>
      </w:r>
    </w:p>
    <w:p>
      <w:pPr>
        <w:pStyle w:val="TextBody"/>
        <w:spacing w:lineRule="auto" w:line="273" w:before="108" w:after="0"/>
        <w:jc w:val="left"/>
        <w:rPr>
          <w:rFonts w:ascii="Times New Roman" w:hAnsi="Times New Roman"/>
          <w:b/>
          <w:i/>
          <w:sz w:val="18"/>
        </w:rPr>
      </w:pPr>
      <w:r>
        <w:rPr>
          <w:rFonts w:ascii="Times New Roman" w:hAnsi="Times New Roman"/>
          <w:b/>
          <w:i/>
          <w:sz w:val="18"/>
        </w:rPr>
        <w:t>If we fail to attract and retain qualified senior management and key scientific personnel, our business may be materially and adversely affected.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and Scott Smith, our President,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spacing w:lineRule="auto" w:line="273" w:before="324" w:after="0"/>
        <w:jc w:val="left"/>
        <w:rPr>
          <w:rFonts w:ascii="Times New Roman" w:hAnsi="Times New Roman"/>
          <w:b/>
          <w:i/>
          <w:sz w:val="18"/>
        </w:rPr>
      </w:pPr>
      <w:r>
        <w:rPr>
          <w:rFonts w:ascii="Times New Roman" w:hAnsi="Times New Roman"/>
          <w:b/>
          <w:i/>
          <w:sz w:val="18"/>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In order to successfully implement our plans and strategies, we will need to grow the size of our organization, and we may experience difficulties in managing this growth.</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of December 31, 2021, we had 56 employees, and 18 dedicated independent contractors based in China and engaged through our agreement with BioDuro-Sundia, a provider of preclinical development services. 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w:t>
      </w:r>
    </w:p>
    <w:p>
      <w:pPr>
        <w:pStyle w:val="TextBody"/>
        <w:spacing w:lineRule="auto" w:line="273" w:before="0" w:after="0"/>
        <w:jc w:val="left"/>
        <w:rPr/>
      </w:pPr>
      <w:r>
        <w:rPr/>
        <w:t> </w:t>
      </w:r>
    </w:p>
    <w:p>
      <w:pPr>
        <w:pStyle w:val="TextBody"/>
        <w:spacing w:lineRule="auto" w:line="273" w:before="0" w:after="0"/>
        <w:jc w:val="left"/>
        <w:rPr/>
      </w:pPr>
      <w:r>
        <w:rPr/>
        <w:t>•</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identifying, recruiting, integrating, maintaining and motivating additional employees;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managing our internal development efforts effectively, including the clinical and regulatory review process for mecbotamab vedotin and ozuriftamab vedotin and any other product candidates, while complying with our contractual obligations to contractors and other third parties;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improving our operational, financial and management controls, reporting systems and procedures.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future financial performance and our ability to successfully develop and, if approved, commercialize mecbotamab vedotin, ozuriftamab vedotin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and any future product candidates and, accordingly, may not achieve our research, development and commercialization goals.</w:t>
      </w:r>
    </w:p>
    <w:p>
      <w:pPr>
        <w:pStyle w:val="TextBody"/>
        <w:spacing w:lineRule="auto" w:line="273" w:before="324" w:after="0"/>
        <w:jc w:val="left"/>
        <w:rPr>
          <w:rFonts w:ascii="Times New Roman" w:hAnsi="Times New Roman"/>
          <w:sz w:val="20"/>
        </w:rPr>
      </w:pPr>
      <w:r>
        <w:rPr>
          <w:rFonts w:ascii="Times New Roman" w:hAnsi="Times New Roman"/>
          <w:b/>
          <w:i/>
          <w:sz w:val="18"/>
        </w:rPr>
        <w:t>Our employees and independent contractors, including principal investigators, CROs, consultants and vendors, may engage in misconduct or other improper activities, including noncompliance with regulatory standards and requirements.</w:t>
      </w:r>
      <w:r>
        <w:rPr>
          <w:rFonts w:ascii="Times New Roman" w:hAnsi="Times New Roman"/>
          <w:sz w:val="20"/>
        </w:rPr>
        <w:t xml:space="preserve">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spacing w:lineRule="auto" w:line="273" w:before="324" w:after="0"/>
        <w:jc w:val="left"/>
        <w:rPr>
          <w:rFonts w:ascii="Times New Roman" w:hAnsi="Times New Roman"/>
          <w:b/>
          <w:i/>
          <w:sz w:val="18"/>
        </w:rPr>
      </w:pPr>
      <w:r>
        <w:rPr>
          <w:rFonts w:ascii="Times New Roman" w:hAnsi="Times New Roman"/>
          <w:b/>
          <w:i/>
          <w:sz w:val="18"/>
        </w:rPr>
        <w:t>Our internal computer systems, or those of any of our CROs, manufacturers, other contractors, consultants, existing or future collaborators, may fail or suffer security or data privacy breaches or other unauthorized or improper access to, use of or destruction of our proprietary and confidential data, employee data or personal data, which could result in additional costs, significant liabilities, harm to our reputation and material disruption of our operations.</w:t>
      </w:r>
    </w:p>
    <w:p>
      <w:pPr>
        <w:pStyle w:val="TextBody"/>
        <w:spacing w:lineRule="auto" w:line="273" w:before="108" w:after="0"/>
        <w:jc w:val="left"/>
        <w:rPr>
          <w:rFonts w:ascii="Times New Roman" w:hAnsi="Times New Roman"/>
          <w:sz w:val="20"/>
        </w:rPr>
      </w:pPr>
      <w:r>
        <w:rPr>
          <w:rFonts w:ascii="Times New Roman" w:hAnsi="Times New Roman"/>
          <w:b w:val="false"/>
          <w:sz w:val="18"/>
        </w:rPr>
        <w:t>Despite the implementation of security measures, our internal computer systems and those of our current and any future CROs, manufacturers, other contractors, consultants, existing or future collaborators and other third-party service providers are vulnerable to damage from various methods, including cybersecurity attacks, breaches, intentional or accidental mistakes or errors, or other technological failures, which can include, among other things, computer viruses, unauthorized access attempts, including third parties gaining access to systems using stolen or inferred credentials, denial-of-service attacks, phishing attempts, service disruptions, natural disasters, fire, terrorism, war and</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telecommunication and electrical failures. As the cyber-threat landscape evolves, these attacks are growing in frequency, sophistication and intensity, and are becoming increasingly difficult to detect. If such an event were to occur and cause interruptions in our operations or result in the unauthorized acquisition of or access to personally identifiable information or individually identifiable health information (violating certain privacy laws such as HIPAA, HITECH, the CCPA and GDPR), it could result in a material disruption of our product candidate development programs and our business operations and we could incur significant liabilities.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spacing w:lineRule="auto" w:line="273" w:before="324" w:after="0"/>
        <w:jc w:val="left"/>
        <w:rPr>
          <w:rFonts w:ascii="Times New Roman" w:hAnsi="Times New Roman"/>
          <w:b/>
          <w:i/>
          <w:sz w:val="18"/>
        </w:rPr>
      </w:pPr>
      <w:r>
        <w:rPr>
          <w:rFonts w:ascii="Times New Roman" w:hAnsi="Times New Roman"/>
          <w:b/>
          <w:i/>
          <w:sz w:val="18"/>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conduct preclinical research and development activities in China through BioDuro-Sundia, which is U.S. owned, but governed by Chinese laws, rules and regulations.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Furthermore, we are exposed to the possibility of disruption of our research and development activities in the event of changes in the policies of the United States or Chinese governments, political unrest or unstable economic conditions in China.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spacing w:lineRule="auto" w:line="273" w:before="324" w:after="0"/>
        <w:jc w:val="left"/>
        <w:rPr>
          <w:rFonts w:ascii="Times New Roman" w:hAnsi="Times New Roman"/>
          <w:b/>
          <w:i/>
          <w:sz w:val="18"/>
        </w:rPr>
      </w:pPr>
      <w:r>
        <w:rPr>
          <w:rFonts w:ascii="Times New Roman" w:hAnsi="Times New Roman"/>
          <w:b/>
          <w:i/>
          <w:sz w:val="18"/>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pStyle w:val="TextBody"/>
        <w:spacing w:lineRule="auto" w:line="273" w:before="108" w:after="0"/>
        <w:jc w:val="left"/>
        <w:rPr>
          <w:rFonts w:ascii="Times New Roman" w:hAnsi="Times New Roman"/>
          <w:sz w:val="20"/>
        </w:rPr>
      </w:pPr>
      <w:r>
        <w:rPr>
          <w:rFonts w:ascii="Times New Roman" w:hAnsi="Times New Roman"/>
          <w:b w:val="false"/>
          <w:sz w:val="18"/>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spacing w:lineRule="auto" w:line="273" w:before="324" w:after="0"/>
        <w:jc w:val="left"/>
        <w:rPr>
          <w:rFonts w:ascii="Times New Roman" w:hAnsi="Times New Roman"/>
          <w:b/>
          <w:i/>
          <w:sz w:val="18"/>
        </w:rPr>
      </w:pPr>
      <w:r>
        <w:rPr>
          <w:rFonts w:ascii="Times New Roman" w:hAnsi="Times New Roman"/>
          <w:b/>
          <w:i/>
          <w:sz w:val="18"/>
        </w:rPr>
        <w:t>Our business is subject to economic, political, regulatory and other risks associated with conducting business internationally.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our collaborators or licensees may seek regulatory approval of our product candidates outside of the United States including in China, the European Union, Australia, New Zealand, and Japan. We conduct preclinical research and development activities in China through BioDuro-Sundia, which is U.S. owned, but governed by Chinese laws. Accordingly, we expect that we will be subject to additional risks related to operating in foreign countries if we obtain the necessary approvals, including:</w:t>
      </w:r>
    </w:p>
    <w:p>
      <w:pPr>
        <w:pStyle w:val="TextBody"/>
        <w:spacing w:lineRule="auto" w:line="273" w:before="0" w:after="0"/>
        <w:jc w:val="left"/>
        <w:rPr/>
      </w:pPr>
      <w:r>
        <w:rPr/>
        <w:t> </w:t>
      </w:r>
    </w:p>
    <w:p>
      <w:pPr>
        <w:pStyle w:val="TextBody"/>
        <w:spacing w:lineRule="auto" w:line="273" w:before="0" w:after="0"/>
        <w:jc w:val="left"/>
        <w:rPr/>
      </w:pPr>
      <w:r>
        <w:rPr/>
        <w:t>•</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differing regulatory requirements and reimbursement regimes in foreign countries;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unexpected changes in tariffs, trade barriers, price and exchange controls and other regulatory requirements;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economic weakness, including inflation, or political instability in particular foreign economies and markets;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compliance with tax, employment, immigration and labor laws for employees living or traveling abroad;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foreign taxes, including withholding of payroll taxes;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foreign currency fluctuations, which could result in increased operating expenses and reduced revenue, and other obligations incident to doing business in another country;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difficulties staffing and managing foreign operations;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workforce uncertainty in countries where labor unrest is more common than in the United States;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potential liability under the FCPA or comparable foreign regulations;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challenges enforcing our contractual and intellectual property rights, especially in those foreign countries that do not respect and protect intellectual property rights to the same extent as the United States;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production shortages resulting from any events affecting raw material supply or manufacturing capabilities abroad;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business interruptions resulting from geo-political actions, including war and terrorism.</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These and other risks associated with our international operations may materially adversely affect our ability to attain or maintain profitable operations.</w:t>
      </w:r>
    </w:p>
    <w:p>
      <w:pPr>
        <w:pStyle w:val="TextBody"/>
        <w:spacing w:lineRule="auto" w:line="273" w:before="324" w:after="0"/>
        <w:jc w:val="left"/>
        <w:rPr>
          <w:rFonts w:ascii="Times New Roman" w:hAnsi="Times New Roman"/>
          <w:b/>
          <w:i/>
          <w:sz w:val="18"/>
        </w:rPr>
      </w:pPr>
      <w:r>
        <w:rPr>
          <w:rFonts w:ascii="Times New Roman" w:hAnsi="Times New Roman"/>
          <w:b/>
          <w:i/>
          <w:sz w:val="18"/>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face risks related to health epidemics or outbreaks of communicable diseases. For example, in December 2019, a novel strain of coronavirus, SARS-CoV-2, causing a disease referred to as COVID-19, emerged in China. Since then, COVID-19 has spread to multiple countries worldwide, including the United States and member states of the European Union.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 particularly quarantines, shelter-in-place or total lock-down orders and business limitations and shutdowns. For example, our primary operations are located in San Diego, California, and San Diego County and the State of California had issued shelter-in-place orders in response to the COVID-19 pandemic. Although some restrictions aimed at minimizing the spread of COVID-19 have been and may from time to time be eased or lifted in the U.S. and other countries, in response to local surges and new waves of infection, including those caused by the spread of the Delta, Omicron and other variants, some countries, states, and local governments have maintained or reinstituted these restrictions, or may reinstitute these restrictions from time to time, in response to rising rates of infection.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the COVID-19 pandemic is having a severe effect on the clinical trials of many drug candidates of several sponsors.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(including its variant strains, such as the highly transmissible Delta and Omicron variants), the effectiveness of actions to contain and treat COVID-19 and the rate of vaccination and efficacy of approved vaccines against COVID-19 and its variant strains. To date, we have experienced modest business disruptions, including with respect to the clinical trials we are conducting, and non-material impairments as a result of the pandemic.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spacing w:lineRule="auto" w:line="273" w:before="210" w:after="0"/>
        <w:jc w:val="left"/>
        <w:rPr>
          <w:rFonts w:ascii="Times New Roman" w:hAnsi="Times New Roman"/>
          <w:b/>
          <w:sz w:val="18"/>
        </w:rPr>
      </w:pPr>
      <w:r>
        <w:rPr>
          <w:rFonts w:ascii="Times New Roman" w:hAnsi="Times New Roman"/>
          <w:b/>
          <w:sz w:val="18"/>
        </w:rPr>
        <w:t>Risks related to our dependence on third parties</w:t>
      </w:r>
    </w:p>
    <w:p>
      <w:pPr>
        <w:pStyle w:val="TextBody"/>
        <w:spacing w:lineRule="auto" w:line="273" w:before="108" w:after="0"/>
        <w:jc w:val="left"/>
        <w:rPr>
          <w:rFonts w:ascii="Times New Roman" w:hAnsi="Times New Roman"/>
          <w:b/>
          <w:i/>
          <w:sz w:val="18"/>
        </w:rPr>
      </w:pPr>
      <w:r>
        <w:rPr>
          <w:rFonts w:ascii="Times New Roman" w:hAnsi="Times New Roman"/>
          <w:b/>
          <w:i/>
          <w:sz w:val="18"/>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spacing w:lineRule="auto" w:line="273" w:before="108" w:after="0"/>
        <w:jc w:val="left"/>
        <w:rPr>
          <w:rFonts w:ascii="Times New Roman" w:hAnsi="Times New Roman"/>
          <w:sz w:val="20"/>
        </w:rPr>
      </w:pPr>
      <w:r>
        <w:rPr>
          <w:rFonts w:ascii="Times New Roman" w:hAnsi="Times New Roman"/>
          <w:b w:val="false"/>
          <w:sz w:val="18"/>
        </w:rPr>
        <w:t>We have entered, and may in the future seek to enter, into collaborations with third parties for the development and commercialization of certain of our product candidates. 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Our existing collaboration arrangements currently pose, and future collaborations involving our product candidates will pose, the following risks to us:</w:t>
        <w:br/>
      </w:r>
      <w:r>
        <w:rPr>
          <w:rFonts w:ascii="Times New Roman" w:hAnsi="Times New Roman"/>
          <w:sz w:val="20"/>
        </w:rPr>
        <w:t> </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collaborators have significant discretion in determining the efforts and resources that they will apply to these collaborations;</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collaborators with marketing, manufacturing and distribution rights to one or more products may not commit sufficient resources to or otherwise not perform satisfactorily in carrying out these activities;</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could grant exclusive rights to our collaborators that would prevent us from collaborating with others;</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collaborators may infringe the intellectual property rights of third parties, which may expose us to litigation and potential liability;</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disputes may arise with respect to the ownership of any intellectual property developed pursuant to our collaborations;</w:t>
      </w:r>
    </w:p>
    <w:p>
      <w:pPr>
        <w:pStyle w:val="TextBody"/>
        <w:spacing w:lineRule="auto" w:line="273" w:before="108" w:after="0"/>
        <w:jc w:val="left"/>
        <w:rPr/>
      </w:pPr>
      <w:r>
        <w:rPr/>
        <w:t>•</w:t>
      </w:r>
    </w:p>
    <w:p>
      <w:pPr>
        <w:pStyle w:val="TextBody"/>
        <w:spacing w:lineRule="auto" w:line="273" w:before="108" w:after="283"/>
        <w:jc w:val="left"/>
        <w:rPr>
          <w:rFonts w:ascii="Times New Roman" w:hAnsi="Times New Roman"/>
          <w:b w:val="false"/>
          <w:sz w:val="18"/>
        </w:rPr>
      </w:pPr>
      <w:r>
        <w:rPr>
          <w:rFonts w:ascii="Times New Roman" w:hAnsi="Times New Roman"/>
          <w:b w:val="false"/>
          <w:sz w:val="18"/>
        </w:rPr>
        <w:t xml:space="preserve">collaborators may not provide us with timely and accurate information regarding development, regulatory or commercialization status or results, which could adversely impact our ability to manage our own development efforts, accurately forecast financial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results or provide timely information to our stockholders regarding our out-licensed product candidates;</w:t>
      </w:r>
    </w:p>
    <w:p>
      <w:pPr>
        <w:pStyle w:val="TextBody"/>
        <w:spacing w:lineRule="auto" w:line="273" w:before="108" w:after="0"/>
        <w:jc w:val="left"/>
        <w:rPr/>
      </w:pPr>
      <w:r>
        <w:rPr/>
        <w: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collaborations may be terminated and, if terminated, this may result in a need for additional capital to pursue further development or commercialization of the applicable current or future product candidates; and</w:t>
      </w:r>
    </w:p>
    <w:p>
      <w:pPr>
        <w:pStyle w:val="TextBody"/>
        <w:spacing w:lineRule="auto" w:line="273" w:before="108" w:after="0"/>
        <w:jc w:val="left"/>
        <w:rPr/>
      </w:pPr>
      <w:r>
        <w:rPr/>
        <w:t>•</w:t>
      </w:r>
    </w:p>
    <w:p>
      <w:pPr>
        <w:pStyle w:val="TextBody"/>
        <w:spacing w:lineRule="auto" w:line="273" w:before="108" w:after="283"/>
        <w:jc w:val="left"/>
        <w:rPr>
          <w:rFonts w:ascii="Times New Roman" w:hAnsi="Times New Roman"/>
          <w:b w:val="false"/>
          <w:sz w:val="18"/>
        </w:rPr>
      </w:pPr>
      <w:r>
        <w:rPr>
          <w:rFonts w:ascii="Times New Roman" w:hAnsi="Times New Roman"/>
          <w:b w:val="false"/>
          <w:sz w:val="18"/>
        </w:rPr>
        <w:t>collaborators’ sales and marketing activities or other operations may not be in compliance with applicable laws resulting in civil or criminal proceedings.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spacing w:lineRule="auto" w:line="273" w:before="324" w:after="0"/>
        <w:jc w:val="left"/>
        <w:rPr>
          <w:rFonts w:ascii="Times New Roman" w:hAnsi="Times New Roman"/>
          <w:b/>
          <w:i/>
          <w:sz w:val="18"/>
        </w:rPr>
      </w:pPr>
      <w:r>
        <w:rPr>
          <w:rFonts w:ascii="Times New Roman" w:hAnsi="Times New Roman"/>
          <w:b/>
          <w:i/>
          <w:sz w:val="18"/>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spacing w:lineRule="auto" w:line="273" w:before="324" w:after="0"/>
        <w:jc w:val="left"/>
        <w:rPr>
          <w:rFonts w:ascii="Times New Roman" w:hAnsi="Times New Roman"/>
          <w:b/>
          <w:i/>
          <w:sz w:val="18"/>
        </w:rPr>
      </w:pPr>
      <w:r>
        <w:rPr>
          <w:rFonts w:ascii="Times New Roman" w:hAnsi="Times New Roman"/>
          <w:b/>
          <w:i/>
          <w:sz w:val="18"/>
        </w:rPr>
        <w:t>We may not be successful in establishing commercialization collaborations, which could adversely affect our ability to commercialize our product candidates, if approved.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mecbotamab vedotin and ozuriftamab vedotin.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spacing w:lineRule="auto" w:line="273" w:before="216" w:after="0"/>
        <w:jc w:val="left"/>
        <w:rPr>
          <w:rFonts w:ascii="Times New Roman" w:hAnsi="Times New Roman"/>
          <w:sz w:val="20"/>
        </w:rPr>
      </w:pPr>
      <w:r>
        <w:rPr>
          <w:rFonts w:ascii="Times New Roman" w:hAnsi="Times New Roman"/>
          <w:b w:val="false"/>
          <w:sz w:val="18"/>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preclinical studies and clinical trials could have a material and adverse effect on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reduction or termination of production or deliveries by suppliers, or the raising of prices or renegotiation of terms;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termination or nonrenewal of arrangements or agreements by our third-party contractors at a time that is costly or inconvenient for us;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breach by the third-party contractors of our agreements with them;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failure of third-party contractors to comply with applicable regulatory requirements;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failure of the third party to manufacture our product candidates according to our specifications;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mislabeling of clinical supplies, potentially resulting in the wrong dose amounts being supplied or active drug not being properly identified;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clinical supplies not being delivered to clinical sites on time, leading to clinical trial interruptions, or of drug supplies not being distributed to commercial vendors in a timely manner, resulting in lost sales;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the misappropriation of our proprietary information, including our trade secrets and know-how.</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spacing w:lineRule="auto" w:line="273" w:before="324" w:after="0"/>
        <w:jc w:val="left"/>
        <w:rPr>
          <w:rFonts w:ascii="Times New Roman" w:hAnsi="Times New Roman"/>
          <w:b/>
          <w:sz w:val="18"/>
        </w:rPr>
      </w:pPr>
      <w:r>
        <w:rPr>
          <w:rFonts w:ascii="Times New Roman" w:hAnsi="Times New Roman"/>
          <w:b/>
          <w:sz w:val="18"/>
        </w:rPr>
        <w:t>Risks related to intellectual property</w:t>
      </w:r>
    </w:p>
    <w:p>
      <w:pPr>
        <w:pStyle w:val="TextBody"/>
        <w:spacing w:lineRule="auto" w:line="273" w:before="108" w:after="0"/>
        <w:jc w:val="left"/>
        <w:rPr>
          <w:rFonts w:ascii="Times New Roman" w:hAnsi="Times New Roman"/>
          <w:b/>
          <w:i/>
          <w:sz w:val="18"/>
        </w:rPr>
      </w:pPr>
      <w:r>
        <w:rPr>
          <w:rFonts w:ascii="Times New Roman" w:hAnsi="Times New Roman"/>
          <w:b/>
          <w:i/>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spacing w:lineRule="auto" w:line="273" w:before="216" w:after="0"/>
        <w:jc w:val="left"/>
        <w:rPr>
          <w:rFonts w:ascii="Times New Roman" w:hAnsi="Times New Roman"/>
          <w:sz w:val="20"/>
        </w:rPr>
      </w:pPr>
      <w:r>
        <w:rPr>
          <w:rFonts w:ascii="Times New Roman" w:hAnsi="Times New Roman"/>
          <w:b w:val="false"/>
          <w:sz w:val="18"/>
        </w:rPr>
        <w:t>Once granted, patents may remain open to opposition, interference, re-examination, post-grant review,</w:t>
      </w:r>
      <w:r>
        <w:rPr>
          <w:rFonts w:ascii="Times New Roman" w:hAnsi="Times New Roman"/>
          <w:sz w:val="20"/>
        </w:rPr>
        <w:t xml:space="preserve"> </w:t>
      </w:r>
      <w:r>
        <w:rPr>
          <w:rFonts w:ascii="Times New Roman" w:hAnsi="Times New Roman"/>
          <w:b w:val="false"/>
          <w:i/>
          <w:sz w:val="18"/>
        </w:rPr>
        <w:t>inter partes</w:t>
      </w:r>
      <w:r>
        <w:rPr>
          <w:rFonts w:ascii="Times New Roman" w:hAnsi="Times New Roman"/>
          <w:sz w:val="20"/>
        </w:rPr>
        <w:t xml:space="preserve"> </w:t>
      </w:r>
      <w:r>
        <w:rPr>
          <w:rFonts w:ascii="Times New Roman" w:hAnsi="Times New Roman"/>
          <w:b w:val="false"/>
          <w:sz w:val="18"/>
        </w:rPr>
        <w:t>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69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altogether. As of March 24,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obtain, maintain, protect and enforce intellectual property protection for our technologies and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Others will not or may not be able to make, use or sell compounds that are the same as or similar to our product candidates but that are not covered by the claims of the patents that we own or license.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or our licensors, or our existing or future collaborators are the first to make the inventions covered by each of our issued patents and pending patent applications that we own or license.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or our licensors, or our existing or future collaborators are the first to file patent applications covering certain aspects of our inventions.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Others will not independently develop similar or alternative technologies or duplicate any of our technologies without infringing our intellectual property rights.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 third party may not challenge our patents and, if challenged, that a court would hold that our patents are valid, enforceable and infringed.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Any issued patents that we own or have licensed will provide us with any competitive advantage or will not be challenged by third parties.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We may develop or in-license additional proprietary technologies that are patentable.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Pending patent applications that we own or may license will lead to issued patents.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patents of others will not have a material or adverse effect on our business, financial condition, results of operations and prospects.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spacing w:lineRule="auto" w:line="273" w:before="324" w:after="0"/>
        <w:jc w:val="left"/>
        <w:rPr>
          <w:rFonts w:ascii="Times New Roman" w:hAnsi="Times New Roman"/>
          <w:b/>
          <w:i/>
          <w:sz w:val="18"/>
        </w:rPr>
      </w:pPr>
      <w:r>
        <w:rPr>
          <w:rFonts w:ascii="Times New Roman" w:hAnsi="Times New Roman"/>
          <w:b/>
          <w:i/>
          <w:sz w:val="18"/>
        </w:rPr>
        <w:t>If we are unable to protect the confidentiality of our trade secrets, our business and competitive position would be harmed.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spacing w:lineRule="auto" w:line="273" w:before="216" w:after="0"/>
        <w:jc w:val="left"/>
        <w:rPr>
          <w:rFonts w:ascii="Times New Roman" w:hAnsi="Times New Roman"/>
          <w:sz w:val="20"/>
        </w:rPr>
      </w:pPr>
      <w:r>
        <w:rPr>
          <w:rFonts w:ascii="Times New Roman" w:hAnsi="Times New Roman"/>
          <w:b w:val="false"/>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spacing w:lineRule="auto" w:line="273" w:before="324" w:after="0"/>
        <w:jc w:val="left"/>
        <w:rPr>
          <w:rFonts w:ascii="Times New Roman" w:hAnsi="Times New Roman"/>
          <w:b/>
          <w:i/>
          <w:sz w:val="18"/>
        </w:rPr>
      </w:pPr>
      <w:r>
        <w:rPr>
          <w:rFonts w:ascii="Times New Roman" w:hAnsi="Times New Roman"/>
          <w:b/>
          <w:i/>
          <w:sz w:val="18"/>
        </w:rPr>
        <w:t>The terms of our patents may not protect our competitive position on our product candidates for an adequate amount of time.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2037, subject to any additional patent extensions that may be available for such patents. If patents are issued on our pending patent applications, the resulting patents are projected to expire on dates ranging from 2030 to 2041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spacing w:lineRule="auto" w:line="273" w:before="324" w:after="0"/>
        <w:jc w:val="left"/>
        <w:rPr>
          <w:rFonts w:ascii="Times New Roman" w:hAnsi="Times New Roman"/>
          <w:b/>
          <w:i/>
          <w:sz w:val="18"/>
        </w:rPr>
      </w:pPr>
      <w:r>
        <w:rPr>
          <w:rFonts w:ascii="Times New Roman" w:hAnsi="Times New Roman"/>
          <w:b/>
          <w:i/>
          <w:sz w:val="18"/>
        </w:rPr>
        <w:t>If we do not obtain patent term extension for our product candidates, our business may be materially harmed.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spacing w:lineRule="auto" w:line="273" w:before="324" w:after="0"/>
        <w:jc w:val="left"/>
        <w:rPr>
          <w:rFonts w:ascii="Times New Roman" w:hAnsi="Times New Roman"/>
          <w:b/>
          <w:i/>
          <w:sz w:val="18"/>
        </w:rPr>
      </w:pPr>
      <w:r>
        <w:rPr>
          <w:rFonts w:ascii="Times New Roman" w:hAnsi="Times New Roman"/>
          <w:b/>
          <w:i/>
          <w:sz w:val="18"/>
        </w:rPr>
        <w:t>Recent patent reform legislation could increase the uncertainties and costs surrounding the prosecution of our patent applications and the enforcement or defense of our issued patents.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spacing w:lineRule="auto" w:line="273" w:before="216" w:after="0"/>
        <w:jc w:val="left"/>
        <w:rPr>
          <w:rFonts w:ascii="Times New Roman" w:hAnsi="Times New Roman"/>
          <w:sz w:val="20"/>
        </w:rPr>
      </w:pPr>
      <w:r>
        <w:rPr>
          <w:rFonts w:ascii="Times New Roman" w:hAnsi="Times New Roman"/>
          <w:b w:val="false"/>
          <w:sz w:val="18"/>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spacing w:lineRule="auto" w:line="273" w:before="324" w:after="0"/>
        <w:jc w:val="left"/>
        <w:rPr>
          <w:rFonts w:ascii="Times New Roman" w:hAnsi="Times New Roman"/>
          <w:b/>
          <w:i/>
          <w:sz w:val="18"/>
        </w:rPr>
      </w:pPr>
      <w:r>
        <w:rPr>
          <w:rFonts w:ascii="Times New Roman" w:hAnsi="Times New Roman"/>
          <w:b/>
          <w:i/>
          <w:sz w:val="18"/>
        </w:rPr>
        <w:t>Changes in U.S. patent law or laws in other countries could diminish the value of patents in general, thereby impairing our ability to protect our product candidates.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spacing w:lineRule="auto" w:line="273" w:before="324" w:after="0"/>
        <w:jc w:val="left"/>
        <w:rPr>
          <w:rFonts w:ascii="Times New Roman" w:hAnsi="Times New Roman"/>
          <w:b/>
          <w:i/>
          <w:sz w:val="18"/>
        </w:rPr>
      </w:pPr>
      <w:r>
        <w:rPr>
          <w:rFonts w:ascii="Times New Roman" w:hAnsi="Times New Roman"/>
          <w:b/>
          <w:i/>
          <w:sz w:val="18"/>
        </w:rPr>
        <w:t>Other companies or organizations may challenge our or our licensors’ patent rights or may assert patent rights that prevent us from developing and commercializing our products.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spacing w:lineRule="auto" w:line="273" w:before="324" w:after="0"/>
        <w:jc w:val="left"/>
        <w:rPr>
          <w:rFonts w:ascii="Times New Roman" w:hAnsi="Times New Roman"/>
          <w:b/>
          <w:i/>
          <w:sz w:val="18"/>
        </w:rPr>
      </w:pPr>
      <w:r>
        <w:rPr>
          <w:rFonts w:ascii="Times New Roman" w:hAnsi="Times New Roman"/>
          <w:b/>
          <w:i/>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spacing w:lineRule="auto" w:line="273" w:before="108" w:after="0"/>
        <w:jc w:val="left"/>
        <w:rPr>
          <w:rFonts w:ascii="Times New Roman" w:hAnsi="Times New Roman"/>
          <w:sz w:val="20"/>
        </w:rPr>
      </w:pPr>
      <w:r>
        <w:rPr>
          <w:rFonts w:ascii="Times New Roman" w:hAnsi="Times New Roman"/>
          <w:b w:val="false"/>
          <w:sz w:val="18"/>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w:t>
      </w:r>
      <w:r>
        <w:rPr>
          <w:rFonts w:ascii="Times New Roman" w:hAnsi="Times New Roman"/>
          <w:sz w:val="20"/>
        </w:rPr>
        <w:t xml:space="preserve"> </w:t>
      </w:r>
      <w:r>
        <w:rPr>
          <w:rFonts w:ascii="Times New Roman" w:hAnsi="Times New Roman"/>
          <w:b w:val="false"/>
          <w:i/>
          <w:sz w:val="18"/>
        </w:rPr>
        <w:t>inter partes</w:t>
      </w:r>
      <w:r>
        <w:rPr>
          <w:rFonts w:ascii="Times New Roman" w:hAnsi="Times New Roman"/>
          <w:sz w:val="20"/>
        </w:rPr>
        <w:t xml:space="preserve"> </w:t>
      </w:r>
      <w:r>
        <w:rPr>
          <w:rFonts w:ascii="Times New Roman" w:hAnsi="Times New Roman"/>
          <w:b w:val="false"/>
          <w:sz w:val="18"/>
        </w:rPr>
        <w:t>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spacing w:lineRule="auto" w:line="273" w:before="324" w:after="0"/>
        <w:jc w:val="left"/>
        <w:rPr>
          <w:rFonts w:ascii="Times New Roman" w:hAnsi="Times New Roman"/>
          <w:b/>
          <w:i/>
          <w:sz w:val="18"/>
        </w:rPr>
      </w:pPr>
      <w:r>
        <w:rPr>
          <w:rFonts w:ascii="Times New Roman" w:hAnsi="Times New Roman"/>
          <w:b/>
          <w:i/>
          <w:sz w:val="18"/>
        </w:rPr>
        <w:t>We may not identify relevant third-party patents or may incorrectly interpret the relevance, scope or expiration of a third-party patent which might adversely affect our ability to develop and market our products.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spacing w:lineRule="auto" w:line="273" w:before="324" w:after="0"/>
        <w:jc w:val="left"/>
        <w:rPr>
          <w:rFonts w:ascii="Times New Roman" w:hAnsi="Times New Roman"/>
          <w:b/>
          <w:i/>
          <w:sz w:val="18"/>
        </w:rPr>
      </w:pPr>
      <w:r>
        <w:rPr>
          <w:rFonts w:ascii="Times New Roman" w:hAnsi="Times New Roman"/>
          <w:b/>
          <w:i/>
          <w:sz w:val="18"/>
        </w:rPr>
        <w:t>We may be subject to claims challenging the inventorship or ownership of our patents and other intellectual property.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spacing w:lineRule="auto" w:line="273" w:before="324" w:after="0"/>
        <w:jc w:val="left"/>
        <w:rPr>
          <w:rFonts w:ascii="Times New Roman" w:hAnsi="Times New Roman"/>
          <w:b/>
          <w:i/>
          <w:sz w:val="18"/>
        </w:rPr>
      </w:pPr>
      <w:r>
        <w:rPr>
          <w:rFonts w:ascii="Times New Roman" w:hAnsi="Times New Roman"/>
          <w:b/>
          <w:i/>
          <w:sz w:val="18"/>
        </w:rPr>
        <w:t>We may not be able to protect our intellectual property rights throughout the world.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spacing w:lineRule="auto" w:line="273" w:before="216" w:after="0"/>
        <w:jc w:val="left"/>
        <w:rPr>
          <w:rFonts w:ascii="Times New Roman" w:hAnsi="Times New Roman"/>
          <w:sz w:val="20"/>
        </w:rPr>
      </w:pPr>
      <w:r>
        <w:rPr>
          <w:rFonts w:ascii="Times New Roman" w:hAnsi="Times New Roman"/>
          <w:b w:val="false"/>
          <w:sz w:val="18"/>
        </w:rPr>
        <w:t>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w:t>
      </w:r>
      <w:r>
        <w:rPr>
          <w:rFonts w:ascii="Times New Roman" w:hAnsi="Times New Roman"/>
          <w:sz w:val="20"/>
        </w:rPr>
        <w:t xml:space="preserve"> </w:t>
      </w:r>
      <w:r>
        <w:rPr>
          <w:rFonts w:ascii="Times New Roman" w:hAnsi="Times New Roman"/>
          <w:b w:val="false"/>
          <w:i/>
          <w:sz w:val="18"/>
        </w:rPr>
        <w:t>inter alia</w:t>
      </w:r>
      <w:r>
        <w:rPr>
          <w:rFonts w:ascii="Times New Roman" w:hAnsi="Times New Roman"/>
          <w:b w:val="false"/>
          <w:sz w:val="18"/>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spacing w:lineRule="auto" w:line="273" w:before="216" w:after="0"/>
        <w:jc w:val="left"/>
        <w:rPr>
          <w:rFonts w:ascii="Times New Roman" w:hAnsi="Times New Roman"/>
          <w:sz w:val="20"/>
        </w:rPr>
      </w:pPr>
      <w:r>
        <w:rPr>
          <w:rFonts w:ascii="Times New Roman" w:hAnsi="Times New Roman"/>
          <w:b w:val="false"/>
          <w:sz w:val="18"/>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spacing w:lineRule="auto" w:line="273" w:before="324" w:after="0"/>
        <w:jc w:val="left"/>
        <w:rPr>
          <w:rFonts w:ascii="Times New Roman" w:hAnsi="Times New Roman"/>
          <w:b/>
          <w:i/>
          <w:sz w:val="18"/>
        </w:rPr>
      </w:pPr>
      <w:r>
        <w:rPr>
          <w:rFonts w:ascii="Times New Roman" w:hAnsi="Times New Roman"/>
          <w:b/>
          <w:i/>
          <w:sz w:val="18"/>
        </w:rPr>
        <w:t>Intellectual property litigation could cause us to spend substantial resources and distract our personnel from their normal responsibilities.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spacing w:lineRule="auto" w:line="273" w:before="324" w:after="0"/>
        <w:jc w:val="left"/>
        <w:rPr>
          <w:rFonts w:ascii="Times New Roman" w:hAnsi="Times New Roman"/>
          <w:b/>
          <w:i/>
          <w:sz w:val="18"/>
        </w:rPr>
      </w:pPr>
      <w:r>
        <w:rPr>
          <w:rFonts w:ascii="Times New Roman" w:hAnsi="Times New Roman"/>
          <w:b/>
          <w:i/>
          <w:sz w:val="18"/>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spacing w:lineRule="auto" w:line="273" w:before="324" w:after="0"/>
        <w:jc w:val="left"/>
        <w:rPr>
          <w:rFonts w:ascii="Times New Roman" w:hAnsi="Times New Roman"/>
          <w:b/>
          <w:i/>
          <w:sz w:val="18"/>
        </w:rPr>
      </w:pPr>
      <w:r>
        <w:rPr>
          <w:rFonts w:ascii="Times New Roman" w:hAnsi="Times New Roman"/>
          <w:b/>
          <w:i/>
          <w:sz w:val="18"/>
        </w:rPr>
        <w:t>We may not be successful in obtaining or maintaining necessary rights to our product candidates through acquisitions and in-licenses.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spacing w:lineRule="auto" w:line="273" w:before="324" w:after="0"/>
        <w:jc w:val="left"/>
        <w:rPr>
          <w:rFonts w:ascii="Times New Roman" w:hAnsi="Times New Roman"/>
          <w:b/>
          <w:i/>
          <w:sz w:val="18"/>
        </w:rPr>
      </w:pPr>
      <w:r>
        <w:rPr>
          <w:rFonts w:ascii="Times New Roman" w:hAnsi="Times New Roman"/>
          <w:b/>
          <w:i/>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lineRule="auto" w:line="273" w:before="108" w:after="0"/>
        <w:jc w:val="left"/>
        <w:rPr>
          <w:rFonts w:ascii="Times New Roman" w:hAnsi="Times New Roman"/>
          <w:sz w:val="20"/>
        </w:rPr>
      </w:pPr>
      <w:r>
        <w:rPr>
          <w:rFonts w:ascii="Times New Roman" w:hAnsi="Times New Roman"/>
          <w:b w:val="false"/>
          <w:sz w:val="18"/>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spacing w:lineRule="auto" w:line="273" w:before="324" w:after="0"/>
        <w:jc w:val="left"/>
        <w:rPr>
          <w:rFonts w:ascii="Times New Roman" w:hAnsi="Times New Roman"/>
          <w:b/>
          <w:i/>
          <w:sz w:val="18"/>
        </w:rPr>
      </w:pPr>
      <w:r>
        <w:rPr>
          <w:rFonts w:ascii="Times New Roman" w:hAnsi="Times New Roman"/>
          <w:b/>
          <w:i/>
          <w:sz w:val="18"/>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spacing w:lineRule="auto" w:line="273" w:before="324" w:after="0"/>
        <w:jc w:val="left"/>
        <w:rPr>
          <w:rFonts w:ascii="Times New Roman" w:hAnsi="Times New Roman"/>
          <w:b/>
          <w:i/>
          <w:sz w:val="18"/>
        </w:rPr>
      </w:pPr>
      <w:r>
        <w:rPr>
          <w:rFonts w:ascii="Times New Roman" w:hAnsi="Times New Roman"/>
          <w:b/>
          <w:i/>
          <w:sz w:val="18"/>
        </w:rPr>
        <w:t>If our trademarks and trade names are not adequately protected, then we may not be able to build name recognition in our markets of interest and our business may be adversely affected.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spacing w:lineRule="auto" w:line="273" w:before="210" w:after="0"/>
        <w:jc w:val="left"/>
        <w:rPr>
          <w:rFonts w:ascii="Times New Roman" w:hAnsi="Times New Roman"/>
          <w:b/>
          <w:sz w:val="18"/>
        </w:rPr>
      </w:pPr>
      <w:r>
        <w:rPr>
          <w:rFonts w:ascii="Times New Roman" w:hAnsi="Times New Roman"/>
          <w:b/>
          <w:sz w:val="18"/>
        </w:rPr>
        <w:t>Risks related to our common stock</w:t>
      </w:r>
    </w:p>
    <w:p>
      <w:pPr>
        <w:pStyle w:val="TextBody"/>
        <w:spacing w:lineRule="auto" w:line="273" w:before="108" w:after="0"/>
        <w:jc w:val="left"/>
        <w:rPr>
          <w:rFonts w:ascii="Times New Roman" w:hAnsi="Times New Roman"/>
          <w:b/>
          <w:i/>
          <w:sz w:val="18"/>
        </w:rPr>
      </w:pPr>
      <w:r>
        <w:rPr>
          <w:rFonts w:ascii="Times New Roman" w:hAnsi="Times New Roman"/>
          <w:b/>
          <w:i/>
          <w:sz w:val="18"/>
        </w:rPr>
        <w:t>Our operating results may fluctuate significantly or may fall below the expectations of investors or securities analysts, each of which may cause our stock price to fluctuate or decline.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expect our operating results to be subject to annual and quarterly fluctuations. Our net loss and other operating results will be affected by numerous factors, including:</w:t>
      </w:r>
    </w:p>
    <w:p>
      <w:pPr>
        <w:pStyle w:val="TextBody"/>
        <w:spacing w:lineRule="auto" w:line="273" w:before="0" w:after="0"/>
        <w:jc w:val="left"/>
        <w:rPr/>
      </w:pPr>
      <w:r>
        <w:rPr/>
        <w:t> </w:t>
      </w:r>
    </w:p>
    <w:p>
      <w:pPr>
        <w:pStyle w:val="TextBody"/>
        <w:spacing w:lineRule="auto" w:line="273" w:before="0" w:after="0"/>
        <w:jc w:val="left"/>
        <w:rPr/>
      </w:pPr>
      <w:r>
        <w:rPr/>
        <w:t>•</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variations in the level of expense related to the ongoing development of our product candidates or future development programs;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results of preclinical studies and clinical trials, or the addition or termination of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success of our existing collaborations and any potential additional collaborations, licensing or similar arrangements;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any intellectual property infringement lawsuit or opposition, interference or cancellation proceeding in which we may become involved;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additions and departures of key personnel;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strategic decisions by us or our competitors, such as acquisitions, divestitures, spin-offs, joint ventures, strategic investments or changes in business strategy;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if any of our product candidates receives regulatory approval, the terms of such approval and market acceptance and demand for such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regulatory developments affecting our product candidates or those of our competitors;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changes in general market and economic conditions.</w:t>
      </w:r>
    </w:p>
    <w:p>
      <w:pPr>
        <w:pStyle w:val="TextBody"/>
        <w:spacing w:lineRule="auto" w:line="273" w:before="204" w:after="0"/>
        <w:jc w:val="left"/>
        <w:rPr>
          <w:rFonts w:ascii="Times New Roman" w:hAnsi="Times New Roman"/>
          <w:b w:val="false"/>
          <w:sz w:val="18"/>
        </w:rPr>
      </w:pPr>
      <w:r>
        <w:rPr>
          <w:rFonts w:ascii="Times New Roman" w:hAnsi="Times New Roman"/>
          <w:b w:val="false"/>
          <w:sz w:val="18"/>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Our stock price may be volatile, and you could lose all or part of your investment.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timing and results of our clinical trials or those of our competitors;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regulatory or legal developments in the United States and other countries, especially changes in laws or regulations applicable to our products;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success of competitive products or technologies;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introductions and announcements of new products by us, our current or future collaborators or our competitors, and the timing of these introductions or announcements;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announcements of new collaboration agreements, or the restructuring or termination of current collaboration agreements;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actions taken by regulatory agencies with respect to our products, preclinical studies, clinical trials, manufacturing process or sales and marketing terms;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actual or anticipated variations in our financial results or those of companies that are perceived to be similar to us;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success of our efforts to acquire or in-license additional technologies, products or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developments concerning any future collaborations, including those regarding manufacturing, supply and commercialization of our products;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market conditions in the pharmaceutical and biotechnology sectors;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announcements by us or our competitors of significant acquisitions, strategic collaborations, joint ventures or capital commitments;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developments or disputes concerning patents or other proprietary rights, including patents, litigation matters and our ability to obtain patent protection for our products;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ability or inability to raise additional capital and the terms on which we raise it;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recruitment or departure of key personnel;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changes in the structure of healthcare payment systems;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actual or anticipated changes in earnings estimates or changes in stock market analyst recommendations regarding our common stock, other comparable companies or our industry generally;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failure or the failure of our competitors to meet analysts’ projections or guidance that we or our competitors may give to the market;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fluctuations in the valuation of companies perceived by investors to be comparable to us;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announcement and expectation of additional financing efforts;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speculation in the press or investment community;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trading volume of our common stock;</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sales of our common stock by us, our insiders or our other stockholders;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expiration of market stand-off or lock-up agreements;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concentrated ownership of our common stock;</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 xml:space="preserve">changes in accounting principles;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 xml:space="preserve">terrorist acts, acts of war or periods of widespread civil unrest;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 xml:space="preserve">the impact of any natural disasters or public health emergencies, such as the COVID-19 pandemic;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 xml:space="preserve">general economic, industry and market conditions.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spacing w:lineRule="auto" w:line="273" w:before="324" w:after="0"/>
        <w:jc w:val="left"/>
        <w:rPr>
          <w:rFonts w:ascii="Times New Roman" w:hAnsi="Times New Roman"/>
          <w:b/>
          <w:i/>
          <w:sz w:val="18"/>
        </w:rPr>
      </w:pPr>
      <w:r>
        <w:rPr>
          <w:rFonts w:ascii="Times New Roman" w:hAnsi="Times New Roman"/>
          <w:b/>
          <w:i/>
          <w:sz w:val="18"/>
        </w:rPr>
        <w:t>The future issuance of equity or of debt securities that are convertible into equity will dilute our share capital.</w:t>
      </w:r>
    </w:p>
    <w:p>
      <w:pPr>
        <w:pStyle w:val="TextBody"/>
        <w:spacing w:lineRule="auto" w:line="273" w:before="108" w:after="0"/>
        <w:jc w:val="left"/>
        <w:rPr>
          <w:rFonts w:ascii="Times New Roman" w:hAnsi="Times New Roman"/>
          <w:sz w:val="20"/>
        </w:rPr>
      </w:pPr>
      <w:r>
        <w:rPr>
          <w:rFonts w:ascii="Times New Roman" w:hAnsi="Times New Roman"/>
          <w:b w:val="false"/>
          <w:sz w:val="18"/>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spacing w:lineRule="auto" w:line="273" w:before="324" w:after="0"/>
        <w:jc w:val="left"/>
        <w:rPr>
          <w:rFonts w:ascii="Times New Roman" w:hAnsi="Times New Roman"/>
          <w:b/>
          <w:i/>
          <w:sz w:val="18"/>
        </w:rPr>
      </w:pPr>
      <w:r>
        <w:rPr>
          <w:rFonts w:ascii="Times New Roman" w:hAnsi="Times New Roman"/>
          <w:b/>
          <w:i/>
          <w:sz w:val="18"/>
        </w:rPr>
        <w:t>The dual class structure of our common stock and the option of the holder of shares of our Class B common stock to convert into shares of our common stock may limit your ability to influence corporate matters.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non-voting, stockholders who own more than 10% of our Class B common stock and common stock overall but 10% or less of our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pStyle w:val="TextBody"/>
        <w:spacing w:lineRule="auto" w:line="273" w:before="324" w:after="0"/>
        <w:jc w:val="left"/>
        <w:rPr>
          <w:rFonts w:ascii="Times New Roman" w:hAnsi="Times New Roman"/>
          <w:b/>
          <w:i/>
          <w:sz w:val="18"/>
        </w:rPr>
      </w:pPr>
      <w:r>
        <w:rPr>
          <w:rFonts w:ascii="Times New Roman" w:hAnsi="Times New Roman"/>
          <w:b/>
          <w:i/>
          <w:sz w:val="18"/>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spacing w:lineRule="auto" w:line="273" w:before="324" w:after="0"/>
        <w:jc w:val="left"/>
        <w:rPr>
          <w:rFonts w:ascii="Times New Roman" w:hAnsi="Times New Roman"/>
          <w:b/>
          <w:i/>
          <w:sz w:val="18"/>
        </w:rPr>
      </w:pPr>
      <w:r>
        <w:rPr>
          <w:rFonts w:ascii="Times New Roman" w:hAnsi="Times New Roman"/>
          <w:b/>
          <w:i/>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spacing w:lineRule="auto" w:line="273" w:before="108" w:after="0"/>
        <w:jc w:val="left"/>
        <w:rPr>
          <w:rFonts w:ascii="Times New Roman" w:hAnsi="Times New Roman"/>
          <w:sz w:val="20"/>
        </w:rPr>
      </w:pPr>
      <w:r>
        <w:rPr>
          <w:rFonts w:ascii="Times New Roman" w:hAnsi="Times New Roman"/>
          <w:b w:val="false"/>
          <w:sz w:val="18"/>
        </w:rPr>
        <w:t>As of December 31, 2021, executive officers and directors, together with holders of 5% or more of our outstanding common stock and their respective affiliates, beneficially own approximately 29.4% of our outstanding common stock. More specifically, Jay M. Short, Ph.D, our Chairman and Chief Executive Officer, together with his spouse, Carolyn Anderson Short, our former Chief of Intellectual Property and Strategy and Assistant Secretary, owned 6.9%, of our outstanding common stock, as of December 31, 2021.</w:t>
      </w:r>
      <w:r>
        <w:rPr>
          <w:rFonts w:ascii="Times New Roman" w:hAnsi="Times New Roman"/>
          <w:sz w:val="20"/>
        </w:rPr>
        <w:t xml:space="preserve">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br/>
        <w:t>In addition, we have entered into certain related party transactions with Himalaya Therapeutics SEZC, Inversagen, LLC and BioAtla Holdings, LLC, including various licensing arrangements with respect to certain CAB antibodies. Dr. Short and his wife, Carolyn Anderson Short, are each a manager of Inversagen, LLC and BioAtla Holdings, LLC and a director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pStyle w:val="TextBody"/>
        <w:spacing w:lineRule="auto" w:line="273" w:before="324" w:after="0"/>
        <w:jc w:val="left"/>
        <w:rPr>
          <w:rFonts w:ascii="Times New Roman" w:hAnsi="Times New Roman"/>
          <w:b/>
          <w:i/>
          <w:sz w:val="18"/>
        </w:rPr>
      </w:pPr>
      <w:r>
        <w:rPr>
          <w:rFonts w:ascii="Times New Roman" w:hAnsi="Times New Roman"/>
          <w:b/>
          <w:i/>
          <w:sz w:val="18"/>
        </w:rPr>
        <w:t>Sales of a substantial number of shares of our common stock in the public market could cause our stock price to fall.</w:t>
      </w:r>
    </w:p>
    <w:p>
      <w:pPr>
        <w:pStyle w:val="TextBody"/>
        <w:spacing w:lineRule="auto" w:line="273" w:before="108" w:after="0"/>
        <w:jc w:val="left"/>
        <w:rPr>
          <w:rFonts w:ascii="Times New Roman" w:hAnsi="Times New Roman"/>
          <w:sz w:val="20"/>
        </w:rPr>
      </w:pPr>
      <w:r>
        <w:rPr>
          <w:rFonts w:ascii="Times New Roman" w:hAnsi="Times New Roman"/>
          <w:b w:val="false"/>
          <w:sz w:val="18"/>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br/>
      </w:r>
      <w:r>
        <w:rPr>
          <w:rFonts w:ascii="Times New Roman" w:hAnsi="Times New Roman"/>
          <w:sz w:val="20"/>
        </w:rPr>
        <w:t>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b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pStyle w:val="TextBody"/>
        <w:spacing w:lineRule="auto" w:line="273" w:before="324" w:after="0"/>
        <w:jc w:val="left"/>
        <w:rPr>
          <w:rFonts w:ascii="Times New Roman" w:hAnsi="Times New Roman"/>
          <w:b/>
          <w:i/>
          <w:sz w:val="18"/>
        </w:rPr>
      </w:pPr>
      <w:r>
        <w:rPr>
          <w:rFonts w:ascii="Times New Roman" w:hAnsi="Times New Roman"/>
          <w:b/>
          <w:i/>
          <w:sz w:val="18"/>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 prohibition on actions by our stockholders by written consent;</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advance notice requirements for election to our board of directors and for proposing matters that can be acted upon at stockholder meetings;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 requirement that directors may only be removed “for cause” and only with 66 2/3% voting stock of our stockholders;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 requirement that only the board of directors may change the number of directors and fill vacancies on the board;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division of our board of directors into three classes, serving staggered terms of three years each;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the authority of the board of directors to issue preferred stock with such terms as the board of directors may determine.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spacing w:lineRule="auto" w:line="273" w:before="324" w:after="0"/>
        <w:jc w:val="left"/>
        <w:rPr>
          <w:rFonts w:ascii="Times New Roman" w:hAnsi="Times New Roman"/>
          <w:b/>
          <w:i/>
          <w:sz w:val="18"/>
        </w:rPr>
      </w:pPr>
      <w:r>
        <w:rPr>
          <w:rFonts w:ascii="Times New Roman" w:hAnsi="Times New Roman"/>
          <w:b/>
          <w:i/>
          <w:sz w:val="18"/>
        </w:rPr>
        <w:t>The Company’s ability to attract and retain qualified members of our board of directors may be impacted due to new state laws, including recently enacted gender quotas.</w:t>
      </w:r>
    </w:p>
    <w:p>
      <w:pPr>
        <w:pStyle w:val="TextBody"/>
        <w:spacing w:lineRule="auto" w:line="273" w:before="108" w:after="0"/>
        <w:jc w:val="left"/>
        <w:rPr>
          <w:rFonts w:ascii="Times New Roman" w:hAnsi="Times New Roman"/>
          <w:sz w:val="20"/>
        </w:rPr>
      </w:pPr>
      <w:r>
        <w:rPr>
          <w:rFonts w:ascii="Times New Roman" w:hAnsi="Times New Roman"/>
          <w:b w:val="false"/>
          <w:sz w:val="18"/>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In addition to that initial 2021 requirement, the law mandates that the number of directors from underrepresented communities be increased by the end of calendar year 2022, depending on the size of the board.</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In addition, the SEC recently approved new listing rules from Nasdaq related to board diversity and disclosure, which require all companies listed on Nasdaq's U.S. exchanges to publicly disclose consistent, transparent diversity statistics regarding their board of directors. Additionally, the rules would require most Nasdaq-listed companies to have, or explain why they do not have, at least two diverse directors, including one who self-identifies as female and one who self-identifies as either an underrepresented minority or LGBTQ+.</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79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sz w:val="20"/>
        </w:rPr>
      </w:pPr>
      <w:r>
        <w:rPr>
          <w:rFonts w:ascii="Times New Roman" w:hAnsi="Times New Roman"/>
          <w:b w:val="false"/>
          <w:sz w:val="18"/>
        </w:rPr>
        <w:t>penalties and/or reputational harm.</w:t>
        <w:br/>
      </w:r>
      <w:r>
        <w:rPr>
          <w:rFonts w:ascii="Times New Roman" w:hAnsi="Times New Roman"/>
          <w:sz w:val="20"/>
        </w:rPr>
        <w:t> </w:t>
      </w:r>
    </w:p>
    <w:p>
      <w:pPr>
        <w:pStyle w:val="TextBody"/>
        <w:spacing w:lineRule="auto" w:line="273" w:before="324" w:after="0"/>
        <w:jc w:val="left"/>
        <w:rPr>
          <w:rFonts w:ascii="Times New Roman" w:hAnsi="Times New Roman"/>
          <w:b/>
          <w:i/>
          <w:sz w:val="18"/>
        </w:rPr>
      </w:pPr>
      <w:r>
        <w:rPr>
          <w:rFonts w:ascii="Times New Roman" w:hAnsi="Times New Roman"/>
          <w:b/>
          <w:i/>
          <w:sz w:val="18"/>
        </w:rPr>
        <w:t>We will incur increased costs as a result of operating as a public company, and our management will be required to devote substantial time to new compliance initiatives and corporate governance practices. Additionally, if we fail to maintain proper and effective internal controls, our ability to produce accurate financial statements on a timely basis could be impaired.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a public company, and particularly after we are no longer an emerging growth company or a smaller reporting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as a public company, we will be required to incur additional costs and obligations in order to comply with SEC rules that implement Section 404 of the Sarbanes-Oxley Act. Under these rules, we are required to make a formal assessment of the effectiveness of our internal control over financial reporting, and we are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In the future, we may need to increase the number of employees dedicated to finance and reporting, or engage outside consultants to meet requirements, which will increase our operating expenses.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pStyle w:val="TextBody"/>
        <w:spacing w:lineRule="auto" w:line="273" w:before="324" w:after="0"/>
        <w:jc w:val="left"/>
        <w:rPr>
          <w:rFonts w:ascii="Times New Roman" w:hAnsi="Times New Roman"/>
          <w:b/>
          <w:i/>
          <w:sz w:val="18"/>
        </w:rPr>
      </w:pPr>
      <w:r>
        <w:rPr>
          <w:rFonts w:ascii="Times New Roman" w:hAnsi="Times New Roman"/>
          <w:b/>
          <w:i/>
          <w:sz w:val="18"/>
        </w:rPr>
        <w:t>Our disclosure controls and procedures may not prevent or detect all errors or acts of fraud.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lineRule="auto" w:line="273" w:before="324" w:after="0"/>
        <w:jc w:val="left"/>
        <w:rPr>
          <w:rFonts w:ascii="Times New Roman" w:hAnsi="Times New Roman"/>
          <w:b/>
          <w:i/>
          <w:sz w:val="18"/>
        </w:rPr>
      </w:pPr>
      <w:r>
        <w:rPr>
          <w:rFonts w:ascii="Times New Roman" w:hAnsi="Times New Roman"/>
          <w:b/>
          <w:i/>
          <w:sz w:val="18"/>
        </w:rPr>
        <w:t>Because we do not anticipate paying any cash dividends on our capital stock in the foreseeable future, your ability to achieve a return on your investment will depend on appreciation of the value of our common stock.</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We may be subject to securities litigation, which is expensive and could divert our management’s attention.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spacing w:lineRule="auto" w:line="273" w:before="324" w:after="0"/>
        <w:jc w:val="left"/>
        <w:rPr>
          <w:rFonts w:ascii="Times New Roman" w:hAnsi="Times New Roman"/>
          <w:b/>
          <w:i/>
          <w:sz w:val="18"/>
        </w:rPr>
      </w:pPr>
      <w:r>
        <w:rPr>
          <w:rFonts w:ascii="Times New Roman" w:hAnsi="Times New Roman"/>
          <w:b/>
          <w:i/>
          <w:sz w:val="18"/>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6" w:name="item_1b_unresolved_staff_comments"/>
      <w:bookmarkEnd w:id="6"/>
      <w:r>
        <w:rPr>
          <w:rFonts w:ascii="Times New Roman" w:hAnsi="Times New Roman"/>
          <w:b/>
          <w:sz w:val="18"/>
        </w:rPr>
        <w:t>ITEM 1B. Unresolved Staff Comments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Not applicable.</w:t>
      </w:r>
    </w:p>
    <w:p>
      <w:pPr>
        <w:pStyle w:val="TextBody"/>
        <w:spacing w:lineRule="atLeast" w:line="210" w:before="0" w:after="0"/>
        <w:jc w:val="left"/>
        <w:rPr/>
      </w:pPr>
      <w:r>
        <w:rPr/>
        <w:t> </w:t>
      </w:r>
    </w:p>
    <w:p>
      <w:pPr>
        <w:pStyle w:val="TextBody"/>
        <w:spacing w:lineRule="auto" w:line="273" w:before="0" w:after="0"/>
        <w:jc w:val="left"/>
        <w:rPr>
          <w:rFonts w:ascii="Times New Roman" w:hAnsi="Times New Roman"/>
          <w:b/>
          <w:sz w:val="18"/>
        </w:rPr>
      </w:pPr>
      <w:bookmarkStart w:id="7" w:name="item_2_properties"/>
      <w:bookmarkEnd w:id="7"/>
      <w:r>
        <w:rPr>
          <w:rFonts w:ascii="Times New Roman" w:hAnsi="Times New Roman"/>
          <w:b/>
          <w:sz w:val="18"/>
        </w:rPr>
        <w:t>ITEM 2. Properties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headquarters are located at 11085 Torreyana Road, San Diego, California 92121, where we lease approximately 43,377 square feet of office and laboratory space under a lease that terminates on February 28, 2025. We believe that our existing facilities are adequate to meet our current needs, and that suitable additional alternative spaces will be available in the future on commercially reasonable terms.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8" w:name="item_3_legal_proceedings"/>
      <w:bookmarkEnd w:id="8"/>
      <w:r>
        <w:rPr>
          <w:rFonts w:ascii="Times New Roman" w:hAnsi="Times New Roman"/>
          <w:b/>
          <w:sz w:val="18"/>
        </w:rPr>
        <w:t>ITEM 3. Legal Proceedings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9" w:name="item_4_mine_safety_disclosures"/>
      <w:bookmarkEnd w:id="9"/>
      <w:r>
        <w:rPr>
          <w:rFonts w:ascii="Times New Roman" w:hAnsi="Times New Roman"/>
          <w:b/>
          <w:sz w:val="18"/>
        </w:rPr>
        <w:t>ITEM 4. Mine Safety Disclosures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Not applicable.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0" w:after="0"/>
        <w:jc w:val="center"/>
        <w:rPr>
          <w:rFonts w:ascii="Times New Roman" w:hAnsi="Times New Roman"/>
          <w:b/>
          <w:sz w:val="18"/>
        </w:rPr>
      </w:pPr>
      <w:bookmarkStart w:id="10" w:name="part_ii"/>
      <w:bookmarkEnd w:id="10"/>
      <w:r>
        <w:rPr>
          <w:rFonts w:ascii="Times New Roman" w:hAnsi="Times New Roman"/>
          <w:b/>
          <w:sz w:val="18"/>
        </w:rPr>
        <w:t>PART II</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11" w:name="item_5_market_for_registrant"/>
      <w:bookmarkEnd w:id="11"/>
      <w:r>
        <w:rPr>
          <w:rFonts w:ascii="Times New Roman" w:hAnsi="Times New Roman"/>
          <w:b/>
          <w:sz w:val="18"/>
        </w:rPr>
        <w:t>ITEM 5. Market for Registrant’s Common Equity, Related Stockholder Matters and Issuer Purchases of Equity Securities</w:t>
      </w:r>
    </w:p>
    <w:p>
      <w:pPr>
        <w:pStyle w:val="TextBody"/>
        <w:spacing w:lineRule="auto" w:line="273" w:before="108" w:after="0"/>
        <w:jc w:val="left"/>
        <w:rPr>
          <w:rFonts w:ascii="Times New Roman" w:hAnsi="Times New Roman"/>
          <w:b/>
          <w:sz w:val="18"/>
        </w:rPr>
      </w:pPr>
      <w:r>
        <w:rPr>
          <w:rFonts w:ascii="Times New Roman" w:hAnsi="Times New Roman"/>
          <w:b/>
          <w:sz w:val="18"/>
        </w:rPr>
        <w:t>Market Information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Shares of our common stock began trading on the Nasdaq Global Market on December 16, 2020 under the symbol “BCAB.” Prior to that time, there was no public market for shares of our common stock.</w:t>
      </w:r>
    </w:p>
    <w:p>
      <w:pPr>
        <w:pStyle w:val="TextBody"/>
        <w:spacing w:lineRule="auto" w:line="273" w:before="324" w:after="0"/>
        <w:jc w:val="left"/>
        <w:rPr>
          <w:rFonts w:ascii="Times New Roman" w:hAnsi="Times New Roman"/>
          <w:b/>
          <w:sz w:val="18"/>
        </w:rPr>
      </w:pPr>
      <w:r>
        <w:rPr>
          <w:rFonts w:ascii="Times New Roman" w:hAnsi="Times New Roman"/>
          <w:b/>
          <w:sz w:val="18"/>
        </w:rPr>
        <w:t>Holders of Record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of February 25, 2022, there were 16 stockholders of record of our common stock and 2 stockholders of record of our Class B common stock. These numbers were derived from our stockholder records and do not include beneficial owners of our common stock whose shares are held in “street” name with various dealers, clearing agencies, banks, brokers and other fiduciaries.</w:t>
      </w:r>
    </w:p>
    <w:p>
      <w:pPr>
        <w:pStyle w:val="TextBody"/>
        <w:spacing w:lineRule="auto" w:line="273" w:before="324" w:after="0"/>
        <w:jc w:val="left"/>
        <w:rPr>
          <w:rFonts w:ascii="Times New Roman" w:hAnsi="Times New Roman"/>
          <w:b/>
          <w:sz w:val="18"/>
        </w:rPr>
      </w:pPr>
      <w:r>
        <w:rPr>
          <w:rFonts w:ascii="Times New Roman" w:hAnsi="Times New Roman"/>
          <w:b/>
          <w:sz w:val="18"/>
        </w:rPr>
        <w:t>Dividends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pStyle w:val="TextBody"/>
        <w:spacing w:lineRule="auto" w:line="273" w:before="324" w:after="0"/>
        <w:jc w:val="left"/>
        <w:rPr>
          <w:rFonts w:ascii="Times New Roman" w:hAnsi="Times New Roman"/>
          <w:b/>
          <w:sz w:val="18"/>
        </w:rPr>
      </w:pPr>
      <w:r>
        <w:rPr>
          <w:rFonts w:ascii="Times New Roman" w:hAnsi="Times New Roman"/>
          <w:b/>
          <w:sz w:val="18"/>
        </w:rPr>
        <w:t>Securities Authorized for Issuance Under Equity Compensation Plans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Information about securities authorized for issuance under our equity compensation plans is incorporated herein by reference to Item 12 of Part III of this Annual Report on Form 10-K.</w:t>
      </w:r>
    </w:p>
    <w:p>
      <w:pPr>
        <w:pStyle w:val="TextBody"/>
        <w:spacing w:lineRule="auto" w:line="273" w:before="324" w:after="0"/>
        <w:jc w:val="left"/>
        <w:rPr>
          <w:rFonts w:ascii="Times New Roman" w:hAnsi="Times New Roman"/>
          <w:b/>
          <w:sz w:val="18"/>
        </w:rPr>
      </w:pPr>
      <w:r>
        <w:rPr>
          <w:rFonts w:ascii="Times New Roman" w:hAnsi="Times New Roman"/>
          <w:b/>
          <w:sz w:val="18"/>
        </w:rPr>
        <w:t>Stock Performance Graph</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graph set forth below compares the cumulative total stockholder return on our common stock for the period commencing on December 16, 2020, the date our common stock began trading on the Nasdaq, and ending on December 31, 2021, with the cumulative total return of the Nasdaq Composite Index and the Nasdaq Biotechnology Index over the same period. This graph assumes the investment of $100.00 on December 16, 2020 in each share of our common stock at the initial public offering price of $18.00, the Nasdaq Composite Index, and the Nasdaq Biotechnology Index, and assumes the reinvestment of dividends.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sources believed to be reliable including Nasdaq, Bloomberg and Reuters, but we are not responsible for any errors or omissions in such information.</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Notwithstanding anything to the contrary set forth in any of our previous or future filings under the Securities Act of 1933, as amended, or the Securities Exchange Act of 1934, as amended, that might incorporate this Annual Report on Form 10</w:t>
        <w:noBreakHyphen/>
        <w:t>K or future filings made by us under those statutes, this Stock Performance Graph section is not “soliciting material,” shall not be deemed filed with the U.S. Securities and Exchange Commission and shall not be deemed incorporated by reference into any of those prior filings or into any future filings made by us under those statutes.</w:t>
      </w:r>
    </w:p>
    <w:p>
      <w:pPr>
        <w:pStyle w:val="TextBody"/>
        <w:spacing w:lineRule="auto" w:line="273" w:before="108" w:after="0"/>
        <w:jc w:val="center"/>
        <w:rPr/>
      </w:pPr>
      <w:r>
        <w:rPr/>
        <w:drawing>
          <wp:inline distT="0" distB="0" distL="0" distR="0">
            <wp:extent cx="4724400" cy="3924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724400" cy="3924300"/>
                    </a:xfrm>
                    <a:prstGeom prst="rect">
                      <a:avLst/>
                    </a:prstGeom>
                  </pic:spPr>
                </pic:pic>
              </a:graphicData>
            </a:graphic>
          </wp:inline>
        </w:drawing>
      </w:r>
      <w:r>
        <w:rPr/>
        <w:t> </w:t>
      </w:r>
    </w:p>
    <w:p>
      <w:pPr>
        <w:pStyle w:val="TextBody"/>
        <w:spacing w:lineRule="auto" w:line="273" w:before="324" w:after="0"/>
        <w:jc w:val="left"/>
        <w:rPr>
          <w:rFonts w:ascii="Times New Roman" w:hAnsi="Times New Roman"/>
          <w:b/>
          <w:sz w:val="18"/>
        </w:rPr>
      </w:pPr>
      <w:r>
        <w:rPr>
          <w:rFonts w:ascii="Times New Roman" w:hAnsi="Times New Roman"/>
          <w:b/>
          <w:sz w:val="18"/>
        </w:rPr>
        <w:t>Recent Sales of Unregistered Securities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None.</w:t>
      </w:r>
    </w:p>
    <w:p>
      <w:pPr>
        <w:pStyle w:val="TextBody"/>
        <w:spacing w:lineRule="auto" w:line="273" w:before="324" w:after="0"/>
        <w:jc w:val="left"/>
        <w:rPr>
          <w:rFonts w:ascii="Times New Roman" w:hAnsi="Times New Roman"/>
          <w:b/>
          <w:sz w:val="18"/>
        </w:rPr>
      </w:pPr>
      <w:r>
        <w:rPr>
          <w:rFonts w:ascii="Times New Roman" w:hAnsi="Times New Roman"/>
          <w:b/>
          <w:sz w:val="18"/>
        </w:rPr>
        <w:t>Use of Proceeds from Registered Securities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On December 15, 2020, the SEC declared effective our registration statement on Form S-1 (File No. 333-250093), as amended, filed in connection with our Initial Public Offering (or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 J.P. Morgan, Jefferies and Credit Suisse acted as joint book-running managers for the offering. BTIG acted as co-manager for the offering. No offering expenses were paid or are payable, directly or indirectly, to our directors or officers, to persons owning 10% or more of any class of our equity securities or to any of our affiliates.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As of December 31, 2021, we have used approximately $24.3 million of the proceeds from our IPO. There has been no material change in the planned use of such proceeds from that described in the final prospectus filed by us with the SEC on December 17, 2020.</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12" w:name="item_6_selected_financial_data"/>
      <w:bookmarkEnd w:id="12"/>
      <w:r>
        <w:rPr>
          <w:rFonts w:ascii="Times New Roman" w:hAnsi="Times New Roman"/>
          <w:b/>
          <w:sz w:val="18"/>
        </w:rPr>
        <w:t>ITEM 6. Selected</w:t>
      </w:r>
      <w:r>
        <w:rPr>
          <w:rFonts w:ascii="Times New Roman" w:hAnsi="Times New Roman"/>
          <w:sz w:val="20"/>
        </w:rPr>
        <w:t xml:space="preserve"> </w:t>
      </w:r>
      <w:r>
        <w:rPr>
          <w:rFonts w:ascii="Times New Roman" w:hAnsi="Times New Roman"/>
          <w:b/>
          <w:sz w:val="18"/>
        </w:rPr>
        <w:t>Financial Data</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Not applicable.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left"/>
        <w:rPr>
          <w:rFonts w:ascii="Times New Roman" w:hAnsi="Times New Roman"/>
          <w:b/>
          <w:sz w:val="18"/>
        </w:rPr>
      </w:pPr>
      <w:bookmarkStart w:id="13" w:name="item_7_management_discussion"/>
      <w:bookmarkEnd w:id="13"/>
      <w:r>
        <w:rPr>
          <w:rFonts w:ascii="Times New Roman" w:hAnsi="Times New Roman"/>
          <w:b/>
          <w:sz w:val="18"/>
        </w:rPr>
        <w:t>ITEM 7. Management’s Discussion and Analysis of Financial Condition and Results of Operations</w:t>
      </w:r>
    </w:p>
    <w:p>
      <w:pPr>
        <w:pStyle w:val="TextBody"/>
        <w:spacing w:lineRule="auto" w:line="273" w:before="108" w:after="0"/>
        <w:jc w:val="left"/>
        <w:rPr>
          <w:rFonts w:ascii="Times New Roman" w:hAnsi="Times New Roman"/>
          <w:b w:val="false"/>
          <w:i/>
          <w:sz w:val="18"/>
        </w:rPr>
      </w:pPr>
      <w:r>
        <w:rPr>
          <w:rFonts w:ascii="Times New Roman" w:hAnsi="Times New Roman"/>
          <w:b w:val="false"/>
          <w:i/>
          <w:sz w:val="18"/>
        </w:rPr>
        <w:t>You should read the following discussion and analysis together with our consolidated financial statements and related notes included in “Item 8. Financial Statements and Supplementary Data” in this Annual Report on Form 10-K. The following discussion contains forward-looking statements that involve risks and uncertainties. For a complete discussion of forward-looking statements, see the section above entitled “Forward Looking Statements.” Our actual results could differ materially from those expressed or implied in any forward-looking statements as a result of various factors, including those set forth under the caption “Item 1A. Risk Factors.” The discussion of our financial condition and results of operations for the year ended December 31, 2019, included in Item 7. Management’s Discussion and Analysis of Financial Condition and Results of Operations (“MD&amp;A”) can be found in our Annual Report on Form 10-K for the year ended December 31, 2020 filed with the SEC on March 24, 2021.</w:t>
      </w:r>
    </w:p>
    <w:p>
      <w:pPr>
        <w:pStyle w:val="TextBody"/>
        <w:spacing w:lineRule="auto" w:line="273" w:before="324" w:after="0"/>
        <w:jc w:val="left"/>
        <w:rPr>
          <w:rFonts w:ascii="Times New Roman" w:hAnsi="Times New Roman"/>
          <w:b/>
          <w:sz w:val="18"/>
        </w:rPr>
      </w:pPr>
      <w:r>
        <w:rPr>
          <w:rFonts w:ascii="Times New Roman" w:hAnsi="Times New Roman"/>
          <w:b/>
          <w:sz w:val="18"/>
        </w:rPr>
        <w:t>Overview</w:t>
      </w:r>
    </w:p>
    <w:p>
      <w:pPr>
        <w:pStyle w:val="TextBody"/>
        <w:spacing w:lineRule="auto" w:line="273" w:before="108" w:after="0"/>
        <w:jc w:val="left"/>
        <w:rPr>
          <w:rFonts w:ascii="Times New Roman" w:hAnsi="Times New Roman"/>
          <w:sz w:val="20"/>
        </w:rPr>
      </w:pPr>
      <w:r>
        <w:rPr>
          <w:rFonts w:ascii="Times New Roman" w:hAnsi="Times New Roman"/>
          <w:b w:val="false"/>
          <w:sz w:val="18"/>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br/>
      </w:r>
      <w:r>
        <w:rPr>
          <w:rFonts w:ascii="Times New Roman" w:hAnsi="Times New Roman"/>
          <w:sz w:val="20"/>
        </w:rPr>
        <w:t>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$95.4 million, $35.9 million, and $29.8 million for the years ended December 31, 2021, 2020, and 2019, respectively. As of December 31, 2021, we had an accumulated deficit of $186.3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expect our expenses and capital requirements will increase substantially in connection with our ongoing activities as we: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advance the clinical development of mecbotamab vedotin;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advance the clinical development of ozuriftamab vedotin;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advance the clinical development of BA3071;</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expand our pipeline of bispecific and other CAB antibody-based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continue to invest in our CAB technology platform;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maintain, protect and expand our intellectual property portfolio, including patents, trade secrets and know-how;</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seek marketing approvals for any product candidates that successfully complete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establish additional product collaborations and commercial manufacturing relationships with third parties;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build sales, marketing and distribution infrastructure and relationships with third parties to commercialize product candidates for which we may obtain marketing approval;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continue to expand our operational, financial and management information systems;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attract, hire and retain additional clinical, scientific, management, administrative and commercial personnel.</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Furthermore, we expect to continue to incur additional costs associated with operating as a public company.</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As of December 31, 2021, our cash and cash equivalents totaled approximately $245.0 million. Based on our current operating plan, our current cash and cash equivalents are expected to be sufficient to fund our ongoing operations into the first half of 2024. However, we have based this estimate on assumptions that may prove to be wrong, and we could utilize our available capital resources sooner than we currently expect.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BioAtla was formed in April 2007 as a Delaware limited liability corporation. We initially operated as a service provider and service-related partnered drug developer for primarily human therapeutic proteins and simultaneously refined our proprietary CAB technology platform and related technologies. Since 2013, we transitioned away from our services business to focus on internal development of our own proprietary products.</w:t>
      </w:r>
    </w:p>
    <w:p>
      <w:pPr>
        <w:pStyle w:val="TextBody"/>
        <w:spacing w:lineRule="auto" w:line="273" w:before="324" w:after="0"/>
        <w:jc w:val="left"/>
        <w:rPr>
          <w:rFonts w:ascii="Times New Roman" w:hAnsi="Times New Roman"/>
          <w:b/>
          <w:sz w:val="18"/>
        </w:rPr>
      </w:pPr>
      <w:r>
        <w:rPr>
          <w:rFonts w:ascii="Times New Roman" w:hAnsi="Times New Roman"/>
          <w:b/>
          <w:sz w:val="18"/>
        </w:rPr>
        <w:t>Impact of COVID-19 on our business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On March 11, 2020, the World Health Organization declared the outbreak of COVID-19 caused by a novel strain of coronavirus as a pandemic, which continues to spread throughout the United States and around the world. 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modest business disruptions, including with respect to clinical trials we are conducting, and non-material impairments as a result of the pandemic. Our Phase 2 sarcoma trial remains on schedule and the Phase 2 interim analysis for AXL NSCLC and ROR2 studies have experienced some modest delays in patient initiations due to COVID-19, however, overall timelines for study completion essentially have not changed at this time. We are following, and plan to continue to follow, recommendations from federal, state and local governments regarding workplace policies, practices and procedures. In March 2020, we implemented a remote working policy for many of our employees, began restricting non-essential travel and temporarily reduced salaries of our employees from March 2020 to July 2020. We are complying with all applicable guidelines for our clinical trials, including remote clinical monitoring. In April 2020, we borrowed $0.7 million under the Paycheck Protection Program under the CARES Act and we received full loan forgiveness from the U.S. Small Business Association in July 2021, resulting in the recognition of $0.7 million to other income for the twelve months ended December 31, 2021. The PPP loan is discussed further under “—Liquidity and capital resources.” We are continuing to monitor the potential impact of the pandemic, but we cannot be certain what the overall impact will be on our business, financial condition, results of operations and prospects.</w:t>
      </w:r>
    </w:p>
    <w:p>
      <w:pPr>
        <w:pStyle w:val="TextBody"/>
        <w:spacing w:lineRule="auto" w:line="273" w:before="324" w:after="0"/>
        <w:jc w:val="left"/>
        <w:rPr>
          <w:rFonts w:ascii="Times New Roman" w:hAnsi="Times New Roman"/>
          <w:b/>
          <w:sz w:val="18"/>
        </w:rPr>
      </w:pPr>
      <w:r>
        <w:rPr>
          <w:rFonts w:ascii="Times New Roman" w:hAnsi="Times New Roman"/>
          <w:b/>
          <w:sz w:val="18"/>
        </w:rPr>
        <w:t>Recent developments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On January 5, 2022, we and Bristol-Myers Squibb Company (“BMS”) entered into a clinical trial collaboration and supply agreement (the “BMS Agreement”). Under the terms of the BMS Agreement, BioAtla and BMS will collaborate on clinical trials of separate combination therapies using two of BioAtla’s Conditionally Active Biologic Antibody Drug Conjugates, mecbotamab vedotin and ozuriftamab vedotin, each in combination with Opdivo® (nivolumab), BMS’ proprietary anti-PD-1 monoclonal antibody product. We will serve as the study sponsor of the scheduled studies and will be responsible for costs associated with the trial execution. BMS will provide Opdivo® clinical drug supply at no cost for the combination study trials. After the completion of the combination therapy trials, we are obligated to provide BMS with a final report of the data resulting from the trial.</w:t>
      </w:r>
    </w:p>
    <w:p>
      <w:pPr>
        <w:pStyle w:val="TextBody"/>
        <w:spacing w:lineRule="auto" w:line="273" w:before="324" w:after="0"/>
        <w:jc w:val="left"/>
        <w:rPr>
          <w:rFonts w:ascii="Times New Roman" w:hAnsi="Times New Roman"/>
          <w:b/>
          <w:sz w:val="18"/>
        </w:rPr>
      </w:pPr>
      <w:r>
        <w:rPr>
          <w:rFonts w:ascii="Times New Roman" w:hAnsi="Times New Roman"/>
          <w:b/>
          <w:sz w:val="18"/>
        </w:rPr>
        <w:t>Financial operations overview</w:t>
      </w:r>
    </w:p>
    <w:p>
      <w:pPr>
        <w:pStyle w:val="TextBody"/>
        <w:spacing w:lineRule="auto" w:line="273" w:before="108" w:after="0"/>
        <w:jc w:val="left"/>
        <w:rPr>
          <w:rFonts w:ascii="Times New Roman" w:hAnsi="Times New Roman"/>
          <w:b/>
          <w:i/>
          <w:sz w:val="18"/>
        </w:rPr>
      </w:pPr>
      <w:r>
        <w:rPr>
          <w:rFonts w:ascii="Times New Roman" w:hAnsi="Times New Roman"/>
          <w:b/>
          <w:i/>
          <w:sz w:val="18"/>
        </w:rPr>
        <w:t>Revenue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To date, we have not generated any revenue from the sale of products and do not expect to generate meaningful revenue in the near future. In addition to the collaboration agreements discussed below, we may in the future seek third-party collaborators or joint venture partners for development and commercialization of additional CAB product candidates.</w:t>
      </w:r>
    </w:p>
    <w:p>
      <w:pPr>
        <w:pStyle w:val="TextBody"/>
        <w:spacing w:lineRule="auto" w:line="273" w:before="216" w:after="0"/>
        <w:jc w:val="left"/>
        <w:rPr>
          <w:rFonts w:ascii="Times New Roman" w:hAnsi="Times New Roman"/>
          <w:sz w:val="20"/>
        </w:rPr>
      </w:pPr>
      <w:r>
        <w:rPr>
          <w:rFonts w:ascii="Times New Roman" w:hAnsi="Times New Roman"/>
          <w:b w:val="false"/>
          <w:sz w:val="18"/>
        </w:rPr>
        <w:t>In April 2019, we entered into a Global Co-Development and Collaboration Agreement with BeiGene, Ltd. which was amended in December 2019, October 2020, and was terminated in November 2021. The original agreement provided for the development, manufacturing and commercialization of BA3071 in collaboration with BeiGene. After the November 2021 amendment, we are responsible for developing BA3071, including global regulatory filings and commercialization, and are responsible for all costs of development, manufacturing and commercialization globally. At the time of execution of the BeiGene collaboration, we received a $20.0 million upfront payment and in December 2019, we received an additional $5.0 million for the reimbursement of manufacturing costs. Pursuant to the terms of the November 2021 amendment, we agreed to</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pay single digit royalties to BeiGene and agreed to share on a limited basis in any upfront and milestone payments received through a sublicense of BA3071.</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During 2020, we recognized revenue primarily from our collaboration with BeiGene. During 2019, we recognized revenue from our collaboration with BeiGene and, to a much lesser degree, from our collaboration with Pfizer.</w:t>
      </w:r>
    </w:p>
    <w:p>
      <w:pPr>
        <w:pStyle w:val="TextBody"/>
        <w:spacing w:lineRule="auto" w:line="273" w:before="216" w:after="0"/>
        <w:jc w:val="left"/>
        <w:rPr>
          <w:rFonts w:ascii="Times New Roman" w:hAnsi="Times New Roman"/>
          <w:sz w:val="20"/>
        </w:rPr>
      </w:pPr>
      <w:r>
        <w:rPr>
          <w:rFonts w:ascii="Times New Roman" w:hAnsi="Times New Roman"/>
          <w:b w:val="false"/>
          <w:sz w:val="18"/>
        </w:rPr>
        <w:t>Prior to developing our own programs, the Company received revenue from services performed under fixed price service contracts that, in some cases, provided for potential milestone and royalty payments to us. During 2021, we recognized $0.3 million in revenues from our legacy service contracts.</w:t>
        <w:br/>
        <w:br/>
        <w:br/>
      </w:r>
      <w:r>
        <w:rPr>
          <w:rFonts w:ascii="Times New Roman" w:hAnsi="Times New Roman"/>
          <w:b/>
          <w:i/>
          <w:sz w:val="18"/>
        </w:rPr>
        <w:t>Operating expenses</w:t>
      </w:r>
    </w:p>
    <w:p>
      <w:pPr>
        <w:pStyle w:val="TextBody"/>
        <w:spacing w:lineRule="auto" w:line="273" w:before="108" w:after="0"/>
        <w:jc w:val="left"/>
        <w:rPr>
          <w:rFonts w:ascii="Times New Roman" w:hAnsi="Times New Roman"/>
          <w:b w:val="false"/>
          <w:i/>
          <w:sz w:val="18"/>
        </w:rPr>
      </w:pPr>
      <w:r>
        <w:rPr>
          <w:rFonts w:ascii="Times New Roman" w:hAnsi="Times New Roman"/>
          <w:b w:val="false"/>
          <w:i/>
          <w:sz w:val="18"/>
        </w:rPr>
        <w:t>Research and development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Research and development expenses consist primarily of costs incurred in the discovery and development of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External expenses consist of:</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Fees paid to third parties such as contractors, clinical research organizations (CROs) and consultants, including through our relationship with BioDuro-Sundia, and other costs related to preclinical and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Fees paid to third parties such as contract manufacturing organizations (CMOs) and other vendors for manufacturing research and clinical trial materials; and</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Expenses related to laboratory supplies and services.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Unallocated expenses consist of:</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Personnel-related expenses, including salaries, benefits and equity-based compensation expenses, for personnel in our research and development functions;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Related equipment, cost of facilities and depreciation expenses.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expect our research and development expenses to increase substantially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General and administrative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general and administrative expenses consist primarily of personnel-related expenses for personnel in our executive, finance, corporate and other administrative functions, intellectual property and patent costs, facilities and other allocated expenses, other expenses for outside professional services, including legal, human resources, audit and accounting services and insurance costs. Personnel-related expenses consist of salaries, benefits and equity-based compensation. We expect our general and administrative expenses to increase as a result of operating as a public company, including additional costs (i) to comply with the rules and regulations of the SEC and those of The Nasdaq Global Market, (ii) for legal and auditing services, (iii) for additional insurance, (iv) for investor relations activities and (v) for other administrative and professional services. We also expect our intellectual property expenses to increase as we expand our intellectual property portfolio.</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Interest income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Interest income consists primarily of interest earned on our cash and cash equivalent balances. Our interest income has not been significant to date and we do not expect any material changes.</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Interest expense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Interest expense consists primarily of interest incurred on our outstanding convertible debt, including coupon interest and the amortization of debt discounts, including those related to beneficial conversion features and embedded derivatives. Our interest expense declined subsequent to the settlement of our outstanding convertible debt in July 2020 and the forgiveness of our PPP loan in July 2021.</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Change in fair value of derivative liability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convertible promissory notes we issued during 2019 and 2020 contained redemption features which we determined were embedded derivatives to be recognized as liabilities and measured at fair value. At the end of each reporting period, changes in the estimated fair value during the period were recorded as a change in the fair value of derivative liability. The embedded derivative liability was recorded at fair value utilizing an income approach that identified the cash flows using a “with-and-without” valuation methodology. The inputs used to determine the estimated fair value of the derivative instrument were based primarily on the probability of an underlying event triggering the embedded derivative occurring and the timing of such event. We will no longer record changes in the fair value of the derivative liability subsequent to the settlement of the derivative liability in connection with the conversion of our outstanding convertible debt in July 2020.</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Extinguishment of debt</w:t>
      </w:r>
    </w:p>
    <w:p>
      <w:pPr>
        <w:pStyle w:val="TextBody"/>
        <w:spacing w:lineRule="auto" w:line="273" w:before="108" w:after="0"/>
        <w:jc w:val="left"/>
        <w:rPr>
          <w:rFonts w:ascii="Times New Roman" w:hAnsi="Times New Roman"/>
          <w:sz w:val="20"/>
        </w:rPr>
      </w:pPr>
      <w:r>
        <w:rPr>
          <w:rFonts w:ascii="Times New Roman" w:hAnsi="Times New Roman"/>
          <w:b w:val="false"/>
          <w:sz w:val="18"/>
        </w:rPr>
        <w:t>In April 2020, we amended the terms of certain outstanding convertible promissory notes that we concluded were extinguishments. In July 2020, in connection with our Corporate Reorganization, we settled all of our outstanding convertible promissory notes and recognized extinguishment losses for the difference between the fair value of the consideration given to the noteholders and the carrying value of the related convertible promissory notes. In July 2021, our PPP loan was fully forgiven and we recorded a gain on extinguishment equal to the principal and interest outstanding at the time of forgiveness.</w:t>
      </w:r>
      <w:r>
        <w:rPr>
          <w:rFonts w:ascii="Times New Roman" w:hAnsi="Times New Roman"/>
          <w:sz w:val="20"/>
        </w:rPr>
        <w:t xml:space="preserve"> </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Other income (expense)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Other income (expense) primarily includes miscellaneous items of income and expense that were not significant for the periods presented.</w:t>
      </w:r>
    </w:p>
    <w:p>
      <w:pPr>
        <w:pStyle w:val="TextBody"/>
        <w:spacing w:lineRule="auto" w:line="273" w:before="210" w:after="0"/>
        <w:jc w:val="left"/>
        <w:rPr>
          <w:rFonts w:ascii="Times New Roman" w:hAnsi="Times New Roman"/>
          <w:b/>
          <w:sz w:val="18"/>
        </w:rPr>
      </w:pPr>
      <w:r>
        <w:rPr>
          <w:rFonts w:ascii="Times New Roman" w:hAnsi="Times New Roman"/>
          <w:b/>
          <w:sz w:val="18"/>
        </w:rPr>
        <w:t>Results of operations</w:t>
      </w:r>
    </w:p>
    <w:p>
      <w:pPr>
        <w:pStyle w:val="TextBody"/>
        <w:spacing w:lineRule="auto" w:line="273" w:before="108" w:after="0"/>
        <w:jc w:val="left"/>
        <w:rPr>
          <w:rFonts w:ascii="Times New Roman" w:hAnsi="Times New Roman"/>
          <w:b/>
          <w:i/>
          <w:sz w:val="18"/>
        </w:rPr>
      </w:pPr>
      <w:r>
        <w:rPr>
          <w:rFonts w:ascii="Times New Roman" w:hAnsi="Times New Roman"/>
          <w:b/>
          <w:i/>
          <w:sz w:val="18"/>
        </w:rPr>
        <w:t>Comparison of the years ended December 31, 2021 and 2020</w:t>
      </w:r>
    </w:p>
    <w:p>
      <w:pPr>
        <w:pStyle w:val="TextBody"/>
        <w:spacing w:lineRule="auto" w:line="273" w:before="0" w:after="0"/>
        <w:jc w:val="left"/>
        <w:rPr/>
      </w:pPr>
      <w:r>
        <w:rPr/>
        <w:t> </w:t>
      </w:r>
    </w:p>
    <w:tbl>
      <w:tblPr>
        <w:tblW w:w="7433" w:type="dxa"/>
        <w:jc w:val="left"/>
        <w:tblInd w:w="0" w:type="dxa"/>
        <w:tblCellMar>
          <w:top w:w="28" w:type="dxa"/>
          <w:left w:w="28" w:type="dxa"/>
          <w:bottom w:w="28" w:type="dxa"/>
          <w:right w:w="28" w:type="dxa"/>
        </w:tblCellMar>
      </w:tblPr>
      <w:tblGrid>
        <w:gridCol w:w="3541"/>
        <w:gridCol w:w="146"/>
        <w:gridCol w:w="211"/>
        <w:gridCol w:w="714"/>
        <w:gridCol w:w="179"/>
        <w:gridCol w:w="157"/>
        <w:gridCol w:w="211"/>
        <w:gridCol w:w="714"/>
        <w:gridCol w:w="166"/>
        <w:gridCol w:w="146"/>
        <w:gridCol w:w="196"/>
        <w:gridCol w:w="661"/>
        <w:gridCol w:w="391"/>
      </w:tblGrid>
      <w:tr>
        <w:trPr/>
        <w:tc>
          <w:tcPr>
            <w:tcW w:w="35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5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5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Collaboration and other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250</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(179</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5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right"/>
              <w:rPr/>
            </w:pPr>
            <w:r>
              <w:rPr/>
              <w:t> </w:t>
            </w:r>
          </w:p>
        </w:tc>
        <w:tc>
          <w:tcPr>
            <w:tcW w:w="179" w:type="dxa"/>
            <w:tcBorders/>
            <w:shd w:fill="auto" w:val="clear"/>
            <w:vAlign w:val="center"/>
          </w:tcPr>
          <w:p>
            <w:pPr>
              <w:pStyle w:val="TableContents"/>
              <w:spacing w:lineRule="auto" w:line="252" w:before="0" w:after="0"/>
              <w:ind w:left="0" w:right="0" w:hanging="0"/>
              <w:jc w:val="righ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54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58,274</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19,933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38,341</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54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38,416</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10,595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27,821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96,690</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30,528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66,162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(96,440</w:t>
            </w:r>
          </w:p>
        </w:tc>
        <w:tc>
          <w:tcPr>
            <w:tcW w:w="17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(30,099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(66,341</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5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right"/>
              <w:rPr/>
            </w:pPr>
            <w:r>
              <w:rPr/>
              <w:t> </w:t>
            </w:r>
          </w:p>
        </w:tc>
        <w:tc>
          <w:tcPr>
            <w:tcW w:w="179" w:type="dxa"/>
            <w:tcBorders/>
            <w:shd w:fill="auto" w:val="clear"/>
            <w:vAlign w:val="center"/>
          </w:tcPr>
          <w:p>
            <w:pPr>
              <w:pStyle w:val="TableContents"/>
              <w:spacing w:lineRule="auto" w:line="252" w:before="0" w:after="0"/>
              <w:ind w:left="0" w:right="0" w:hanging="0"/>
              <w:jc w:val="righ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54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350</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54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w:t>
            </w:r>
          </w:p>
        </w:tc>
        <w:tc>
          <w:tcPr>
            <w:tcW w:w="179"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54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 in fair value of derivative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pPr>
            <w:r>
              <w:rPr/>
              <w:t>—</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1,581</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54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Gain (loss) on extinguishment of long-term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690</w:t>
            </w:r>
          </w:p>
        </w:tc>
        <w:tc>
          <w:tcPr>
            <w:tcW w:w="179" w:type="dxa"/>
            <w:tcBorders/>
            <w:shd w:fill="auto" w:val="cle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1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(2,883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3,573</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54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1,038</w:t>
            </w:r>
          </w:p>
        </w:tc>
        <w:tc>
          <w:tcPr>
            <w:tcW w:w="1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(5,754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6,792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Consolidated net loss and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(95,402</w:t>
            </w:r>
          </w:p>
        </w:tc>
        <w:tc>
          <w:tcPr>
            <w:tcW w:w="1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(35,853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(59,549</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Collaboration and other revenue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Collaboration and other revenue for the years ended December 31, 2021 and 2020 consisted of $0.3 million recognized under our legacy service contracts, and $0.4 million of revenue recognized under our collaboration with BeiGene, respectively. As part of the November 2021 amendment to the agreement with BeiGene, we reclassified the remaining $19.8 million of deferred revenue as a long-term liability which we expect to settle as licensing payments are made to BeiGene in accordance with the resulting amendment. In the event the license is terminated, the liability will be extinguished with no further payment to BeiGene.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Research and development expense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following table summarizes our research and development expenses allocated by CAB program for the periods indicated:</w:t>
      </w:r>
    </w:p>
    <w:p>
      <w:pPr>
        <w:pStyle w:val="TextBody"/>
        <w:spacing w:lineRule="auto" w:line="273" w:before="0" w:after="0"/>
        <w:jc w:val="left"/>
        <w:rPr/>
      </w:pPr>
      <w:r>
        <w:rPr/>
        <w:t> </w:t>
      </w:r>
    </w:p>
    <w:tbl>
      <w:tblPr>
        <w:tblW w:w="6880" w:type="dxa"/>
        <w:jc w:val="left"/>
        <w:tblInd w:w="0" w:type="dxa"/>
        <w:tblCellMar>
          <w:top w:w="28" w:type="dxa"/>
          <w:left w:w="28" w:type="dxa"/>
          <w:bottom w:w="28" w:type="dxa"/>
          <w:right w:w="28" w:type="dxa"/>
        </w:tblCellMar>
      </w:tblPr>
      <w:tblGrid>
        <w:gridCol w:w="3046"/>
        <w:gridCol w:w="146"/>
        <w:gridCol w:w="227"/>
        <w:gridCol w:w="698"/>
        <w:gridCol w:w="169"/>
        <w:gridCol w:w="169"/>
        <w:gridCol w:w="227"/>
        <w:gridCol w:w="698"/>
        <w:gridCol w:w="166"/>
        <w:gridCol w:w="146"/>
        <w:gridCol w:w="196"/>
        <w:gridCol w:w="601"/>
        <w:gridCol w:w="391"/>
      </w:tblGrid>
      <w:tr>
        <w:trPr/>
        <w:tc>
          <w:tcPr>
            <w:tcW w:w="3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0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center"/>
              <w:rPr/>
            </w:pPr>
            <w:r>
              <w:rPr/>
              <w:t> </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0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8"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0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External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925"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BA3011 (AXL-ADC)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17,883</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7,845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10,038</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BA3021 (ROR2-ADC)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10,921</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7,731</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Other CAB Programs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14,954</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3,718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11,236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external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43,758</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14,753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29,005</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Personnel and related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6,999</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5,120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1,879</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Equity-based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4,688</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shd w:fill="auto" w:val="clear"/>
            <w:vAlign w:val="center"/>
          </w:tcPr>
          <w:p>
            <w:pPr>
              <w:pStyle w:val="TableContents"/>
              <w:spacing w:lineRule="auto" w:line="252" w:before="0" w:after="0"/>
              <w:ind w:left="0" w:right="0" w:hanging="0"/>
              <w:jc w:val="left"/>
              <w:rPr/>
            </w:pPr>
            <w:r>
              <w:rPr/>
              <w:t> </w:t>
            </w:r>
          </w:p>
        </w:tc>
        <w:tc>
          <w:tcPr>
            <w:tcW w:w="69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(2,252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6,940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Facilities and 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2,829</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58,274</w:t>
            </w:r>
          </w:p>
        </w:tc>
        <w:tc>
          <w:tcPr>
            <w:tcW w:w="1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19,933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38,341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Research and development expenses were $58.3 million and $19.9 million for the years ended December 31, 2021 and 2020, respectively. The increase of $38.3 million was primarily driven by a $17.8 million increase in external costs as due to manufacturing and clinical development for our clinical programs BA3011 and BA3021, a $11.2 million increase in pre-clinical development including manufacturing and IND enabling studies for CAB pipeline programs, a $4.0 million increase in stock-based compensation due to awards issued in connection with our 2020 Equity Incentive Plan, a $3.0 million increase in equity-based compensation related to a decrease in the fair value of awards under our profits interest plan during the year ended December 31, 2020, a $1.9 million increase in personnel related costs due to an increase in headcount to support ongoing development activities for our programs, and $0.5 million increase in facility, depreciation and allocated costs.</w:t>
      </w:r>
      <w:r>
        <w:rPr>
          <w:rFonts w:ascii="Times New Roman" w:hAnsi="Times New Roman"/>
          <w:sz w:val="20"/>
        </w:rPr>
        <w:t xml:space="preserve"> </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General and administrative expense</w:t>
      </w:r>
    </w:p>
    <w:p>
      <w:pPr>
        <w:pStyle w:val="TextBody"/>
        <w:spacing w:lineRule="auto" w:line="273" w:before="108" w:after="0"/>
        <w:jc w:val="left"/>
        <w:rPr>
          <w:rFonts w:ascii="Times New Roman" w:hAnsi="Times New Roman"/>
          <w:sz w:val="20"/>
        </w:rPr>
      </w:pPr>
      <w:r>
        <w:rPr>
          <w:rFonts w:ascii="Times New Roman" w:hAnsi="Times New Roman"/>
          <w:b w:val="false"/>
          <w:sz w:val="18"/>
        </w:rPr>
        <w:t>General and administrative expenses were $38.4 million and $10.6 million for the years ended December 31, 2021 and 2020, respectively. The increase of $27.8 million was primarily driven by a $18.2 million increase in stock-based compensation due to awards issued in connection with our 2020 Equity Incentive Plan and the modification of awards issued to one of our co-founders, a $3.8 million increase in equity-based compensation related to a decrease in the fair value of awards under our profits interest plan during the year ended December 31, 2020, a $2.9 million increase in insurance expense, a $1.5 million increase in personnel related expenses as we expanded our administrative functions in support of our development activities plus severance benefits related to the departure of one of our co-founders, a $1.2 million increase in professional fees related to accounting, audit and legal services, a $0.4 million increase in other expenses including corporate franchise taxes and software subscriptions, and a $0.3 million increase in depreciation expense. These decreases were offset by a $0.4 million decrease in facility and allocated costs.</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val="false"/>
          <w:sz w:val="18"/>
        </w:rPr>
        <w:br/>
      </w:r>
      <w:r>
        <w:rPr>
          <w:rFonts w:ascii="Times New Roman" w:hAnsi="Times New Roman"/>
          <w:b w:val="false"/>
          <w:i/>
          <w:sz w:val="18"/>
        </w:rPr>
        <w:t>Interest income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Interest income was $350,000 and $100,000 for the years ended December 31, 2021 and 2020, respectively. The increase of $250,000 was due to higher average cash and cash equivalent balances after our December 2020 IPO and September 2021 private placement.</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Interest expense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Interest expense was $3,000 and $1.4 million for the years ended December 31, 2021 and 2020, respectively. The decrease of $1.4 million was due to reduced interest expense as a result of the settlement of all of our convertible debt in July 2020.</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Change in fair value of derivative liability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Change in fair value of derivative liability was $0 and $1.6 million for the years ended December 31, 2021 and 2020, respectively. The decrease of $1.6 million was primarily due to changes in the fair value of embedded derivatives issued in connection with our outstanding convertible promissory notes which all settled in July 2020.</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Extinguishment of debt</w:t>
      </w:r>
    </w:p>
    <w:p>
      <w:pPr>
        <w:pStyle w:val="TextBody"/>
        <w:spacing w:lineRule="auto" w:line="273" w:before="108" w:after="0"/>
        <w:jc w:val="left"/>
        <w:rPr>
          <w:rFonts w:ascii="Times New Roman" w:hAnsi="Times New Roman"/>
          <w:sz w:val="20"/>
        </w:rPr>
      </w:pPr>
      <w:r>
        <w:rPr>
          <w:rFonts w:ascii="Times New Roman" w:hAnsi="Times New Roman"/>
          <w:b w:val="false"/>
          <w:sz w:val="18"/>
        </w:rPr>
        <w:t>Extinguishment of long-term debt resulted in a $0.7 million gain and a $2.9 million loss on extinguishment during the years ended December 31, 2021 and 2020 related to the forgiveness of our PPP loan in July 2021 and the settlement of our then outstanding convertible promissory notes in connection with our July 2020 Series D Financing, respectively.</w:t>
      </w:r>
      <w:r>
        <w:rPr>
          <w:rFonts w:ascii="Times New Roman" w:hAnsi="Times New Roman"/>
          <w:sz w:val="20"/>
        </w:rPr>
        <w:t xml:space="preserve"> </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Other income (expense)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had minimal other income and expense for the years ended December 31, 2021 and 2020.</w:t>
      </w:r>
    </w:p>
    <w:p>
      <w:pPr>
        <w:pStyle w:val="TextBody"/>
        <w:spacing w:lineRule="auto" w:line="273" w:before="324" w:after="0"/>
        <w:jc w:val="left"/>
        <w:rPr>
          <w:rFonts w:ascii="Times New Roman" w:hAnsi="Times New Roman"/>
          <w:b/>
          <w:sz w:val="18"/>
        </w:rPr>
      </w:pPr>
      <w:r>
        <w:rPr>
          <w:rFonts w:ascii="Times New Roman" w:hAnsi="Times New Roman"/>
          <w:b/>
          <w:sz w:val="18"/>
        </w:rPr>
        <w:t>Liquidity and capital resources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have incurred aggregate net losses and negative cash flows from operations since our inception and anticipate we will continue to incur net losses for the foreseeable future. As of December 31, 2021, we had cash and cash equivalents of $245.0 million.</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i/>
          <w:sz w:val="18"/>
        </w:rPr>
      </w:pPr>
      <w:r>
        <w:rPr>
          <w:rFonts w:ascii="Times New Roman" w:hAnsi="Times New Roman"/>
          <w:b/>
          <w:i/>
          <w:sz w:val="18"/>
        </w:rPr>
        <w:t>Debt</w:t>
      </w:r>
    </w:p>
    <w:p>
      <w:pPr>
        <w:pStyle w:val="TextBody"/>
        <w:spacing w:lineRule="auto" w:line="273" w:before="216" w:after="0"/>
        <w:jc w:val="left"/>
        <w:rPr>
          <w:rFonts w:ascii="Times New Roman" w:hAnsi="Times New Roman"/>
          <w:sz w:val="20"/>
        </w:rPr>
      </w:pPr>
      <w:r>
        <w:rPr>
          <w:rFonts w:ascii="Times New Roman" w:hAnsi="Times New Roman"/>
          <w:b w:val="false"/>
          <w:sz w:val="18"/>
        </w:rPr>
        <w:t xml:space="preserve">On April 22, 2020, we received proceeds from a loan, or PPP Loan, in the amount of $0.7 million from City National Bank, as lender, pursuant to the Paycheck Protection Program, or PPP, of the CARES Act. In July 2021, we were notified by our lender, City National Bank, that our PPP Loan had been fully forgiven by the SBA and that there was no remaining balance on the PPP Loan. We recorded the forgiveness as other income in 2021. </w:t>
        <w:br/>
        <w:br/>
        <w:br/>
      </w:r>
      <w:r>
        <w:rPr>
          <w:rFonts w:ascii="Times New Roman" w:hAnsi="Times New Roman"/>
          <w:b/>
          <w:i/>
          <w:sz w:val="18"/>
        </w:rPr>
        <w:t>Future funding requirements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initiation, scope, rate of progress, results and costs of our preclinical studies, clinical trials and other related activities for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costs associated with manufacturing our product candidates and establishing commercial supplies and sales, marketing and distribution capabilities;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timing and costs of capital expenditures to support our research and development efforts;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number and characteristics of other product candidates that we pursue;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timing, receipt and amount of sales from our potential products;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need and ability to hire additional management, scientific and medical personnel;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effect of competing products that may limit market penetration of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need to implement additional internal systems and infrastructure, including financial and reporting systems;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economic and other terms, timing and success of any collaboration, licensing, or other arrangements into which we may enter in the future, including the timing of receipt of any milestone or royalty payments under these agreements;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compliance and administrative costs associated with being a public company;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the extent to which we acquire or invest in businesses, products or technologies, although we have no commitments or agreements relating to any of these types of transactions.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Based on our current operating plan, our current cash and cash equivalents are expected to be sufficient to fund our ongoing operations into the first half of 2024. However, we have based this estimate on assumptions that may prove to be wrong, and we could utilize our available capital resources sooner than we currently expect.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the COVID-19 pandemic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89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Cash flows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following summarizes our cash flows for the periods indicated:</w:t>
      </w:r>
    </w:p>
    <w:p>
      <w:pPr>
        <w:pStyle w:val="TextBody"/>
        <w:spacing w:lineRule="auto" w:line="273" w:before="0" w:after="0"/>
        <w:jc w:val="left"/>
        <w:rPr/>
      </w:pPr>
      <w:r>
        <w:rPr/>
        <w:t> </w:t>
      </w:r>
    </w:p>
    <w:tbl>
      <w:tblPr>
        <w:tblW w:w="5775" w:type="dxa"/>
        <w:jc w:val="left"/>
        <w:tblInd w:w="0" w:type="dxa"/>
        <w:tblCellMar>
          <w:top w:w="28" w:type="dxa"/>
          <w:left w:w="28" w:type="dxa"/>
          <w:bottom w:w="28" w:type="dxa"/>
          <w:right w:w="28" w:type="dxa"/>
        </w:tblCellMar>
      </w:tblPr>
      <w:tblGrid>
        <w:gridCol w:w="3031"/>
        <w:gridCol w:w="146"/>
        <w:gridCol w:w="208"/>
        <w:gridCol w:w="704"/>
        <w:gridCol w:w="176"/>
        <w:gridCol w:w="155"/>
        <w:gridCol w:w="208"/>
        <w:gridCol w:w="736"/>
        <w:gridCol w:w="411"/>
      </w:tblGrid>
      <w:tr>
        <w:trPr/>
        <w:tc>
          <w:tcPr>
            <w:tcW w:w="3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0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94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7"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0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cash provided by (used 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2" w:type="dxa"/>
            <w:gridSpan w:val="2"/>
            <w:tcBorders/>
            <w:shd w:fill="auto" w:val="clear"/>
            <w:vAlign w:val="center"/>
          </w:tcPr>
          <w:p>
            <w:pPr>
              <w:pStyle w:val="TableContents"/>
              <w:spacing w:lineRule="auto" w:line="252" w:before="0" w:after="0"/>
              <w:ind w:left="0" w:right="0" w:hanging="0"/>
              <w:jc w:val="right"/>
              <w:rPr/>
            </w:pPr>
            <w:r>
              <w:rPr/>
              <w:t> </w:t>
            </w:r>
          </w:p>
        </w:tc>
        <w:tc>
          <w:tcPr>
            <w:tcW w:w="176" w:type="dxa"/>
            <w:tcBorders/>
            <w:shd w:fill="auto" w:val="clear"/>
            <w:vAlign w:val="center"/>
          </w:tcPr>
          <w:p>
            <w:pPr>
              <w:pStyle w:val="TableContents"/>
              <w:spacing w:lineRule="auto" w:line="252" w:before="0" w:after="0"/>
              <w:ind w:left="0" w:right="0" w:hanging="0"/>
              <w:jc w:val="righ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944"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3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(62,214</w:t>
            </w:r>
          </w:p>
        </w:tc>
        <w:tc>
          <w:tcPr>
            <w:tcW w:w="1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(36,334</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3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70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(924</w:t>
            </w:r>
          </w:p>
        </w:tc>
        <w:tc>
          <w:tcPr>
            <w:tcW w:w="1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208"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(590</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303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69,512</w:t>
            </w:r>
          </w:p>
        </w:tc>
        <w:tc>
          <w:tcPr>
            <w:tcW w:w="1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271,825</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increase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6,374</w:t>
            </w:r>
          </w:p>
        </w:tc>
        <w:tc>
          <w:tcPr>
            <w:tcW w:w="1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5" w:type="dxa"/>
            <w:tcBorders/>
            <w:shd w:fill="auto" w:val="clear"/>
            <w:vAlign w:val="center"/>
          </w:tcPr>
          <w:p>
            <w:pPr>
              <w:pStyle w:val="TableContents"/>
              <w:spacing w:lineRule="auto" w:line="252" w:before="0" w:after="0"/>
              <w:ind w:left="0" w:right="0" w:hanging="0"/>
              <w:jc w:val="lef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234,901</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Cash used in operating activities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Net cash used in operating activities for the year ended December 31, 2021 was $62.2 million, which consisted of a consolidated net loss of $95.4 million, a net increase of $7.4 million in our net operating assets and liabilities and $25.8 million of non-cash transactions. The net change in our operating assets and liabilities was primarily due to an increase in accounts payable and accrued expenses of $8.0 million, a decrease in prepaid expenses and other assets of $0.2 million, offset by a net increase in operating lease right-of-use assets and liabilities of $0.3 million in conjunction with the adoption of ASC 842. The non-cash transactions primarily consisted of $25.1 million of stock-based compensation and non-cash charges of $1.3 million related to depreciation and amortization, offset by the $0.7 million gain on the extinguishment of our PPP loan.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Net cash used in operating activities for the year ended December 31, 2020 was $36.3 million, which consisted of a consolidated net loss of $35.9 million, a net change of $2.5 million in our net operating assets and liabilities and $2.0 million of non-cash transactions. The net change in our operating assets and liabilities was primarily due to a decrease in accounts payable and accrued expenses of $1.7 million, an increase in prepaid expenses and other assets of $1.3 million, an increase in accrued interest of $0.9 million on our outstanding convertible debt prior to its settlement in July 2020, and a decrease in deferred revenue of $0.4 million as we recognized deferred revenue related to our collaboration with BeiGene. The non-cash transactions primarily consisted of $3.0 million of stock-based compensation related to the issuance of RSUs and stock options in the fourth quarter of 2020, a $2.9 million loss on extinguishment of convertible debt, a $1.6 million change in the fair value of our derivative liability, non-cash charges of $1.0 million related to depreciation and amortization and $0.5 million of non-cash interest, offset by a decrease in the fair value of our profits interest liability and pushdown from our affiliate of $6.9 million and $0.2 million of deferred rent.</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Cash used in investing activities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Cash used in investing activities was $0.9 million and $0.6 million for the years ended December 31, 2021 and 2020, respectively, related to the purchase of property and equipment.</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Cash provided by financing activities</w:t>
      </w:r>
    </w:p>
    <w:p>
      <w:pPr>
        <w:pStyle w:val="TextBody"/>
        <w:spacing w:lineRule="auto" w:line="273" w:before="108" w:after="0"/>
        <w:jc w:val="left"/>
        <w:rPr>
          <w:rFonts w:ascii="Times New Roman" w:hAnsi="Times New Roman"/>
          <w:sz w:val="20"/>
        </w:rPr>
      </w:pPr>
      <w:r>
        <w:rPr>
          <w:rFonts w:ascii="Times New Roman" w:hAnsi="Times New Roman"/>
          <w:b w:val="false"/>
          <w:sz w:val="18"/>
        </w:rPr>
        <w:t>Net cash provided by financing activities was $69.5 million for the year ended December 31, 2021, which consisted primarily of the net proceeds from the issuance of common stock through a Private Placement of $71.0 million, the proceeds from the issuance of common stock under our Employee Stock Purchase Plan of $0.3 million, and $0.1 million due to the exercise of stock options under our Equity Incentive Plan, partially offset by our payment of initial public offering costs of $1.9 million.</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Net cash provided by financing activities was $271.8 million for the year ended December 31, 2020, which consisted of $200.2 million of net proceeds from our initial public offering, $68.2 million of net proceeds from our issuance of Series D convertible preferred stock, $2.8 million of proceeds from the issuance of convertible promissory notes and $0.7 million of proceeds from our PPP loan.</w:t>
      </w:r>
    </w:p>
    <w:p>
      <w:pPr>
        <w:pStyle w:val="TextBody"/>
        <w:spacing w:lineRule="auto" w:line="273" w:before="324" w:after="0"/>
        <w:jc w:val="left"/>
        <w:rPr>
          <w:rFonts w:ascii="Times New Roman" w:hAnsi="Times New Roman"/>
          <w:b/>
          <w:sz w:val="18"/>
        </w:rPr>
      </w:pPr>
      <w:r>
        <w:rPr>
          <w:rFonts w:ascii="Times New Roman" w:hAnsi="Times New Roman"/>
          <w:b/>
          <w:sz w:val="18"/>
        </w:rPr>
        <w:t>Critical accounting policies and estimates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While our significant accounting policies are described in the Note 1 to our consolidated financial statements included elsewhere in this Annual Report on Form 10-K, we believe that the following critical accounting policies are most important to understanding and evaluating our reported financial results.</w:t>
      </w:r>
    </w:p>
    <w:p>
      <w:pPr>
        <w:pStyle w:val="TextBody"/>
        <w:spacing w:lineRule="auto" w:line="273" w:before="216" w:after="0"/>
        <w:jc w:val="left"/>
        <w:rPr>
          <w:rFonts w:ascii="Times New Roman" w:hAnsi="Times New Roman"/>
          <w:b/>
          <w:i/>
          <w:sz w:val="18"/>
        </w:rPr>
      </w:pPr>
      <w:r>
        <w:rPr>
          <w:rFonts w:ascii="Times New Roman" w:hAnsi="Times New Roman"/>
          <w:b/>
          <w:i/>
          <w:sz w:val="18"/>
        </w:rPr>
        <w:t>Accrued expenses</w:t>
      </w:r>
    </w:p>
    <w:p>
      <w:pPr>
        <w:pStyle w:val="TextBody"/>
        <w:spacing w:lineRule="auto" w:line="273" w:before="108" w:after="0"/>
        <w:jc w:val="left"/>
        <w:rPr>
          <w:rFonts w:ascii="Times New Roman" w:hAnsi="Times New Roman"/>
          <w:sz w:val="20"/>
        </w:rPr>
      </w:pPr>
      <w:r>
        <w:rPr>
          <w:rFonts w:ascii="Times New Roman" w:hAnsi="Times New Roman"/>
          <w:b w:val="false"/>
          <w:sz w:val="18"/>
        </w:rPr>
        <w:t>As part of the process of preparing our consolidated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 our vendors in connection with research and development activities for which we have not yet been invoiced. We periodically confirm the accuracy of our estimates with the service providers and make adjustments if necessary.</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spacing w:lineRule="auto" w:line="273" w:before="216" w:after="0"/>
        <w:jc w:val="left"/>
        <w:rPr>
          <w:rFonts w:ascii="Times New Roman" w:hAnsi="Times New Roman"/>
          <w:b/>
          <w:i/>
          <w:sz w:val="18"/>
        </w:rPr>
      </w:pPr>
      <w:r>
        <w:rPr>
          <w:rFonts w:ascii="Times New Roman" w:hAnsi="Times New Roman"/>
          <w:b/>
          <w:i/>
          <w:sz w:val="18"/>
        </w:rPr>
        <w:t>Collaboration revenue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 customer is a party that has entered into a contract with us, where the purpose of the contract is to obtain a product or a service that is an output of our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we will collect substantially all of the consideration to which we are entitled to receive in exchange for the transfer of the product or the service.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 performance obligation is defined as a promise to transfer a product or a service to a customer. We identify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our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we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a contract has multiple performance obligations, we allocate the transaction price to each distinct performance obligation in an amount that reflects the consideration we are entitled to receive in exchange for satisfying each distinct performance obligation. For each distinct performance obligation, revenue is recognized when (or as) we transfer control of the product or the service applicable to such performance obligation.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those instances where we first receive consideration in advance of satisfying our performance obligation, we classify such consideration as deferred revenue until (or as) we satisfy such performance obligation. In those instances where we first satisfy our performance obligation prior to receipt of consideration, the consideration is recorded as accounts receivable.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expense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i/>
          <w:sz w:val="18"/>
        </w:rPr>
      </w:pPr>
      <w:r>
        <w:rPr>
          <w:rFonts w:ascii="Times New Roman" w:hAnsi="Times New Roman"/>
          <w:b/>
          <w:i/>
          <w:sz w:val="18"/>
        </w:rPr>
        <w:t>Profits interest liability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Before the Corporate Reorganization, we had a profits interest plan which we determined was a liability award plan in accordance with authoritative guidance. We measured the fair value of each award on the grant date and recognized such fair value over the requisite service period (usually the vesting period) on a straight-line basis, net of estimated forfeitures. The fair value of the award was remeasured at each reporting date until the award was settled, with a true-up of compensation cost for changes in fair value prorated for the portion of the requisite service period rendered. Once vested, any subsequent change in fair value was recognized immediately. The fair value of any awards that expired or were forfeited or cancelled for no value was adjusted to zero, such that any previously recorded compensation cost was fully reversed.</w:t>
      </w:r>
    </w:p>
    <w:p>
      <w:pPr>
        <w:pStyle w:val="TextBody"/>
        <w:spacing w:lineRule="auto" w:line="273" w:before="216" w:after="0"/>
        <w:jc w:val="left"/>
        <w:rPr>
          <w:rFonts w:ascii="Times New Roman" w:hAnsi="Times New Roman"/>
          <w:sz w:val="20"/>
        </w:rPr>
      </w:pPr>
      <w:r>
        <w:rPr>
          <w:rFonts w:ascii="Times New Roman" w:hAnsi="Times New Roman"/>
          <w:b w:val="false"/>
          <w:sz w:val="18"/>
        </w:rPr>
        <w:t>We were required to estimate the fair value of the Class B units issued in connection with our profits interest plan. The fair value of our Class B units was determined on each reporting date by our management, taking into account input from independent third-party valuation analysis. In the absence of a public trading market for our Class B units, on each reporting date we developed an estimate of the fair value of our Class B units in order to calculate the profit interest liability. Our determinations of the fair value of our Class B units were made using methodologies, approaches and assumptions consistent with the American Institute of Certified Public Accountants</w:t>
      </w:r>
      <w:r>
        <w:rPr>
          <w:rFonts w:ascii="Times New Roman" w:hAnsi="Times New Roman"/>
          <w:sz w:val="20"/>
        </w:rPr>
        <w:t xml:space="preserve"> </w:t>
      </w:r>
      <w:r>
        <w:rPr>
          <w:rFonts w:ascii="Times New Roman" w:hAnsi="Times New Roman"/>
          <w:b w:val="false"/>
          <w:i/>
          <w:sz w:val="18"/>
        </w:rPr>
        <w:t>Audit and Accounting Practice Aid Series: Valuation of Privately Held Company Equity Securities Issued as Compensation</w:t>
      </w:r>
      <w:r>
        <w:rPr>
          <w:rFonts w:ascii="Times New Roman" w:hAnsi="Times New Roman"/>
          <w:b w:val="false"/>
          <w:sz w:val="18"/>
        </w:rPr>
        <w:t>, or the Practice Aid.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considered various objective and subjective factors to determine the fair value of our Class B units, including: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contemporaneous valuations of our Class B units performed by independent third-party valuation specialists;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stage of development and business strategy, including the status of research and development efforts of our product candidates, and the material risks related to our business and industry;</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our results of operations and financial position, including our levels of available capital resources;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valuation of publicly traded companies in the life sciences and biopharmaceutical sectors, as well as recently completed mergers and acquisitions of peer companies;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lack of liquidity of our Class B units;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rights, preferences and privileges of our Class C Preferred units and Class A units relative to those of our Class B units;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the likelihood and timing of achieving a liquidity event for the holders of our Class B units, given prevailing market conditions;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trends and developments in our industry;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external market conditions affecting the life sciences and biopharmaceutical industry sectors.</w:t>
      </w:r>
    </w:p>
    <w:p>
      <w:pPr>
        <w:pStyle w:val="TextBody"/>
        <w:spacing w:lineRule="auto" w:line="273" w:before="324" w:after="0"/>
        <w:jc w:val="left"/>
        <w:rPr>
          <w:rFonts w:ascii="Times New Roman" w:hAnsi="Times New Roman"/>
          <w:b w:val="false"/>
          <w:i/>
          <w:sz w:val="18"/>
        </w:rPr>
      </w:pPr>
      <w:r>
        <w:rPr>
          <w:rFonts w:ascii="Times New Roman" w:hAnsi="Times New Roman"/>
          <w:b w:val="false"/>
          <w:i/>
          <w:sz w:val="18"/>
        </w:rPr>
        <w:t>Valuation methodologies and methods used to allocate our enterprise value to classes of securities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valuations were prepared in accordance with the guidelines in the Practice Aid, which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company’s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 We utilized a market approach in 2019 and 2020. In 2020, in connection with our Corporate Reorganization and Series D preferred stock financing, our market approach included the back-solve method that assigns an implied enterprise value based on the most recent round of funding or investment and allows for the incorporation of the implied future benefits and risks of the investment decision assigned by an outside investor. In accordance with the Practice Aid, we considered the various methods for allocating the enterprise value across our classes and series of equity to determine the fair value of our equity instruments at each valuation date. We applied a hybrid method of the probability weighted expected return method, or PWERM, where the non-IPO scenario is modeled using an option pricing model to reflect the full distribution of possible non-IPO outcomes. Under the option pricing model, units are valued by creating a series of call options with exercise prices based on the liquidation preferences and conversion terms of each equity class. The values of each class of units are inferred by analyzing these options. In the IPO scenario, we used the fully-diluted shares outstanding to allocate value to each class of units. The hybrid method is useful when certain discrete future outcomes can be predicted, but also accounts for uncertainty regarding the timing or likelihood of specific alternative exit events.</w:t>
      </w:r>
    </w:p>
    <w:p>
      <w:pPr>
        <w:pStyle w:val="TextBody"/>
        <w:spacing w:lineRule="auto" w:line="273" w:before="216" w:after="0"/>
        <w:jc w:val="left"/>
        <w:rPr>
          <w:rFonts w:ascii="Times New Roman" w:hAnsi="Times New Roman"/>
          <w:b/>
          <w:i/>
          <w:sz w:val="18"/>
        </w:rPr>
      </w:pPr>
      <w:r>
        <w:rPr>
          <w:rFonts w:ascii="Times New Roman" w:hAnsi="Times New Roman"/>
          <w:b/>
          <w:i/>
          <w:sz w:val="18"/>
        </w:rPr>
        <w:t>Stock-based compensation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In October 2020 we adopted our 2020 Equity Incentive Plan and began to grant stock options and RSUs and began to recognize stock-based compensation expense in the fourth quarter of 2020.</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Stock-based compensation expense represents the grant date fair value of equity awards recognized over the requisite service period of the awards (usually the vesting period) on a straight-line basis. We estimate the fair value of stock option grants using the Black-Scholes option pricing model and the fair value of RSUs is the fair value of our common stock on the date of grant. See Note 7 to our consolidated financial statements included elsewhere in this Annual Report for information concerning the specific assumptions we used in applying the Black-Scholes option pricing model to determine the estimated fair value of our stock option grants. The fair value of our common stock for awards granted under our equity incentive plan will be based on the closing price as reported on the date of the grant on the primary stock exchange on which our common stock is traded. Equity award forfeitures are recognized as they occur.</w:t>
      </w:r>
    </w:p>
    <w:p>
      <w:pPr>
        <w:pStyle w:val="TextBody"/>
        <w:spacing w:lineRule="auto" w:line="273" w:before="324" w:after="0"/>
        <w:jc w:val="left"/>
        <w:rPr>
          <w:rFonts w:ascii="Times New Roman" w:hAnsi="Times New Roman"/>
          <w:sz w:val="20"/>
        </w:rPr>
      </w:pPr>
      <w:r>
        <w:rPr>
          <w:rFonts w:ascii="Times New Roman" w:hAnsi="Times New Roman"/>
          <w:b/>
          <w:sz w:val="18"/>
        </w:rPr>
        <w:t>Other company information</w:t>
      </w:r>
      <w:r>
        <w:rPr>
          <w:rFonts w:ascii="Times New Roman" w:hAnsi="Times New Roman"/>
          <w:sz w:val="20"/>
        </w:rPr>
        <w:t xml:space="preserve"> </w:t>
      </w:r>
    </w:p>
    <w:p>
      <w:pPr>
        <w:pStyle w:val="TextBody"/>
        <w:spacing w:lineRule="auto" w:line="273" w:before="324" w:after="0"/>
        <w:jc w:val="left"/>
        <w:rPr>
          <w:rFonts w:ascii="Times New Roman" w:hAnsi="Times New Roman"/>
          <w:b/>
          <w:i/>
          <w:sz w:val="18"/>
        </w:rPr>
      </w:pPr>
      <w:r>
        <w:rPr>
          <w:rFonts w:ascii="Times New Roman" w:hAnsi="Times New Roman"/>
          <w:b/>
          <w:i/>
          <w:sz w:val="18"/>
        </w:rPr>
        <w:t>Recent Accounting Pronouncements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See Note 1 to the audited financial statements included in Item 8 of this Annual Report on Form 10-K.</w:t>
      </w:r>
    </w:p>
    <w:p>
      <w:pPr>
        <w:pStyle w:val="TextBody"/>
        <w:spacing w:lineRule="auto" w:line="273" w:before="324" w:after="0"/>
        <w:jc w:val="left"/>
        <w:rPr>
          <w:rFonts w:ascii="Times New Roman" w:hAnsi="Times New Roman"/>
          <w:b/>
          <w:i/>
          <w:sz w:val="18"/>
        </w:rPr>
      </w:pPr>
      <w:r>
        <w:rPr>
          <w:rFonts w:ascii="Times New Roman" w:hAnsi="Times New Roman"/>
          <w:b/>
          <w:i/>
          <w:sz w:val="18"/>
        </w:rPr>
        <w:t>Off-balance sheet arrangements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have not entered into any off-balance sheet arrangements, as defined in the rules and regulations of the SEC.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14" w:name="item_7a_quantitative_and_qualitative"/>
      <w:bookmarkEnd w:id="14"/>
      <w:r>
        <w:rPr>
          <w:rFonts w:ascii="Times New Roman" w:hAnsi="Times New Roman"/>
          <w:b/>
          <w:sz w:val="18"/>
        </w:rPr>
        <w:t>ITEM 7A. Quantitative and Qualitative Disclosures About Market Risk</w:t>
      </w:r>
    </w:p>
    <w:p>
      <w:pPr>
        <w:pStyle w:val="TextBody"/>
        <w:spacing w:lineRule="auto" w:line="273" w:before="324" w:after="0"/>
        <w:jc w:val="left"/>
        <w:rPr>
          <w:rFonts w:ascii="Times New Roman" w:hAnsi="Times New Roman"/>
          <w:b/>
          <w:i/>
          <w:sz w:val="18"/>
        </w:rPr>
      </w:pPr>
      <w:r>
        <w:rPr>
          <w:rFonts w:ascii="Times New Roman" w:hAnsi="Times New Roman"/>
          <w:b/>
          <w:i/>
          <w:sz w:val="18"/>
        </w:rPr>
        <w:t>Interest Rate Risk</w:t>
      </w:r>
    </w:p>
    <w:p>
      <w:pPr>
        <w:pStyle w:val="TextBody"/>
        <w:spacing w:lineRule="auto" w:line="273" w:before="108" w:after="0"/>
        <w:jc w:val="left"/>
        <w:rPr>
          <w:rFonts w:ascii="Times New Roman" w:hAnsi="Times New Roman"/>
          <w:sz w:val="20"/>
        </w:rPr>
      </w:pPr>
      <w:r>
        <w:rPr>
          <w:rFonts w:ascii="Times New Roman" w:hAnsi="Times New Roman"/>
          <w:b w:val="false"/>
          <w:sz w:val="18"/>
        </w:rPr>
        <w:t>We are exposed to market risks in the ordinary course of our business. We had cash, cash equivalents and short-term investments of $245.0 million and $238.6 million as of December 31, 2021 and 2020, respectively, which consisted of bank deposits and money market funds. Such interest-bearing instruments carry a degree of interest rate risk; however, historical fluctuations of interest income have not been significant.</w:t>
        <w:br/>
      </w:r>
      <w:r>
        <w:rPr>
          <w:rFonts w:ascii="Times New Roman" w:hAnsi="Times New Roman"/>
          <w:sz w:val="20"/>
        </w:rPr>
        <w:t> </w:t>
      </w:r>
    </w:p>
    <w:p>
      <w:pPr>
        <w:pStyle w:val="TextBody"/>
        <w:spacing w:lineRule="auto" w:line="273" w:before="108" w:after="0"/>
        <w:jc w:val="left"/>
        <w:rPr>
          <w:rFonts w:ascii="Times New Roman" w:hAnsi="Times New Roman"/>
          <w:sz w:val="20"/>
        </w:rPr>
      </w:pPr>
      <w:r>
        <w:rPr>
          <w:rFonts w:ascii="Times New Roman" w:hAnsi="Times New Roman"/>
          <w:b w:val="false"/>
          <w:sz w:val="18"/>
        </w:rPr>
        <w:t>We do not enter into investments for trading or speculative purposes and we do not currently utilize derivative financial instruments to manage our interest rate exposure. We have not historically been exposed to material risks due to changes in interest rates.</w:t>
      </w:r>
      <w:r>
        <w:rPr>
          <w:rFonts w:ascii="Times New Roman" w:hAnsi="Times New Roman"/>
          <w:sz w:val="20"/>
        </w:rPr>
        <w:t xml:space="preserve"> </w:t>
      </w:r>
    </w:p>
    <w:p>
      <w:pPr>
        <w:pStyle w:val="TextBody"/>
        <w:spacing w:lineRule="auto" w:line="273" w:before="216" w:after="0"/>
        <w:jc w:val="left"/>
        <w:rPr>
          <w:rFonts w:ascii="Times New Roman" w:hAnsi="Times New Roman"/>
          <w:b/>
          <w:i/>
          <w:sz w:val="18"/>
        </w:rPr>
      </w:pPr>
      <w:r>
        <w:rPr>
          <w:rFonts w:ascii="Times New Roman" w:hAnsi="Times New Roman"/>
          <w:b/>
          <w:i/>
          <w:sz w:val="18"/>
        </w:rPr>
        <w:t>Foreign Currency Exchange Risk</w:t>
      </w:r>
    </w:p>
    <w:p>
      <w:pPr>
        <w:pStyle w:val="TextBody"/>
        <w:spacing w:lineRule="auto" w:line="273" w:before="108" w:after="0"/>
        <w:jc w:val="left"/>
        <w:rPr>
          <w:rFonts w:ascii="Times New Roman" w:hAnsi="Times New Roman"/>
          <w:sz w:val="20"/>
        </w:rPr>
      </w:pPr>
      <w:r>
        <w:rPr>
          <w:rFonts w:ascii="Times New Roman" w:hAnsi="Times New Roman"/>
          <w:b w:val="false"/>
          <w:sz w:val="18"/>
        </w:rPr>
        <w:t>Our contracts with customers are primarily denominated in U.S. dollars, with a small amount denominated in foreign currencies. As such, fluctuations in foreign currency exchange rates may cause us to recognize transaction gains and losses in our statement of operations. To date, foreign currency transaction gains and losses have not been material to our consolidated financial statements, and we have not engaged in any foreign currency hedging transactions.</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left"/>
        <w:rPr>
          <w:rFonts w:ascii="Times New Roman" w:hAnsi="Times New Roman"/>
          <w:b/>
          <w:sz w:val="18"/>
        </w:rPr>
      </w:pPr>
      <w:bookmarkStart w:id="15" w:name="item_8_financial_statements"/>
      <w:bookmarkEnd w:id="15"/>
      <w:r>
        <w:rPr>
          <w:rFonts w:ascii="Times New Roman" w:hAnsi="Times New Roman"/>
          <w:b/>
          <w:sz w:val="18"/>
        </w:rPr>
        <w:t>ITEM 8. Financial Statements and Supplementary Data</w:t>
      </w:r>
    </w:p>
    <w:p>
      <w:pPr>
        <w:pStyle w:val="TextBody"/>
        <w:spacing w:lineRule="auto" w:line="273" w:before="108" w:after="0"/>
        <w:jc w:val="left"/>
        <w:rPr>
          <w:rFonts w:ascii="Times New Roman" w:hAnsi="Times New Roman"/>
          <w:b/>
          <w:sz w:val="18"/>
        </w:rPr>
      </w:pPr>
      <w:r>
        <w:rPr>
          <w:rFonts w:ascii="Times New Roman" w:hAnsi="Times New Roman"/>
          <w:b/>
          <w:sz w:val="18"/>
        </w:rPr>
        <w:t>BioAtla, Inc.</w:t>
      </w:r>
    </w:p>
    <w:p>
      <w:pPr>
        <w:pStyle w:val="TextBody"/>
        <w:spacing w:lineRule="auto" w:line="273" w:before="0" w:after="0"/>
        <w:jc w:val="left"/>
        <w:rPr/>
      </w:pPr>
      <w:r>
        <w:rPr/>
        <w:t> </w:t>
      </w:r>
    </w:p>
    <w:tbl>
      <w:tblPr>
        <w:tblW w:w="7955" w:type="dxa"/>
        <w:jc w:val="left"/>
        <w:tblInd w:w="0" w:type="dxa"/>
        <w:tblCellMar>
          <w:top w:w="28" w:type="dxa"/>
          <w:left w:w="28" w:type="dxa"/>
          <w:bottom w:w="28" w:type="dxa"/>
          <w:right w:w="28" w:type="dxa"/>
        </w:tblCellMar>
      </w:tblPr>
      <w:tblGrid>
        <w:gridCol w:w="7096"/>
        <w:gridCol w:w="146"/>
        <w:gridCol w:w="146"/>
        <w:gridCol w:w="376"/>
        <w:gridCol w:w="191"/>
      </w:tblGrid>
      <w:tr>
        <w:trPr/>
        <w:tc>
          <w:tcPr>
            <w:tcW w:w="70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0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2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Page</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09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Index to consolidated financial statements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376" w:type="dxa"/>
            <w:tcBorders/>
            <w:shd w:fill="auto" w:val="clear"/>
            <w:vAlign w:val="center"/>
          </w:tcPr>
          <w:p>
            <w:pPr>
              <w:pStyle w:val="TableContents"/>
              <w:spacing w:lineRule="atLeast" w:line="141" w:before="0" w:after="0"/>
              <w:ind w:left="0" w:right="0" w:hanging="0"/>
              <w:jc w:val="left"/>
              <w:rPr/>
            </w:pPr>
            <w:r>
              <w:rPr/>
              <w:t> </w:t>
            </w:r>
          </w:p>
        </w:tc>
        <w:tc>
          <w:tcPr>
            <w:tcW w:w="191" w:type="dxa"/>
            <w:tcBorders/>
            <w:shd w:fill="auto" w:val="clear"/>
            <w:vAlign w:val="center"/>
          </w:tcPr>
          <w:p>
            <w:pPr>
              <w:pStyle w:val="TableContents"/>
              <w:spacing w:lineRule="atLeast" w:line="141" w:before="0" w:after="0"/>
              <w:ind w:left="0" w:right="0" w:hanging="0"/>
              <w:jc w:val="left"/>
              <w:rPr/>
            </w:pPr>
            <w:r>
              <w:rPr/>
              <w:t> </w:t>
            </w:r>
          </w:p>
        </w:tc>
      </w:tr>
      <w:tr>
        <w:trPr/>
        <w:tc>
          <w:tcPr>
            <w:tcW w:w="7096" w:type="dxa"/>
            <w:tcBorders/>
            <w:shd w:fill="auto" w:val="clear"/>
            <w:vAlign w:val="center"/>
          </w:tcPr>
          <w:p>
            <w:pPr>
              <w:pStyle w:val="TableContents"/>
              <w:spacing w:lineRule="auto" w:line="252" w:before="0" w:after="0"/>
              <w:ind w:left="0" w:right="0" w:hanging="0"/>
              <w:jc w:val="left"/>
              <w:rPr/>
            </w:pPr>
            <w:hyperlink w:anchor="report_of_independent_registered">
              <w:r>
                <w:rPr>
                  <w:rStyle w:val="InternetLink"/>
                  <w:rFonts w:ascii="Times New Roman" w:hAnsi="Times New Roman"/>
                  <w:b w:val="false"/>
                  <w:sz w:val="18"/>
                  <w:u w:val="single"/>
                </w:rPr>
                <w:t>Report of independent registered public accounting firm (PCAOB ID: 42)</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95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096" w:type="dxa"/>
            <w:tcBorders/>
            <w:shd w:fill="auto" w:val="clear"/>
            <w:vAlign w:val="center"/>
          </w:tcPr>
          <w:p>
            <w:pPr>
              <w:pStyle w:val="TableContents"/>
              <w:spacing w:lineRule="auto" w:line="252" w:before="0" w:after="0"/>
              <w:ind w:left="0" w:right="0" w:hanging="0"/>
              <w:jc w:val="left"/>
              <w:rPr/>
            </w:pPr>
            <w:hyperlink w:anchor="consolidated_balance_sheets">
              <w:r>
                <w:rPr>
                  <w:rStyle w:val="InternetLink"/>
                  <w:rFonts w:ascii="Times New Roman" w:hAnsi="Times New Roman"/>
                  <w:b w:val="false"/>
                  <w:sz w:val="18"/>
                  <w:u w:val="single"/>
                </w:rPr>
                <w:t>Consolidated balance sheets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96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096" w:type="dxa"/>
            <w:tcBorders/>
            <w:shd w:fill="auto" w:val="clear"/>
            <w:vAlign w:val="center"/>
          </w:tcPr>
          <w:p>
            <w:pPr>
              <w:pStyle w:val="TableContents"/>
              <w:spacing w:lineRule="auto" w:line="252" w:before="0" w:after="0"/>
              <w:ind w:left="0" w:right="0" w:hanging="0"/>
              <w:jc w:val="left"/>
              <w:rPr/>
            </w:pPr>
            <w:hyperlink w:anchor="consolidated_statements_of_operations">
              <w:r>
                <w:rPr>
                  <w:rStyle w:val="InternetLink"/>
                  <w:rFonts w:ascii="Times New Roman" w:hAnsi="Times New Roman"/>
                  <w:b w:val="false"/>
                  <w:sz w:val="18"/>
                  <w:u w:val="single"/>
                </w:rPr>
                <w:t>Consolidated statements of operations and comprehensive loss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97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096" w:type="dxa"/>
            <w:tcBorders/>
            <w:shd w:fill="auto" w:val="clear"/>
            <w:vAlign w:val="center"/>
          </w:tcPr>
          <w:p>
            <w:pPr>
              <w:pStyle w:val="TableContents"/>
              <w:spacing w:lineRule="auto" w:line="252" w:before="0" w:after="0"/>
              <w:ind w:left="0" w:right="0" w:hanging="0"/>
              <w:jc w:val="left"/>
              <w:rPr/>
            </w:pPr>
            <w:hyperlink w:anchor="statements_of_convertible_preferred">
              <w:r>
                <w:rPr>
                  <w:rStyle w:val="InternetLink"/>
                  <w:rFonts w:ascii="Times New Roman" w:hAnsi="Times New Roman"/>
                  <w:b w:val="false"/>
                  <w:sz w:val="18"/>
                  <w:u w:val="single"/>
                </w:rPr>
                <w:t>Consolidated statements of convertible preferred stock and stockholders’/members’ equity (deficit)</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98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096" w:type="dxa"/>
            <w:tcBorders/>
            <w:shd w:fill="auto" w:val="clear"/>
            <w:vAlign w:val="center"/>
          </w:tcPr>
          <w:p>
            <w:pPr>
              <w:pStyle w:val="TableContents"/>
              <w:spacing w:lineRule="auto" w:line="252" w:before="0" w:after="0"/>
              <w:ind w:left="0" w:right="0" w:hanging="0"/>
              <w:jc w:val="left"/>
              <w:rPr/>
            </w:pPr>
            <w:hyperlink w:anchor="consolidated_statements_of_cash_flows">
              <w:r>
                <w:rPr>
                  <w:rStyle w:val="InternetLink"/>
                  <w:rFonts w:ascii="Times New Roman" w:hAnsi="Times New Roman"/>
                  <w:b w:val="false"/>
                  <w:sz w:val="18"/>
                  <w:u w:val="single"/>
                </w:rPr>
                <w:t>Consolidated statements of cash flows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99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7096" w:type="dxa"/>
            <w:tcBorders/>
            <w:shd w:fill="auto" w:val="clear"/>
            <w:vAlign w:val="center"/>
          </w:tcPr>
          <w:p>
            <w:pPr>
              <w:pStyle w:val="TableContents"/>
              <w:spacing w:lineRule="auto" w:line="252" w:before="0" w:after="0"/>
              <w:ind w:left="0" w:right="0" w:hanging="0"/>
              <w:jc w:val="left"/>
              <w:rPr/>
            </w:pPr>
            <w:hyperlink w:anchor="notes_to_consolidated_financial">
              <w:r>
                <w:rPr>
                  <w:rStyle w:val="InternetLink"/>
                  <w:rFonts w:ascii="Times New Roman" w:hAnsi="Times New Roman"/>
                  <w:b w:val="false"/>
                  <w:sz w:val="18"/>
                  <w:u w:val="single"/>
                </w:rPr>
                <w:t>Notes to consolidated financial statements</w:t>
              </w:r>
            </w:hyperlink>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100</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center"/>
        <w:rPr>
          <w:rFonts w:ascii="Times New Roman" w:hAnsi="Times New Roman"/>
          <w:b/>
          <w:sz w:val="18"/>
        </w:rPr>
      </w:pPr>
      <w:bookmarkStart w:id="16" w:name="report_of_independent_registered"/>
      <w:bookmarkEnd w:id="16"/>
      <w:r>
        <w:rPr>
          <w:rFonts w:ascii="Times New Roman" w:hAnsi="Times New Roman"/>
          <w:b/>
          <w:sz w:val="18"/>
        </w:rPr>
        <w:t>Report of Independent Registered Public Accounting Firm</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To the Stockholders and the Board of Directors of BioAtla, Inc.</w:t>
      </w:r>
    </w:p>
    <w:p>
      <w:pPr>
        <w:pStyle w:val="TextBody"/>
        <w:spacing w:lineRule="auto" w:line="273" w:before="216" w:after="0"/>
        <w:jc w:val="left"/>
        <w:rPr>
          <w:rFonts w:ascii="Times New Roman" w:hAnsi="Times New Roman"/>
          <w:b/>
          <w:sz w:val="18"/>
        </w:rPr>
      </w:pPr>
      <w:r>
        <w:rPr>
          <w:rFonts w:ascii="Times New Roman" w:hAnsi="Times New Roman"/>
          <w:b/>
          <w:sz w:val="18"/>
        </w:rPr>
        <w:t>Opinion on the Financial Statements</w:t>
      </w:r>
    </w:p>
    <w:p>
      <w:pPr>
        <w:pStyle w:val="TextBody"/>
        <w:spacing w:lineRule="auto" w:line="273" w:before="108" w:after="0"/>
        <w:jc w:val="left"/>
        <w:rPr>
          <w:rFonts w:ascii="Times New Roman" w:hAnsi="Times New Roman"/>
          <w:sz w:val="20"/>
        </w:rPr>
      </w:pPr>
      <w:r>
        <w:rPr>
          <w:rFonts w:ascii="Times New Roman" w:hAnsi="Times New Roman"/>
          <w:b w:val="false"/>
          <w:sz w:val="18"/>
        </w:rPr>
        <w:t>We have audited the accompanying consolidated balance sheets of BioAtla, Inc. (the Company) as of December 31, 2021 and 2020, the related consolidated statements of operations and comprehensive loss, convertible preferred stock and stockholders’/members’ equity (deficit) and cash flows for each of the three years in the period ended December 31, 2021, and the related notes</w:t>
      </w:r>
      <w:r>
        <w:rPr>
          <w:rFonts w:ascii="Times New Roman" w:hAnsi="Times New Roman"/>
          <w:sz w:val="20"/>
        </w:rPr>
        <w:t xml:space="preserve"> </w:t>
      </w:r>
      <w:r>
        <w:rPr>
          <w:rFonts w:ascii="Times New Roman" w:hAnsi="Times New Roman"/>
          <w:b w:val="false"/>
          <w:sz w:val="18"/>
        </w:rPr>
        <w:t>(collectively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pStyle w:val="TextBody"/>
        <w:spacing w:lineRule="auto" w:line="273" w:before="108" w:after="0"/>
        <w:jc w:val="left"/>
        <w:rPr>
          <w:rFonts w:ascii="Times New Roman" w:hAnsi="Times New Roman"/>
          <w:sz w:val="20"/>
        </w:rPr>
      </w:pPr>
      <w:r>
        <w:rPr>
          <w:rFonts w:ascii="Times New Roman" w:hAnsi="Times New Roman"/>
          <w:b w:val="false"/>
          <w:sz w:val="18"/>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w:t>
      </w:r>
      <w:r>
        <w:rPr>
          <w:rFonts w:ascii="Times New Roman" w:hAnsi="Times New Roman"/>
          <w:sz w:val="20"/>
        </w:rPr>
        <w:t xml:space="preserve"> </w:t>
      </w:r>
      <w:r>
        <w:rPr>
          <w:rFonts w:ascii="Times New Roman" w:hAnsi="Times New Roman"/>
          <w:b w:val="false"/>
          <w:sz w:val="18"/>
        </w:rPr>
        <w:t>(2013 framework) and our report dated February 28, 2022 expressed an unqualified opinion thereon.</w:t>
      </w:r>
    </w:p>
    <w:p>
      <w:pPr>
        <w:pStyle w:val="TextBody"/>
        <w:spacing w:lineRule="auto" w:line="273" w:before="216" w:after="0"/>
        <w:jc w:val="left"/>
        <w:rPr>
          <w:rFonts w:ascii="Times New Roman" w:hAnsi="Times New Roman"/>
          <w:b/>
          <w:sz w:val="18"/>
        </w:rPr>
      </w:pPr>
      <w:r>
        <w:rPr>
          <w:rFonts w:ascii="Times New Roman" w:hAnsi="Times New Roman"/>
          <w:b/>
          <w:sz w:val="18"/>
        </w:rPr>
        <w:t>Basis for Opinion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73" w:before="216" w:after="0"/>
        <w:jc w:val="left"/>
        <w:rPr>
          <w:rFonts w:ascii="Times New Roman" w:hAnsi="Times New Roman"/>
          <w:sz w:val="20"/>
        </w:rPr>
      </w:pPr>
      <w:r>
        <w:rPr>
          <w:rFonts w:ascii="Times New Roman" w:hAnsi="Times New Roman"/>
          <w:b/>
          <w:sz w:val="18"/>
        </w:rPr>
        <w:t>Critical Audit Matter</w:t>
      </w:r>
      <w:r>
        <w:rPr>
          <w:rFonts w:ascii="Times New Roman" w:hAnsi="Times New Roman"/>
          <w:sz w:val="20"/>
        </w:rPr>
        <w:t xml:space="preserve"> </w:t>
      </w:r>
    </w:p>
    <w:p>
      <w:pPr>
        <w:pStyle w:val="TextBody"/>
        <w:spacing w:lineRule="auto" w:line="273" w:before="108" w:after="0"/>
        <w:jc w:val="both"/>
        <w:rPr>
          <w:rFonts w:ascii="Times New Roman" w:hAnsi="Times New Roman"/>
          <w:b w:val="false"/>
          <w:sz w:val="18"/>
        </w:rPr>
      </w:pPr>
      <w:r>
        <w:rPr>
          <w:rFonts w:ascii="Times New Roman" w:hAnsi="Times New Roman"/>
          <w:b w:val="false"/>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73" w:before="0" w:after="0"/>
        <w:jc w:val="both"/>
        <w:rPr/>
      </w:pPr>
      <w:r>
        <w:rPr/>
        <w:t> </w:t>
      </w:r>
    </w:p>
    <w:tbl>
      <w:tblPr>
        <w:tblW w:w="10205" w:type="dxa"/>
        <w:jc w:val="left"/>
        <w:tblInd w:w="0" w:type="dxa"/>
        <w:tblCellMar>
          <w:top w:w="28" w:type="dxa"/>
          <w:left w:w="28" w:type="dxa"/>
          <w:bottom w:w="28" w:type="dxa"/>
          <w:right w:w="28" w:type="dxa"/>
        </w:tblCellMar>
      </w:tblPr>
      <w:tblGrid>
        <w:gridCol w:w="1256"/>
        <w:gridCol w:w="146"/>
        <w:gridCol w:w="8803"/>
      </w:tblGrid>
      <w:tr>
        <w:trPr/>
        <w:tc>
          <w:tcPr>
            <w:tcW w:w="1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03" w:type="dxa"/>
            <w:tcBorders/>
            <w:shd w:fill="auto" w:val="clear"/>
            <w:vAlign w:val="center"/>
          </w:tcPr>
          <w:p>
            <w:pPr>
              <w:pStyle w:val="TableContents"/>
              <w:spacing w:before="0" w:after="283"/>
              <w:rPr>
                <w:sz w:val="4"/>
                <w:szCs w:val="4"/>
              </w:rPr>
            </w:pPr>
            <w:r>
              <w:rPr>
                <w:sz w:val="4"/>
                <w:szCs w:val="4"/>
              </w:rPr>
            </w:r>
          </w:p>
        </w:tc>
      </w:tr>
      <w:tr>
        <w:trPr/>
        <w:tc>
          <w:tcPr>
            <w:tcW w:w="12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03" w:type="dxa"/>
            <w:tcBorders/>
            <w:shd w:fill="auto" w:val="clear"/>
            <w:vAlign w:val="center"/>
          </w:tcPr>
          <w:p>
            <w:pPr>
              <w:pStyle w:val="TableContents"/>
              <w:spacing w:lineRule="auto" w:line="252" w:before="0" w:after="0"/>
              <w:ind w:left="0" w:right="0" w:hanging="0"/>
              <w:jc w:val="left"/>
              <w:rPr>
                <w:rFonts w:ascii="Times New Roman" w:hAnsi="Times New Roman"/>
                <w:b/>
                <w:i/>
                <w:sz w:val="18"/>
              </w:rPr>
            </w:pPr>
            <w:r>
              <w:rPr>
                <w:rFonts w:ascii="Times New Roman" w:hAnsi="Times New Roman"/>
                <w:b/>
                <w:i/>
                <w:sz w:val="18"/>
              </w:rPr>
              <w:t>Accrual of Clinical Trial Expenses</w:t>
            </w:r>
          </w:p>
        </w:tc>
      </w:tr>
      <w:tr>
        <w:trPr/>
        <w:tc>
          <w:tcPr>
            <w:tcW w:w="1256" w:type="dxa"/>
            <w:tcBorders/>
            <w:shd w:fill="auto" w:val="clear"/>
            <w:vAlign w:val="center"/>
          </w:tcPr>
          <w:p>
            <w:pPr>
              <w:pStyle w:val="TableContents"/>
              <w:spacing w:lineRule="auto" w:line="252" w:before="16" w:after="0"/>
              <w:ind w:left="0" w:right="0" w:hanging="0"/>
              <w:jc w:val="left"/>
              <w:rPr/>
            </w:pPr>
            <w:r>
              <w:rPr/>
              <w:t> </w:t>
            </w:r>
          </w:p>
        </w:tc>
        <w:tc>
          <w:tcPr>
            <w:tcW w:w="146" w:type="dxa"/>
            <w:tcBorders/>
            <w:shd w:fill="auto" w:val="clear"/>
            <w:vAlign w:val="center"/>
          </w:tcPr>
          <w:p>
            <w:pPr>
              <w:pStyle w:val="TableContents"/>
              <w:spacing w:lineRule="auto" w:line="252" w:before="16" w:after="0"/>
              <w:ind w:left="0" w:right="0" w:hanging="0"/>
              <w:jc w:val="left"/>
              <w:rPr/>
            </w:pPr>
            <w:r>
              <w:rPr/>
              <w:t> </w:t>
            </w:r>
          </w:p>
        </w:tc>
        <w:tc>
          <w:tcPr>
            <w:tcW w:w="8803" w:type="dxa"/>
            <w:tcBorders/>
            <w:shd w:fill="auto" w:val="clear"/>
            <w:vAlign w:val="center"/>
          </w:tcPr>
          <w:p>
            <w:pPr>
              <w:pStyle w:val="TableContents"/>
              <w:spacing w:lineRule="auto" w:line="252" w:before="16" w:after="0"/>
              <w:ind w:left="0" w:right="0" w:hanging="0"/>
              <w:jc w:val="left"/>
              <w:rPr/>
            </w:pPr>
            <w:r>
              <w:rPr/>
              <w:t> </w:t>
            </w:r>
          </w:p>
        </w:tc>
      </w:tr>
      <w:tr>
        <w:trPr/>
        <w:tc>
          <w:tcPr>
            <w:tcW w:w="125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8"/>
              </w:rPr>
            </w:pPr>
            <w:r>
              <w:rPr>
                <w:rFonts w:ascii="Times New Roman" w:hAnsi="Times New Roman"/>
                <w:b w:val="false"/>
                <w:i/>
                <w:sz w:val="18"/>
              </w:rPr>
              <w:t>Description of the Matter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03" w:type="dxa"/>
            <w:tcBorders/>
            <w:shd w:fill="auto" w:val="clear"/>
            <w:vAlign w:val="center"/>
          </w:tcPr>
          <w:p>
            <w:pPr>
              <w:pStyle w:val="TableContents"/>
              <w:spacing w:lineRule="auto" w:line="252" w:before="0" w:after="0"/>
              <w:ind w:left="0" w:right="0" w:hanging="0"/>
              <w:jc w:val="both"/>
              <w:rPr>
                <w:rFonts w:ascii="Times New Roman" w:hAnsi="Times New Roman"/>
                <w:b w:val="false"/>
                <w:sz w:val="18"/>
              </w:rPr>
            </w:pPr>
            <w:r>
              <w:rPr>
                <w:rFonts w:ascii="Times New Roman" w:hAnsi="Times New Roman"/>
                <w:b w:val="false"/>
                <w:sz w:val="18"/>
              </w:rPr>
              <w:t>During 2021, the Company incurred $58.3 million for research and development expenses and as of December 31, 2021 accrued $6.2 million for clinical trial costs. A substantial portion of the Company’s ongoing research and development activities are conducted by third-party service providers, including clinical research organizations (“CROs”). External costs to be paid to CROs are accrued and expensed based upon actual work completed in accordance with signed agreements.</w:t>
            </w:r>
          </w:p>
          <w:p>
            <w:pPr>
              <w:pStyle w:val="TableContents"/>
              <w:spacing w:lineRule="auto" w:line="252" w:before="108" w:after="0"/>
              <w:ind w:left="0" w:right="0" w:hanging="0"/>
              <w:jc w:val="both"/>
              <w:rPr>
                <w:rFonts w:ascii="Times New Roman" w:hAnsi="Times New Roman"/>
                <w:sz w:val="18"/>
              </w:rPr>
            </w:pPr>
            <w:r>
              <w:rPr>
                <w:rFonts w:ascii="Times New Roman" w:hAnsi="Times New Roman"/>
                <w:b w:val="false"/>
                <w:sz w:val="18"/>
              </w:rPr>
              <w:t>Auditing management’s accounting for accrued clinical trial costs is especially challenging because the evaluation is dependent upon a high-volume of data and input exchanged between clinical personnel and third-party service providers, such as the total trial management costs, number of sites activated, the number of patients enrolled, and the number of patient visits, which is tracked in spreadsheets and other end user computing programs.</w:t>
            </w:r>
            <w:r>
              <w:rPr>
                <w:rFonts w:ascii="Times New Roman" w:hAnsi="Times New Roman"/>
                <w:sz w:val="18"/>
              </w:rPr>
              <w:t xml:space="preserve"> </w:t>
            </w:r>
          </w:p>
        </w:tc>
      </w:tr>
      <w:tr>
        <w:trPr/>
        <w:tc>
          <w:tcPr>
            <w:tcW w:w="1256" w:type="dxa"/>
            <w:tcBorders/>
            <w:shd w:fill="auto" w:val="clear"/>
            <w:vAlign w:val="center"/>
          </w:tcPr>
          <w:p>
            <w:pPr>
              <w:pStyle w:val="TableContents"/>
              <w:spacing w:lineRule="auto" w:line="252" w:before="16" w:after="0"/>
              <w:ind w:left="0" w:right="0" w:hanging="0"/>
              <w:jc w:val="left"/>
              <w:rPr/>
            </w:pPr>
            <w:r>
              <w:rPr/>
              <w:t> </w:t>
            </w:r>
          </w:p>
        </w:tc>
        <w:tc>
          <w:tcPr>
            <w:tcW w:w="146" w:type="dxa"/>
            <w:tcBorders/>
            <w:shd w:fill="auto" w:val="clear"/>
            <w:vAlign w:val="center"/>
          </w:tcPr>
          <w:p>
            <w:pPr>
              <w:pStyle w:val="TableContents"/>
              <w:spacing w:lineRule="auto" w:line="252" w:before="16" w:after="0"/>
              <w:ind w:left="0" w:right="0" w:hanging="0"/>
              <w:jc w:val="left"/>
              <w:rPr/>
            </w:pPr>
            <w:r>
              <w:rPr/>
              <w:t> </w:t>
            </w:r>
          </w:p>
        </w:tc>
        <w:tc>
          <w:tcPr>
            <w:tcW w:w="8803" w:type="dxa"/>
            <w:tcBorders/>
            <w:shd w:fill="auto" w:val="clear"/>
            <w:vAlign w:val="center"/>
          </w:tcPr>
          <w:p>
            <w:pPr>
              <w:pStyle w:val="TableContents"/>
              <w:spacing w:lineRule="auto" w:line="252" w:before="16" w:after="0"/>
              <w:ind w:left="0" w:right="0" w:hanging="0"/>
              <w:jc w:val="both"/>
              <w:rPr/>
            </w:pPr>
            <w:r>
              <w:rPr/>
              <w:t> </w:t>
            </w:r>
          </w:p>
        </w:tc>
      </w:tr>
      <w:tr>
        <w:trPr/>
        <w:tc>
          <w:tcPr>
            <w:tcW w:w="1256" w:type="dxa"/>
            <w:tcBorders/>
            <w:shd w:fill="auto" w:val="clear"/>
            <w:vAlign w:val="center"/>
          </w:tcPr>
          <w:p>
            <w:pPr>
              <w:pStyle w:val="TableContents"/>
              <w:spacing w:lineRule="auto" w:line="252" w:before="0" w:after="0"/>
              <w:ind w:left="0" w:right="0" w:hanging="0"/>
              <w:jc w:val="left"/>
              <w:rPr>
                <w:rFonts w:ascii="Times New Roman" w:hAnsi="Times New Roman"/>
                <w:b w:val="false"/>
                <w:i/>
                <w:sz w:val="18"/>
              </w:rPr>
            </w:pPr>
            <w:r>
              <w:rPr>
                <w:rFonts w:ascii="Times New Roman" w:hAnsi="Times New Roman"/>
                <w:b w:val="false"/>
                <w:i/>
                <w:sz w:val="18"/>
              </w:rPr>
              <w:t>How We Addressed the Matter in Our Audit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03" w:type="dxa"/>
            <w:tcBorders/>
            <w:shd w:fill="auto" w:val="clear"/>
            <w:vAlign w:val="center"/>
          </w:tcPr>
          <w:p>
            <w:pPr>
              <w:pStyle w:val="TableContents"/>
              <w:spacing w:lineRule="auto" w:line="252" w:before="0" w:after="0"/>
              <w:ind w:left="0" w:right="0" w:hanging="0"/>
              <w:jc w:val="both"/>
              <w:rPr>
                <w:rFonts w:ascii="Times New Roman" w:hAnsi="Times New Roman"/>
                <w:b w:val="false"/>
                <w:sz w:val="18"/>
              </w:rPr>
            </w:pPr>
            <w:r>
              <w:rPr>
                <w:rFonts w:ascii="Times New Roman" w:hAnsi="Times New Roman"/>
                <w:b w:val="false"/>
                <w:sz w:val="18"/>
              </w:rPr>
              <w:t>We obtained an understanding, evaluated the design and tested the operating effectiveness of controls over the accounting for accrued clinical trial expenses. For example, we tested controls over management’s assessment and measurement of estimated accrued clinical trial costs, including patient enrollment and total costs billed but unpaid as of year end.</w:t>
            </w:r>
          </w:p>
          <w:p>
            <w:pPr>
              <w:pStyle w:val="TableContents"/>
              <w:spacing w:lineRule="auto" w:line="252" w:before="108" w:after="0"/>
              <w:ind w:left="0" w:right="0" w:hanging="0"/>
              <w:jc w:val="both"/>
              <w:rPr>
                <w:rFonts w:ascii="Times New Roman" w:hAnsi="Times New Roman"/>
                <w:b w:val="false"/>
                <w:sz w:val="18"/>
              </w:rPr>
            </w:pPr>
            <w:r>
              <w:rPr>
                <w:rFonts w:ascii="Times New Roman" w:hAnsi="Times New Roman"/>
                <w:b w:val="false"/>
                <w:sz w:val="18"/>
              </w:rPr>
              <w:t>To test the completeness of the Company’s accrued clinical trial expenses, we obtained from third-parties confirmation of the number of patients enrolled and costs billed but unpaid as of year end for significant clinical trials. We obtained an understanding of the status of significant clinical trial activities from accounting personnel and the clinical project managers to understand the status of significant clinical trial activities. To assess the appropriate measurement of accrued clinical trial expenses, we inspected key terms, timelines of completion, activities and costs for a sample of vendor contracts, including amendments, and compared these to management’s analyses used in tracking the progress of service agreements. We also tested a sample of subsequent payments by agreeing the amount of the payment to the invoice and to the amount accrued.</w:t>
            </w:r>
          </w:p>
        </w:tc>
      </w:tr>
    </w:tbl>
    <w:p>
      <w:pPr>
        <w:pStyle w:val="TextBody"/>
        <w:spacing w:lineRule="auto" w:line="273" w:before="220" w:after="0"/>
        <w:jc w:val="left"/>
        <w:rPr>
          <w:rFonts w:ascii="Times New Roman" w:hAnsi="Times New Roman"/>
          <w:b w:val="false"/>
          <w:sz w:val="18"/>
        </w:rPr>
      </w:pPr>
      <w:r>
        <w:rPr>
          <w:rFonts w:ascii="Times New Roman" w:hAnsi="Times New Roman"/>
          <w:b w:val="false"/>
          <w:sz w:val="18"/>
        </w:rPr>
        <w:t>/s/ Ernst &amp; Young LLP</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We have served as the Company’s auditor since 2016.</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San Diego, California</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February 28, 2022</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center"/>
        <w:rPr>
          <w:rFonts w:ascii="Times New Roman" w:hAnsi="Times New Roman"/>
          <w:b/>
          <w:sz w:val="18"/>
        </w:rPr>
      </w:pPr>
      <w:r>
        <w:rPr>
          <w:rFonts w:ascii="Times New Roman" w:hAnsi="Times New Roman"/>
          <w:b/>
          <w:sz w:val="18"/>
        </w:rPr>
        <w:t>BioAtla, Inc.</w:t>
      </w:r>
    </w:p>
    <w:p>
      <w:pPr>
        <w:pStyle w:val="TextBody"/>
        <w:spacing w:lineRule="auto" w:line="273" w:before="0" w:after="0"/>
        <w:jc w:val="center"/>
        <w:rPr>
          <w:rFonts w:ascii="Times New Roman" w:hAnsi="Times New Roman"/>
          <w:b/>
          <w:sz w:val="18"/>
        </w:rPr>
      </w:pPr>
      <w:bookmarkStart w:id="17" w:name="consolidated_balance_sheets"/>
      <w:bookmarkEnd w:id="17"/>
      <w:r>
        <w:rPr>
          <w:rFonts w:ascii="Times New Roman" w:hAnsi="Times New Roman"/>
          <w:b/>
          <w:sz w:val="18"/>
        </w:rPr>
        <w:t>Consolidated balance sheets</w:t>
      </w:r>
    </w:p>
    <w:p>
      <w:pPr>
        <w:pStyle w:val="TextBody"/>
        <w:spacing w:lineRule="auto" w:line="273" w:before="0" w:after="0"/>
        <w:jc w:val="center"/>
        <w:rPr>
          <w:rFonts w:ascii="Times New Roman" w:hAnsi="Times New Roman"/>
          <w:b/>
          <w:sz w:val="18"/>
        </w:rPr>
      </w:pPr>
      <w:r>
        <w:rPr>
          <w:rFonts w:ascii="Times New Roman" w:hAnsi="Times New Roman"/>
          <w:b/>
          <w:sz w:val="18"/>
        </w:rPr>
        <w:t>(in thousands, except share/unit amounts)</w:t>
      </w:r>
    </w:p>
    <w:p>
      <w:pPr>
        <w:pStyle w:val="TextBody"/>
        <w:spacing w:lineRule="auto" w:line="273" w:before="0" w:after="0"/>
        <w:jc w:val="left"/>
        <w:rPr/>
      </w:pPr>
      <w:r>
        <w:rPr/>
        <w:t> </w:t>
      </w:r>
    </w:p>
    <w:tbl>
      <w:tblPr>
        <w:tblW w:w="8879" w:type="dxa"/>
        <w:jc w:val="left"/>
        <w:tblInd w:w="0" w:type="dxa"/>
        <w:tblCellMar>
          <w:top w:w="28" w:type="dxa"/>
          <w:left w:w="28" w:type="dxa"/>
          <w:bottom w:w="28" w:type="dxa"/>
          <w:right w:w="28" w:type="dxa"/>
        </w:tblCellMar>
      </w:tblPr>
      <w:tblGrid>
        <w:gridCol w:w="6196"/>
        <w:gridCol w:w="146"/>
        <w:gridCol w:w="196"/>
        <w:gridCol w:w="751"/>
        <w:gridCol w:w="166"/>
        <w:gridCol w:w="146"/>
        <w:gridCol w:w="196"/>
        <w:gridCol w:w="691"/>
        <w:gridCol w:w="391"/>
      </w:tblGrid>
      <w:tr>
        <w:trPr/>
        <w:tc>
          <w:tcPr>
            <w:tcW w:w="6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244,979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238,605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2,313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2,076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247,292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240,681</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4,102</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right-of-use-asset,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254,422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244,937</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Accounts payable and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18,424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12,068</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Current portion of deferred 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387</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Current portion of 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19,806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19,813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32,261</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Long-term accrued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Deferred rent, less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2,015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liabilities, less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3,982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Liability to licensor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19,806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43,601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34,963</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Commitments and contingencies (Note 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8"/>
              </w:rPr>
              <w:t>Preferred stock, $0.0001</w:t>
            </w:r>
            <w:r>
              <w:rPr>
                <w:rFonts w:ascii="Times New Roman" w:hAnsi="Times New Roman"/>
                <w:sz w:val="20"/>
              </w:rPr>
              <w:t> </w:t>
            </w:r>
            <w:r>
              <w:rPr>
                <w:rFonts w:ascii="Times New Roman" w:hAnsi="Times New Roman"/>
                <w:b w:val="false"/>
                <w:sz w:val="18"/>
              </w:rPr>
              <w:t>par value; 200,000,000</w:t>
            </w:r>
            <w:r>
              <w:rPr>
                <w:rFonts w:ascii="Times New Roman" w:hAnsi="Times New Roman"/>
                <w:sz w:val="20"/>
              </w:rPr>
              <w:t> </w:t>
            </w:r>
            <w:r>
              <w:rPr>
                <w:rFonts w:ascii="Times New Roman" w:hAnsi="Times New Roman"/>
                <w:b w:val="false"/>
                <w:sz w:val="18"/>
              </w:rPr>
              <w:t>shares authorized at December 31,</w:t>
              <w:br/>
              <w:t>   2021 and 2020; 0</w:t>
            </w:r>
            <w:r>
              <w:rPr>
                <w:rFonts w:ascii="Times New Roman" w:hAnsi="Times New Roman"/>
                <w:sz w:val="20"/>
              </w:rPr>
              <w:t> </w:t>
            </w:r>
            <w:r>
              <w:rPr>
                <w:rFonts w:ascii="Times New Roman" w:hAnsi="Times New Roman"/>
                <w:b w:val="false"/>
                <w:sz w:val="18"/>
              </w:rPr>
              <w:t>shares issued and outstanding at December 31, 2021 and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8"/>
              </w:rPr>
              <w:t>Common stock, $0.0001</w:t>
            </w:r>
            <w:r>
              <w:rPr>
                <w:rFonts w:ascii="Times New Roman" w:hAnsi="Times New Roman"/>
                <w:sz w:val="20"/>
              </w:rPr>
              <w:t> </w:t>
            </w:r>
            <w:r>
              <w:rPr>
                <w:rFonts w:ascii="Times New Roman" w:hAnsi="Times New Roman"/>
                <w:b w:val="false"/>
                <w:sz w:val="18"/>
              </w:rPr>
              <w:t>par value; 350,000,000</w:t>
            </w:r>
            <w:r>
              <w:rPr>
                <w:rFonts w:ascii="Times New Roman" w:hAnsi="Times New Roman"/>
                <w:sz w:val="20"/>
              </w:rPr>
              <w:t> </w:t>
            </w:r>
            <w:r>
              <w:rPr>
                <w:rFonts w:ascii="Times New Roman" w:hAnsi="Times New Roman"/>
                <w:b w:val="false"/>
                <w:sz w:val="18"/>
              </w:rPr>
              <w:t>authorized at December 31,</w:t>
              <w:br/>
              <w:t>   2021 and 2020; 35,799,233</w:t>
            </w:r>
            <w:r>
              <w:rPr>
                <w:rFonts w:ascii="Times New Roman" w:hAnsi="Times New Roman"/>
                <w:sz w:val="20"/>
              </w:rPr>
              <w:t> </w:t>
            </w:r>
            <w:r>
              <w:rPr>
                <w:rFonts w:ascii="Times New Roman" w:hAnsi="Times New Roman"/>
                <w:b w:val="false"/>
                <w:sz w:val="18"/>
              </w:rPr>
              <w:t>shares and 32,171,560</w:t>
            </w:r>
            <w:r>
              <w:rPr>
                <w:rFonts w:ascii="Times New Roman" w:hAnsi="Times New Roman"/>
                <w:sz w:val="20"/>
              </w:rPr>
              <w:t> </w:t>
            </w:r>
            <w:r>
              <w:rPr>
                <w:rFonts w:ascii="Times New Roman" w:hAnsi="Times New Roman"/>
                <w:b w:val="false"/>
                <w:sz w:val="18"/>
              </w:rPr>
              <w:t>shares issued and outstanding at</w:t>
              <w:br/>
              <w:t>   December 31, 2021 and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8"/>
              </w:rPr>
              <w:t>Class B common stock, $0.0001</w:t>
            </w:r>
            <w:r>
              <w:rPr>
                <w:rFonts w:ascii="Times New Roman" w:hAnsi="Times New Roman"/>
                <w:sz w:val="20"/>
              </w:rPr>
              <w:t> </w:t>
            </w:r>
            <w:r>
              <w:rPr>
                <w:rFonts w:ascii="Times New Roman" w:hAnsi="Times New Roman"/>
                <w:b w:val="false"/>
                <w:sz w:val="18"/>
              </w:rPr>
              <w:t>par value; 15,368,569</w:t>
            </w:r>
            <w:r>
              <w:rPr>
                <w:rFonts w:ascii="Times New Roman" w:hAnsi="Times New Roman"/>
                <w:sz w:val="20"/>
              </w:rPr>
              <w:t> </w:t>
            </w:r>
            <w:r>
              <w:rPr>
                <w:rFonts w:ascii="Times New Roman" w:hAnsi="Times New Roman"/>
                <w:b w:val="false"/>
                <w:sz w:val="18"/>
              </w:rPr>
              <w:t>shares authorized at</w:t>
              <w:br/>
              <w:t>   December 31, 2021 and 2020; 1,492,059</w:t>
            </w:r>
            <w:r>
              <w:rPr>
                <w:rFonts w:ascii="Times New Roman" w:hAnsi="Times New Roman"/>
                <w:sz w:val="20"/>
              </w:rPr>
              <w:t> </w:t>
            </w:r>
            <w:r>
              <w:rPr>
                <w:rFonts w:ascii="Times New Roman" w:hAnsi="Times New Roman"/>
                <w:b w:val="false"/>
                <w:sz w:val="18"/>
              </w:rPr>
              <w:t>shares issued and</w:t>
              <w:br/>
              <w:t>   outstanding at December 31, 2021 and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397,136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300,888</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61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(186,319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(90,917</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210,821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209,974</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254,422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244,937</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i/>
          <w:sz w:val="18"/>
        </w:rPr>
      </w:pPr>
      <w:r>
        <w:rPr>
          <w:rFonts w:ascii="Times New Roman" w:hAnsi="Times New Roman"/>
          <w:b w:val="false"/>
          <w:i/>
          <w:sz w:val="18"/>
        </w:rPr>
        <w:t>See accompanying notes.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center"/>
        <w:rPr>
          <w:rFonts w:ascii="Times New Roman" w:hAnsi="Times New Roman"/>
          <w:b/>
          <w:sz w:val="18"/>
        </w:rPr>
      </w:pPr>
      <w:r>
        <w:rPr>
          <w:rFonts w:ascii="Times New Roman" w:hAnsi="Times New Roman"/>
          <w:b/>
          <w:sz w:val="18"/>
        </w:rPr>
        <w:t>BioAtla, Inc.</w:t>
      </w:r>
    </w:p>
    <w:p>
      <w:pPr>
        <w:pStyle w:val="TextBody"/>
        <w:spacing w:lineRule="auto" w:line="273" w:before="0" w:after="0"/>
        <w:jc w:val="center"/>
        <w:rPr>
          <w:rFonts w:ascii="Times New Roman" w:hAnsi="Times New Roman"/>
          <w:b/>
          <w:sz w:val="18"/>
        </w:rPr>
      </w:pPr>
      <w:bookmarkStart w:id="18" w:name="consolidated_statements_of_operations"/>
      <w:bookmarkEnd w:id="18"/>
      <w:r>
        <w:rPr>
          <w:rFonts w:ascii="Times New Roman" w:hAnsi="Times New Roman"/>
          <w:b/>
          <w:sz w:val="18"/>
        </w:rPr>
        <w:t>Consolidated statements of operations and comprehensive loss</w:t>
      </w:r>
    </w:p>
    <w:p>
      <w:pPr>
        <w:pStyle w:val="TextBody"/>
        <w:spacing w:lineRule="auto" w:line="273" w:before="0" w:after="0"/>
        <w:jc w:val="center"/>
        <w:rPr>
          <w:rFonts w:ascii="Times New Roman" w:hAnsi="Times New Roman"/>
          <w:b/>
          <w:sz w:val="18"/>
        </w:rPr>
      </w:pPr>
      <w:r>
        <w:rPr>
          <w:rFonts w:ascii="Times New Roman" w:hAnsi="Times New Roman"/>
          <w:b/>
          <w:sz w:val="18"/>
        </w:rPr>
        <w:t>(in thousands, except share/unit and per share/unit amounts)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5778"/>
        <w:gridCol w:w="146"/>
        <w:gridCol w:w="196"/>
        <w:gridCol w:w="916"/>
        <w:gridCol w:w="166"/>
        <w:gridCol w:w="146"/>
        <w:gridCol w:w="196"/>
        <w:gridCol w:w="826"/>
        <w:gridCol w:w="166"/>
        <w:gridCol w:w="146"/>
        <w:gridCol w:w="196"/>
        <w:gridCol w:w="916"/>
        <w:gridCol w:w="411"/>
      </w:tblGrid>
      <w:tr>
        <w:trPr/>
        <w:tc>
          <w:tcPr>
            <w:tcW w:w="57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778"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70"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5778"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Collaboration and other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5,200</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577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Research and development expense (includes related party amounts of $0, $0, and $1,885,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58,274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19,933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25,919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77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General and administrative expense (includes related party amounts of $0, $0, and $15,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38,416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10,595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7,549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96,690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30,528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33,468</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(96,440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(30,099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(28,268</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577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Interest income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128</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778"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18"/>
              </w:rPr>
              <w:t>Interest expense (includes related party amounts of $0, $147</w:t>
            </w:r>
            <w:r>
              <w:rPr>
                <w:rFonts w:ascii="Times New Roman" w:hAnsi="Times New Roman"/>
                <w:sz w:val="20"/>
              </w:rPr>
              <w:t> </w:t>
            </w:r>
            <w:r>
              <w:rPr>
                <w:rFonts w:ascii="Times New Roman" w:hAnsi="Times New Roman"/>
                <w:b w:val="false"/>
                <w:sz w:val="18"/>
              </w:rPr>
              <w:t>and $52,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(1,630</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 in fair value of derivative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Gain (loss) on extinguishment of long-term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(2,883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5778"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1,038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(5,754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Consolidated net loss and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(95,402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(35,853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(29,855</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attributable to noncontrolling interests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attributable to BioAtla, Inc./BioAtla LLC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(95,402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(35,853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(29,794</w:t>
            </w:r>
          </w:p>
        </w:tc>
        <w:tc>
          <w:tcPr>
            <w:tcW w:w="4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allocable to Class C preferred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9,089</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Class C preferred return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(8,026</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attributable to Class A unit holders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(28,731</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per unit attributable to Class A unit holders,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(0.53</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Weighted-average Class A units outstanding,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54,600,000</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per common share, basic and diluted (1)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hanging="0"/>
              <w:jc w:val="right"/>
              <w:rPr/>
            </w:pPr>
            <w:r>
              <w:rPr/>
              <w:t> </w:t>
            </w:r>
          </w:p>
        </w:tc>
      </w:tr>
      <w:tr>
        <w:trPr/>
        <w:tc>
          <w:tcPr>
            <w:tcW w:w="57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Weighted-average shares of common stock outstanding, basic and diluted (1)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34,561,245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8,428,153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12"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100"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100" w:after="283"/>
        <w:jc w:val="left"/>
        <w:rPr>
          <w:rFonts w:ascii="Times New Roman" w:hAnsi="Times New Roman"/>
          <w:b w:val="false"/>
          <w:sz w:val="18"/>
        </w:rPr>
      </w:pPr>
      <w:r>
        <w:rPr>
          <w:rFonts w:ascii="Times New Roman" w:hAnsi="Times New Roman"/>
          <w:b w:val="false"/>
          <w:sz w:val="18"/>
        </w:rPr>
        <w:t>The net loss attributable to common stockholders and related per share amounts for the year ended December 31, 2020 are based on the period from July 10, 2020 to December 31, 2020, the period where the Company had outstanding common stock (see Note 1).</w:t>
      </w:r>
    </w:p>
    <w:p>
      <w:pPr>
        <w:pStyle w:val="TextBody"/>
        <w:spacing w:lineRule="auto" w:line="273" w:before="216" w:after="0"/>
        <w:jc w:val="center"/>
        <w:rPr>
          <w:rFonts w:ascii="Times New Roman" w:hAnsi="Times New Roman"/>
          <w:b w:val="false"/>
          <w:i/>
          <w:sz w:val="18"/>
        </w:rPr>
      </w:pPr>
      <w:r>
        <w:rPr>
          <w:rFonts w:ascii="Times New Roman" w:hAnsi="Times New Roman"/>
          <w:b w:val="false"/>
          <w:i/>
          <w:sz w:val="18"/>
        </w:rPr>
        <w:t>See accompanying notes.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center"/>
        <w:rPr>
          <w:rFonts w:ascii="Times New Roman" w:hAnsi="Times New Roman"/>
          <w:b/>
          <w:sz w:val="18"/>
        </w:rPr>
      </w:pPr>
      <w:r>
        <w:rPr>
          <w:rFonts w:ascii="Times New Roman" w:hAnsi="Times New Roman"/>
          <w:b/>
          <w:sz w:val="18"/>
        </w:rPr>
        <w:t>BioAtla, Inc.</w:t>
      </w:r>
    </w:p>
    <w:p>
      <w:pPr>
        <w:pStyle w:val="TextBody"/>
        <w:spacing w:lineRule="auto" w:line="273" w:before="0" w:after="0"/>
        <w:jc w:val="center"/>
        <w:rPr>
          <w:rFonts w:ascii="Times New Roman" w:hAnsi="Times New Roman"/>
          <w:b/>
          <w:sz w:val="18"/>
        </w:rPr>
      </w:pPr>
      <w:bookmarkStart w:id="19" w:name="statements_of_convertible_preferred"/>
      <w:bookmarkEnd w:id="19"/>
      <w:r>
        <w:rPr>
          <w:rFonts w:ascii="Times New Roman" w:hAnsi="Times New Roman"/>
          <w:b/>
          <w:sz w:val="18"/>
        </w:rPr>
        <w:t>Consolidated statements of convertible preferred stock and stockholders’/members’ equity (deficit)</w:t>
      </w:r>
    </w:p>
    <w:p>
      <w:pPr>
        <w:pStyle w:val="TextBody"/>
        <w:spacing w:lineRule="auto" w:line="273" w:before="0" w:after="0"/>
        <w:jc w:val="center"/>
        <w:rPr>
          <w:rFonts w:ascii="Times New Roman" w:hAnsi="Times New Roman"/>
          <w:b/>
          <w:sz w:val="18"/>
        </w:rPr>
      </w:pPr>
      <w:r>
        <w:rPr>
          <w:rFonts w:ascii="Times New Roman" w:hAnsi="Times New Roman"/>
          <w:b/>
          <w:sz w:val="18"/>
        </w:rPr>
        <w:t>(in thousands, except share/unit amounts)</w:t>
      </w:r>
    </w:p>
    <w:p>
      <w:pPr>
        <w:pStyle w:val="TextBody"/>
        <w:spacing w:lineRule="auto" w:line="273" w:before="0" w:after="0"/>
        <w:jc w:val="left"/>
        <w:rPr/>
      </w:pPr>
      <w:r>
        <w:rPr/>
        <w:t> </w:t>
      </w:r>
    </w:p>
    <w:tbl>
      <w:tblPr>
        <w:tblW w:w="14779" w:type="dxa"/>
        <w:jc w:val="left"/>
        <w:tblInd w:w="0" w:type="dxa"/>
        <w:tblCellMar>
          <w:top w:w="28" w:type="dxa"/>
          <w:left w:w="28" w:type="dxa"/>
          <w:bottom w:w="28" w:type="dxa"/>
          <w:right w:w="28" w:type="dxa"/>
        </w:tblCellMar>
      </w:tblPr>
      <w:tblGrid>
        <w:gridCol w:w="931"/>
        <w:gridCol w:w="146"/>
        <w:gridCol w:w="146"/>
        <w:gridCol w:w="736"/>
        <w:gridCol w:w="146"/>
        <w:gridCol w:w="146"/>
        <w:gridCol w:w="166"/>
        <w:gridCol w:w="466"/>
        <w:gridCol w:w="146"/>
        <w:gridCol w:w="146"/>
        <w:gridCol w:w="146"/>
        <w:gridCol w:w="676"/>
        <w:gridCol w:w="146"/>
        <w:gridCol w:w="146"/>
        <w:gridCol w:w="166"/>
        <w:gridCol w:w="466"/>
        <w:gridCol w:w="146"/>
        <w:gridCol w:w="146"/>
        <w:gridCol w:w="146"/>
        <w:gridCol w:w="676"/>
        <w:gridCol w:w="146"/>
        <w:gridCol w:w="146"/>
        <w:gridCol w:w="166"/>
        <w:gridCol w:w="346"/>
        <w:gridCol w:w="146"/>
        <w:gridCol w:w="146"/>
        <w:gridCol w:w="146"/>
        <w:gridCol w:w="646"/>
        <w:gridCol w:w="146"/>
        <w:gridCol w:w="146"/>
        <w:gridCol w:w="166"/>
        <w:gridCol w:w="346"/>
        <w:gridCol w:w="146"/>
        <w:gridCol w:w="146"/>
        <w:gridCol w:w="146"/>
        <w:gridCol w:w="586"/>
        <w:gridCol w:w="146"/>
        <w:gridCol w:w="146"/>
        <w:gridCol w:w="166"/>
        <w:gridCol w:w="346"/>
        <w:gridCol w:w="146"/>
        <w:gridCol w:w="146"/>
        <w:gridCol w:w="166"/>
        <w:gridCol w:w="496"/>
        <w:gridCol w:w="146"/>
        <w:gridCol w:w="146"/>
        <w:gridCol w:w="169"/>
        <w:gridCol w:w="537"/>
        <w:gridCol w:w="146"/>
        <w:gridCol w:w="146"/>
        <w:gridCol w:w="199"/>
        <w:gridCol w:w="417"/>
        <w:gridCol w:w="146"/>
        <w:gridCol w:w="146"/>
        <w:gridCol w:w="180"/>
        <w:gridCol w:w="541"/>
        <w:gridCol w:w="351"/>
      </w:tblGrid>
      <w:tr>
        <w:trPr/>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8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Series D convertible</w:t>
              <w:br/>
              <w:t>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Class C preferred</w:t>
              <w:br/>
              <w:t>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2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Class A 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9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3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Class B</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0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Accumulated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Non-</w:t>
              <w:br/>
              <w:t>controlling</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Total</w:t>
              <w:br/>
              <w:t>stockholders’/</w:t>
              <w:br/>
              <w:t>members’</w:t>
            </w:r>
          </w:p>
        </w:tc>
        <w:tc>
          <w:tcPr>
            <w:tcW w:w="351" w:type="dxa"/>
            <w:tcBorders/>
            <w:shd w:fill="auto" w:val="cle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Units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0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deficit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0"/>
              </w:rPr>
            </w:pPr>
            <w:r>
              <w:rPr>
                <w:rFonts w:ascii="Times New Roman" w:hAnsi="Times New Roman"/>
                <w:b/>
                <w:sz w:val="10"/>
              </w:rPr>
              <w:t>equity (deficit)</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Balance at Ended December 31, 2018</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23,968,178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89,345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54,600,000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53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(118,560</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1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(28,446</w:t>
            </w:r>
          </w:p>
        </w:tc>
        <w:tc>
          <w:tcPr>
            <w:tcW w:w="351"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Noncontrolling interest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w:t>
            </w:r>
          </w:p>
        </w:tc>
        <w:tc>
          <w:tcPr>
            <w:tcW w:w="351"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Warrants issued by affiliates in</w:t>
              <w:br/>
              <w:t>   connection with modification</w:t>
              <w:br/>
              <w:t>   of convertible promissory notes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764</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Assumption of unvested profits</w:t>
              <w:br/>
              <w:t>   interest liability by affiliates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197</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Assumption of vested profits</w:t>
              <w:br/>
              <w:t>   interest liability by affiliates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800</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Beneficial conversion feature in</w:t>
              <w:br/>
              <w:t>   convertible promissory notes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534</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Net loss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(29,794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(61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(29,855</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Balance at December 31, 2019</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23,968,178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89,345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54,600,000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2,295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(148,354</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(47</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(56,011</w:t>
            </w:r>
          </w:p>
        </w:tc>
        <w:tc>
          <w:tcPr>
            <w:tcW w:w="351"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sz w:val="20"/>
              </w:rPr>
            </w:pPr>
            <w:r>
              <w:rPr>
                <w:rFonts w:ascii="Times New Roman" w:hAnsi="Times New Roman"/>
                <w:b w:val="false"/>
                <w:sz w:val="10"/>
              </w:rPr>
              <w:t>Issuance of Series D convertible</w:t>
              <w:br/>
              <w:t>   preferred stock for cash, net of</w:t>
              <w:br/>
              <w:t>   $4,317</w:t>
            </w:r>
            <w:r>
              <w:rPr>
                <w:rFonts w:ascii="Times New Roman" w:hAnsi="Times New Roman"/>
                <w:sz w:val="20"/>
              </w:rPr>
              <w:t> </w:t>
            </w:r>
            <w:r>
              <w:rPr>
                <w:rFonts w:ascii="Times New Roman" w:hAnsi="Times New Roman"/>
                <w:b w:val="false"/>
                <w:sz w:val="10"/>
              </w:rPr>
              <w:t>of issuance costs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140,626,711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68,183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Issuance of Series D convertible</w:t>
              <w:br/>
              <w:t>   preferred stock in connection</w:t>
              <w:br/>
              <w:t>   with settlement of convertible</w:t>
              <w:br/>
              <w:t>   promissory notes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59,164,808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30,594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Assumption of profits interest</w:t>
              <w:br/>
              <w:t>   liability by affiliate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991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991</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Change in profits interest liability</w:t>
              <w:br/>
              <w:t>   of affiliate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749</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Noncontrolling interest—</w:t>
              <w:br/>
              <w:t>   distribution of net assets</w:t>
              <w:br/>
              <w:t>   to affiliate and related</w:t>
              <w:br/>
              <w:t>   deconsolidation</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(66</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(19</w:t>
            </w:r>
          </w:p>
        </w:tc>
        <w:tc>
          <w:tcPr>
            <w:tcW w:w="351"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LLC Conversion</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(23,968,178</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(89,345</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(54,600,000</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(750</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6,220,050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1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(3,196</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93,290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Conversion of Series D convertible</w:t>
              <w:br/>
              <w:t>   preferred stock into common</w:t>
              <w:br/>
              <w:t>   stock</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(199,791,519</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(98,777</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13,876,510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1,492,059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98,776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98,777</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sz w:val="20"/>
              </w:rPr>
            </w:pPr>
            <w:r>
              <w:rPr>
                <w:rFonts w:ascii="Times New Roman" w:hAnsi="Times New Roman"/>
                <w:b w:val="false"/>
                <w:sz w:val="10"/>
              </w:rPr>
              <w:t>Initial public offering, net of</w:t>
              <w:br/>
              <w:t>   $19,032</w:t>
            </w:r>
            <w:r>
              <w:rPr>
                <w:rFonts w:ascii="Times New Roman" w:hAnsi="Times New Roman"/>
                <w:sz w:val="20"/>
              </w:rPr>
              <w:t> </w:t>
            </w:r>
            <w:r>
              <w:rPr>
                <w:rFonts w:ascii="Times New Roman" w:hAnsi="Times New Roman"/>
                <w:b w:val="false"/>
                <w:sz w:val="10"/>
              </w:rPr>
              <w:t>of issuance costs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12,075,000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198,317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198,318</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Stock-based compensation expense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3,022</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Net loss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3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(35,853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(35,853</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Balance at December 31, 2020</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32,171,560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1,492,059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300,888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(90,917</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209,974</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sz w:val="20"/>
              </w:rPr>
            </w:pPr>
            <w:r>
              <w:rPr>
                <w:rFonts w:ascii="Times New Roman" w:hAnsi="Times New Roman"/>
                <w:b w:val="false"/>
                <w:sz w:val="10"/>
              </w:rPr>
              <w:t xml:space="preserve">Issuance of common stock, </w:t>
              <w:br/>
              <w:t>   net of $4,007</w:t>
            </w:r>
            <w:r>
              <w:rPr>
                <w:rFonts w:ascii="Times New Roman" w:hAnsi="Times New Roman"/>
                <w:sz w:val="20"/>
              </w:rPr>
              <w:t> </w:t>
            </w:r>
            <w:r>
              <w:rPr>
                <w:rFonts w:ascii="Times New Roman" w:hAnsi="Times New Roman"/>
                <w:b w:val="false"/>
                <w:sz w:val="10"/>
              </w:rPr>
              <w:t>of issuance costs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2,678,600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70,993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70,994</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 xml:space="preserve">Issuance of common stock under </w:t>
              <w:br/>
              <w:t>   equity incentive plans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930,144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0</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 xml:space="preserve">Issuance of common stock upon </w:t>
              <w:br/>
              <w:t>   exercise of options, net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7,747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140</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 xml:space="preserve">Issuance of common stock for </w:t>
              <w:br/>
              <w:t>   Employee Stock Purchase Plan</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11,182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289</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 xml:space="preserve">Taxes related to net share </w:t>
              <w:br/>
              <w:t>   settlement of equity awards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(291</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(291</w:t>
            </w:r>
          </w:p>
        </w:tc>
        <w:tc>
          <w:tcPr>
            <w:tcW w:w="351" w:type="dxa"/>
            <w:tcBorders/>
            <w:shd w:fill="auto" w:val="clear"/>
            <w:vAlign w:val="center"/>
          </w:tcPr>
          <w:p>
            <w:pPr>
              <w:pStyle w:val="TableContents"/>
              <w:spacing w:lineRule="auto" w:line="252" w:before="0" w:after="0"/>
              <w:ind w:left="0" w:right="0" w:firstLine="16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Stock-based compensation expense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25,117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25,117</w:t>
            </w:r>
          </w:p>
        </w:tc>
        <w:tc>
          <w:tcPr>
            <w:tcW w:w="351" w:type="dxa"/>
            <w:tcBorders/>
            <w:shd w:fill="auto" w:val="clear"/>
            <w:vAlign w:val="center"/>
          </w:tcPr>
          <w:p>
            <w:pPr>
              <w:pStyle w:val="TableContents"/>
              <w:spacing w:lineRule="auto" w:line="252" w:before="0" w:after="0"/>
              <w:ind w:left="0" w:right="0" w:firstLine="160"/>
              <w:jc w:val="left"/>
              <w:rPr/>
            </w:pPr>
            <w:r>
              <w:rPr/>
              <w:t> </w:t>
            </w:r>
          </w:p>
        </w:tc>
      </w:tr>
      <w:tr>
        <w:trPr/>
        <w:tc>
          <w:tcPr>
            <w:tcW w:w="931" w:type="dxa"/>
            <w:tcBorders/>
            <w:shd w:fill="auto" w:val="clear"/>
            <w:vAlign w:val="center"/>
          </w:tcPr>
          <w:p>
            <w:pPr>
              <w:pStyle w:val="TableContents"/>
              <w:spacing w:lineRule="auto" w:line="252" w:before="0" w:after="0"/>
              <w:ind w:left="160" w:right="0" w:hanging="0"/>
              <w:jc w:val="left"/>
              <w:rPr>
                <w:rFonts w:ascii="Times New Roman" w:hAnsi="Times New Roman"/>
                <w:b w:val="false"/>
                <w:sz w:val="10"/>
              </w:rPr>
            </w:pPr>
            <w:r>
              <w:rPr>
                <w:rFonts w:ascii="Times New Roman" w:hAnsi="Times New Roman"/>
                <w:b w:val="false"/>
                <w:sz w:val="10"/>
              </w:rPr>
              <w:t>Net loss</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shd w:fill="auto" w:val="clear"/>
            <w:vAlign w:val="center"/>
          </w:tcPr>
          <w:p>
            <w:pPr>
              <w:pStyle w:val="TableContents"/>
              <w:spacing w:lineRule="auto" w:line="252" w:before="0" w:after="0"/>
              <w:ind w:left="0" w:right="0" w:hanging="0"/>
              <w:jc w:val="left"/>
              <w:rPr/>
            </w:pPr>
            <w:r>
              <w:rPr/>
              <w:t> </w:t>
            </w:r>
          </w:p>
        </w:tc>
        <w:tc>
          <w:tcPr>
            <w:tcW w:w="537"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(95,402</w:t>
            </w:r>
          </w:p>
        </w:tc>
        <w:tc>
          <w:tcPr>
            <w:tcW w:w="146"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shd w:fill="auto" w:val="clear"/>
            <w:vAlign w:val="center"/>
          </w:tcPr>
          <w:p>
            <w:pPr>
              <w:pStyle w:val="TableContents"/>
              <w:spacing w:lineRule="auto" w:line="252" w:before="0" w:after="0"/>
              <w:ind w:left="0" w:right="0" w:hanging="0"/>
              <w:jc w:val="left"/>
              <w:rPr/>
            </w:pPr>
            <w:r>
              <w:rPr/>
              <w:t> </w:t>
            </w:r>
          </w:p>
        </w:tc>
        <w:tc>
          <w:tcPr>
            <w:tcW w:w="41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(95,402</w:t>
            </w:r>
          </w:p>
        </w:tc>
        <w:tc>
          <w:tcPr>
            <w:tcW w:w="351"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r>
      <w:tr>
        <w:trPr/>
        <w:tc>
          <w:tcPr>
            <w:tcW w:w="931" w:type="dxa"/>
            <w:tcBorders/>
            <w:shd w:fill="auto" w:val="cle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Balance at December 31, 2021</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6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35,799,233</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58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1,492,059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9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397,136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6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537"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(186,319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9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417"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0"/>
              </w:rPr>
            </w:pPr>
            <w:r>
              <w:rPr>
                <w:rFonts w:ascii="Times New Roman" w:hAnsi="Times New Roman"/>
                <w:b w:val="false"/>
                <w:sz w:val="10"/>
              </w:rPr>
              <w:t>$</w:t>
            </w:r>
          </w:p>
        </w:tc>
        <w:tc>
          <w:tcPr>
            <w:tcW w:w="54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0"/>
              </w:rPr>
            </w:pPr>
            <w:r>
              <w:rPr>
                <w:rFonts w:ascii="Times New Roman" w:hAnsi="Times New Roman"/>
                <w:b w:val="false"/>
                <w:sz w:val="10"/>
              </w:rPr>
              <w:t>210,821</w:t>
            </w:r>
          </w:p>
        </w:tc>
        <w:tc>
          <w:tcPr>
            <w:tcW w:w="35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i/>
          <w:sz w:val="18"/>
        </w:rPr>
      </w:pPr>
      <w:r>
        <w:rPr>
          <w:rFonts w:ascii="Times New Roman" w:hAnsi="Times New Roman"/>
          <w:b w:val="false"/>
          <w:i/>
          <w:sz w:val="18"/>
        </w:rPr>
        <w:t>See accompanying notes.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center"/>
        <w:rPr>
          <w:rFonts w:ascii="Times New Roman" w:hAnsi="Times New Roman"/>
          <w:b/>
          <w:sz w:val="18"/>
        </w:rPr>
      </w:pPr>
      <w:r>
        <w:rPr>
          <w:rFonts w:ascii="Times New Roman" w:hAnsi="Times New Roman"/>
          <w:b/>
          <w:sz w:val="18"/>
        </w:rPr>
        <w:t>BioAtla, Inc.</w:t>
      </w:r>
    </w:p>
    <w:p>
      <w:pPr>
        <w:pStyle w:val="TextBody"/>
        <w:spacing w:lineRule="auto" w:line="273" w:before="0" w:after="0"/>
        <w:jc w:val="center"/>
        <w:rPr>
          <w:rFonts w:ascii="Times New Roman" w:hAnsi="Times New Roman"/>
          <w:b/>
          <w:sz w:val="18"/>
        </w:rPr>
      </w:pPr>
      <w:bookmarkStart w:id="20" w:name="consolidated_statements_of_cash_flows"/>
      <w:bookmarkEnd w:id="20"/>
      <w:r>
        <w:rPr>
          <w:rFonts w:ascii="Times New Roman" w:hAnsi="Times New Roman"/>
          <w:b/>
          <w:sz w:val="18"/>
        </w:rPr>
        <w:t>Consolidated statements of cash flows</w:t>
      </w:r>
    </w:p>
    <w:p>
      <w:pPr>
        <w:pStyle w:val="TextBody"/>
        <w:spacing w:lineRule="auto" w:line="273" w:before="0" w:after="0"/>
        <w:jc w:val="center"/>
        <w:rPr>
          <w:rFonts w:ascii="Times New Roman" w:hAnsi="Times New Roman"/>
          <w:b/>
          <w:sz w:val="18"/>
        </w:rPr>
      </w:pPr>
      <w:r>
        <w:rPr>
          <w:rFonts w:ascii="Times New Roman" w:hAnsi="Times New Roman"/>
          <w:b/>
          <w:sz w:val="18"/>
        </w:rPr>
        <w:t>(in thousands)</w:t>
      </w:r>
    </w:p>
    <w:p>
      <w:pPr>
        <w:pStyle w:val="TextBody"/>
        <w:spacing w:lineRule="auto" w:line="273" w:before="0" w:after="0"/>
        <w:jc w:val="left"/>
        <w:rPr/>
      </w:pPr>
      <w:r>
        <w:rPr/>
        <w:t> </w:t>
      </w:r>
    </w:p>
    <w:tbl>
      <w:tblPr>
        <w:tblW w:w="9788" w:type="dxa"/>
        <w:jc w:val="left"/>
        <w:tblInd w:w="0" w:type="dxa"/>
        <w:tblCellMar>
          <w:top w:w="28" w:type="dxa"/>
          <w:left w:w="28" w:type="dxa"/>
          <w:bottom w:w="28" w:type="dxa"/>
          <w:right w:w="28" w:type="dxa"/>
        </w:tblCellMar>
      </w:tblPr>
      <w:tblGrid>
        <w:gridCol w:w="5776"/>
        <w:gridCol w:w="146"/>
        <w:gridCol w:w="196"/>
        <w:gridCol w:w="691"/>
        <w:gridCol w:w="166"/>
        <w:gridCol w:w="146"/>
        <w:gridCol w:w="196"/>
        <w:gridCol w:w="691"/>
        <w:gridCol w:w="166"/>
        <w:gridCol w:w="146"/>
        <w:gridCol w:w="196"/>
        <w:gridCol w:w="661"/>
        <w:gridCol w:w="611"/>
      </w:tblGrid>
      <w:tr>
        <w:trPr/>
        <w:tc>
          <w:tcPr>
            <w:tcW w:w="5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57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55"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7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2019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(95,402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(35,853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(29,855</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Adjustments to reconcile net loss to 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00"/>
              <w:jc w:val="righ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1,330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1,008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860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Loss on disposal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 in fair value of derivative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 in fair value of profits interest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(6,852</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(6,403</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Loss/(gain) on extinguishment of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25,117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3,022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Non-cash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525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355</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Accrued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1,276</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Deferred 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577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400"/>
              <w:jc w:val="right"/>
              <w:rPr/>
            </w:pPr>
            <w:r>
              <w:rPr/>
              <w:t> </w:t>
            </w:r>
          </w:p>
        </w:tc>
      </w:tr>
      <w:tr>
        <w:trPr/>
        <w:tc>
          <w:tcPr>
            <w:tcW w:w="5776"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Prepaid expenses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939</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5776"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Accounts payable and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7,992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(1,660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3,218</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5776"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Accounts payable and accrued expenses—related parties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(88</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(429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19,757</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5776" w:type="dxa"/>
            <w:tcBorders/>
            <w:shd w:fill="auto" w:val="clear"/>
            <w:vAlign w:val="center"/>
          </w:tcPr>
          <w:p>
            <w:pPr>
              <w:pStyle w:val="TableContents"/>
              <w:spacing w:lineRule="auto" w:line="252" w:before="0" w:after="0"/>
              <w:ind w:left="400" w:right="0" w:hanging="0"/>
              <w:jc w:val="left"/>
              <w:rPr>
                <w:rFonts w:ascii="Times New Roman" w:hAnsi="Times New Roman"/>
                <w:b w:val="false"/>
                <w:sz w:val="18"/>
              </w:rPr>
            </w:pPr>
            <w:r>
              <w:rPr>
                <w:rFonts w:ascii="Times New Roman" w:hAnsi="Times New Roman"/>
                <w:b w:val="false"/>
                <w:sz w:val="18"/>
              </w:rPr>
              <w:t>Right-of-use assets and lease liabilities,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(62,214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(36,334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(9,645</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(924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(1,509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(924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(590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(1,509</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Noncontrolling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issuance of convertible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4,000</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issuance of convertible preferred stock,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68,183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issuance of PPP loan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initial public offering,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200,229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Payment of initial public offering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(1,911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issuance of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70,994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Proceeds from issuance of common stock under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69,512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271,825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3,995</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increase (decrease)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6,374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234,901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6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(7,159</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and cash equivalents,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238,605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10,863</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and cash equivalents,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244,979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238,605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3,704</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Supplemental disclosure of non-cash investing and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Property and equipment additions included in accounts payable and accrued</w:t>
              <w:br/>
              <w: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172</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 xml:space="preserve">Fair value of warrants issued by affiliates in connection with modification of </w:t>
              <w:br/>
              <w:t>   convertible promissory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764</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Assumption of profits interest liability by affiliates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997</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Equity issuance costs included in accounts payable and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Carrying value of convertible promissory notes settled in connection with</w:t>
              <w:br/>
              <w:t>   Corporate Reorganization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27,711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 xml:space="preserve">Fair value of consideration issued in connection with settlement of convertible </w:t>
              <w:br/>
              <w:t>   promissory notes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30,594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77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 xml:space="preserve">Tax related to net settlement of equity awards included in accounts payable and </w:t>
              <w:br/>
              <w:t>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i/>
          <w:sz w:val="18"/>
        </w:rPr>
      </w:pPr>
      <w:r>
        <w:rPr>
          <w:rFonts w:ascii="Times New Roman" w:hAnsi="Times New Roman"/>
          <w:b w:val="false"/>
          <w:i/>
          <w:sz w:val="18"/>
        </w:rPr>
        <w:t>See accompanying notes.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99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center"/>
        <w:rPr>
          <w:rFonts w:ascii="Times New Roman" w:hAnsi="Times New Roman"/>
          <w:b/>
          <w:sz w:val="18"/>
        </w:rPr>
      </w:pPr>
      <w:r>
        <w:rPr>
          <w:rFonts w:ascii="Times New Roman" w:hAnsi="Times New Roman"/>
          <w:b/>
          <w:sz w:val="18"/>
        </w:rPr>
        <w:t>BioAtla, Inc.</w:t>
      </w:r>
    </w:p>
    <w:p>
      <w:pPr>
        <w:pStyle w:val="TextBody"/>
        <w:spacing w:lineRule="auto" w:line="273" w:before="0" w:after="0"/>
        <w:jc w:val="center"/>
        <w:rPr>
          <w:rFonts w:ascii="Times New Roman" w:hAnsi="Times New Roman"/>
          <w:b/>
          <w:sz w:val="18"/>
        </w:rPr>
      </w:pPr>
      <w:bookmarkStart w:id="21" w:name="notes_to_consolidated_financial"/>
      <w:bookmarkEnd w:id="21"/>
      <w:r>
        <w:rPr>
          <w:rFonts w:ascii="Times New Roman" w:hAnsi="Times New Roman"/>
          <w:b/>
          <w:sz w:val="18"/>
        </w:rPr>
        <w:t>Notes to consolidated financial statements</w:t>
      </w:r>
    </w:p>
    <w:p>
      <w:pPr>
        <w:pStyle w:val="TextBody"/>
        <w:spacing w:lineRule="auto" w:line="273" w:before="216" w:after="0"/>
        <w:jc w:val="left"/>
        <w:rPr>
          <w:rFonts w:ascii="Times New Roman" w:hAnsi="Times New Roman"/>
          <w:b/>
          <w:sz w:val="18"/>
        </w:rPr>
      </w:pPr>
      <w:r>
        <w:rPr>
          <w:rFonts w:ascii="Times New Roman" w:hAnsi="Times New Roman"/>
          <w:b/>
          <w:sz w:val="18"/>
        </w:rPr>
        <w:t>1. Organization and summary of significant accounting policies</w:t>
      </w:r>
    </w:p>
    <w:p>
      <w:pPr>
        <w:pStyle w:val="TextBody"/>
        <w:spacing w:lineRule="auto" w:line="273" w:before="108" w:after="0"/>
        <w:jc w:val="left"/>
        <w:rPr>
          <w:rFonts w:ascii="Times New Roman" w:hAnsi="Times New Roman"/>
          <w:b/>
          <w:i/>
          <w:sz w:val="18"/>
        </w:rPr>
      </w:pPr>
      <w:r>
        <w:rPr>
          <w:rFonts w:ascii="Times New Roman" w:hAnsi="Times New Roman"/>
          <w:b/>
          <w:i/>
          <w:sz w:val="18"/>
        </w:rPr>
        <w:t>Organization</w:t>
      </w:r>
    </w:p>
    <w:p>
      <w:pPr>
        <w:pStyle w:val="TextBody"/>
        <w:spacing w:lineRule="auto" w:line="273" w:before="108" w:after="0"/>
        <w:jc w:val="left"/>
        <w:rPr>
          <w:rFonts w:ascii="Times New Roman" w:hAnsi="Times New Roman"/>
          <w:sz w:val="20"/>
        </w:rPr>
      </w:pPr>
      <w:r>
        <w:rPr>
          <w:rFonts w:ascii="Times New Roman" w:hAnsi="Times New Roman"/>
          <w:b w:val="false"/>
          <w:sz w:val="18"/>
        </w:rPr>
        <w:t>BioAtla, LLC was formed in Delaware</w:t>
      </w:r>
      <w:r>
        <w:rPr>
          <w:rFonts w:ascii="Times New Roman" w:hAnsi="Times New Roman"/>
          <w:sz w:val="20"/>
        </w:rPr>
        <w:t xml:space="preserve"> </w:t>
      </w:r>
      <w:r>
        <w:rPr>
          <w:rFonts w:ascii="Times New Roman" w:hAnsi="Times New Roman"/>
          <w:b w:val="false"/>
          <w:sz w:val="18"/>
        </w:rPr>
        <w:t>in March 2007</w:t>
      </w:r>
      <w:r>
        <w:rPr>
          <w:rFonts w:ascii="Times New Roman" w:hAnsi="Times New Roman"/>
          <w:sz w:val="20"/>
        </w:rPr>
        <w:t xml:space="preserve"> </w:t>
      </w:r>
      <w:r>
        <w:rPr>
          <w:rFonts w:ascii="Times New Roman" w:hAnsi="Times New Roman"/>
          <w:b w:val="false"/>
          <w:sz w:val="18"/>
        </w:rPr>
        <w:t>and, after undergoing two separate reorganizations that are further discussed below, was converted to a Delaware corporation in July 2020 and was renamed BioAtla, Inc. (BioAtla, Inc. together with the Pre-Division Predecessor and the Post-Division Successor as defined below,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w:t>
      </w:r>
    </w:p>
    <w:p>
      <w:pPr>
        <w:pStyle w:val="TextBody"/>
        <w:spacing w:lineRule="auto" w:line="273" w:before="216" w:after="0"/>
        <w:jc w:val="left"/>
        <w:rPr>
          <w:rFonts w:ascii="Times New Roman" w:hAnsi="Times New Roman"/>
          <w:b/>
          <w:i/>
          <w:sz w:val="18"/>
        </w:rPr>
      </w:pPr>
      <w:r>
        <w:rPr>
          <w:rFonts w:ascii="Times New Roman" w:hAnsi="Times New Roman"/>
          <w:b/>
          <w:i/>
          <w:sz w:val="18"/>
        </w:rPr>
        <w:t>LLC Division</w:t>
      </w:r>
    </w:p>
    <w:p>
      <w:pPr>
        <w:pStyle w:val="TextBody"/>
        <w:spacing w:lineRule="auto" w:line="273" w:before="108" w:after="0"/>
        <w:jc w:val="left"/>
        <w:rPr>
          <w:rFonts w:ascii="Times New Roman" w:hAnsi="Times New Roman"/>
          <w:sz w:val="20"/>
        </w:rPr>
      </w:pPr>
      <w:r>
        <w:rPr>
          <w:rFonts w:ascii="Times New Roman" w:hAnsi="Times New Roman"/>
          <w:b w:val="false"/>
          <w:sz w:val="18"/>
        </w:rPr>
        <w:t>In March 2019, BioAtla, LLC (the "Pre-Division Predecessor") was divided into three separate and distinct Delaware limited liability companies (the “Division”) as follows: 1) BioAtla, LLC renamed to BioAtla Holdings, LLC (“BioAtla Holdings”), 2) a new legal entity named Inversagen, LLC (“Inversagen”), and 3) a new legal entity named BioAtla, LLC (the “Post-Division Successor” and together with BioAtla Holdings and Inversagen, the “Post-Division LLCs”). Upon the Division, each Post-Division LLC had substantially the same form of operating agreement and capital structure as the Pre-Division Predecessor, with the following exceptions: i) 1,750,000</w:t>
      </w:r>
      <w:r>
        <w:rPr>
          <w:rFonts w:ascii="Times New Roman" w:hAnsi="Times New Roman"/>
          <w:sz w:val="20"/>
        </w:rPr>
        <w:t xml:space="preserve"> </w:t>
      </w:r>
      <w:r>
        <w:rPr>
          <w:rFonts w:ascii="Times New Roman" w:hAnsi="Times New Roman"/>
          <w:b w:val="false"/>
          <w:sz w:val="18"/>
        </w:rPr>
        <w:t>Class B units issued by the Post-Division Successor but not by BioAtla Holdings or Inversagen, ii) the outstanding warrants of the Pre-Division Predecessor at the Division date were transferred to the Post-Division Successor (see Note 7), and iii) the Class C units of the Post-Division Successor had liquidation preferences and a preferred return not included in the operating agreements of BioAtla Holdings and Inversagen.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connection with the Division, the Pre-Division Predecessor’s holdings of EXUMA Biotech Corp. (“EXUMA”, formerly F1 Oncology, Inc.) common and preferred stock (see Note 12) remained in BioAtla Holdings and certain rights related to the application of CAB technology in senescent cell therapy were transferred to the Post-Division Successor and simultaneously licensed to Inversagen (see Note 10). The remaining assets and liabilities (including ownership of Himalaya Therapeutics SEZC, or "HTKY", and its wholly-owned subsidiary, Himalaya Therapeutics HK Limited as described below in “Principles of consolidation and deconsolidation”), and substantially all of the operations of the Pre-Division Predecessor, including all existing employees, were transferred to the Post-Division Successor. Each of the Pre-Division Predecessor’s members at the time of the Division continued as a member in the Post-Division Successor, BioAtla Holdings and Inversagen, and each entity has Dr. Jay Short and his spouse, Carolyn Anderson Short, as its LLC managers. There are no shared services agreements between the Company and BioAtla Holdings or Inversagen. The Company has determined that Inversagen is a variable interest entity (“VIE”), the Company is not the primary beneficiary of Inversagen, and that the Post-Division LLCs are under the common control of Jay and Carolyn Short. The Company does not consolidate either BioAtla Holdings or Inversagen (see Note 10). In addition, the Company has no direct equity investment in either BioAtla Holdings or Inversagen that require either equity method or cost method accounting.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assets, liabilities, and employees transferred to the Post-Division Successor in the Division met the definition of a business and the transfer qualifies as a change in reporting entity under Accounting Standards Codification (“ASC”) 250-10-45-21. As such, the historical financial statements of the Pre-Division Predecessor are deemed to be those of the Post-Division Successor, even for periods prior to its formation. As a transfer of a business to an entity under common control, the assets and liabilities of the Pre-Division Predecessor were transferred to the Post-Division Successor at historical carrying values. At the Division date, the Pre-Division Predecessor’s investment in EXUMA and the assets licensed to Inversagen had a zero carrying value and neither EXUMA nor Inversagen had material operations. As such, the Pre-Division historical financial statements presented herein are the historical financial statements of the Pre-Division Predecessor without adjustment.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connection with the Division, certain modifications were made to then outstanding debt agreements and units, including: i) the participation threshold of each Class B unit in each Post-Division LLC was adjusted for the impact of the Division (see Note 8), ii) the amendment of the Pfizer Note and 2018 Notes (as defined and described in Note 4), and iii) the issuance, to both Pfizer and the holders of the 2018 Notes, of conditional warrants by BioAtla Holdings and Inversagen which become exercisable upon the conversion of the Pfizer Note and 2018 Notes into capital stock of the Post-Division Successor (see Note 4).</w:t>
      </w:r>
    </w:p>
    <w:p>
      <w:pPr>
        <w:pStyle w:val="TextBody"/>
        <w:spacing w:lineRule="auto" w:line="273" w:before="216" w:after="0"/>
        <w:jc w:val="left"/>
        <w:rPr>
          <w:rFonts w:ascii="Times New Roman" w:hAnsi="Times New Roman"/>
          <w:sz w:val="20"/>
        </w:rPr>
      </w:pPr>
      <w:r>
        <w:rPr>
          <w:rFonts w:ascii="Times New Roman" w:hAnsi="Times New Roman"/>
          <w:b w:val="false"/>
          <w:sz w:val="18"/>
        </w:rPr>
        <w:t>The Post-Division Successor converted to a Delaware corporation in July 2020 as part of the Corporate Reorganization defined and described below, and was renamed BioAtla, Inc. BioAtla, Inc. is the final successor to the Pre-Division Predecessor and the Post-Division Successor, and collectively these entities are referred to as “the Company.” The historical financial statements of the Company prior to the Corporate Reorganization are those of the Pre-Division Predecessor and the Post-Division Successor without adjustment.</w:t>
      </w:r>
      <w:r>
        <w:rPr>
          <w:rFonts w:ascii="Times New Roman" w:hAnsi="Times New Roman"/>
          <w:sz w:val="20"/>
        </w:rPr>
        <w:t xml:space="preserve"> </w:t>
      </w:r>
    </w:p>
    <w:p>
      <w:pPr>
        <w:pStyle w:val="TextBody"/>
        <w:spacing w:lineRule="auto" w:line="273" w:before="216" w:after="0"/>
        <w:jc w:val="left"/>
        <w:rPr>
          <w:rFonts w:ascii="Times New Roman" w:hAnsi="Times New Roman"/>
          <w:b/>
          <w:i/>
          <w:sz w:val="18"/>
        </w:rPr>
      </w:pPr>
      <w:r>
        <w:rPr>
          <w:rFonts w:ascii="Times New Roman" w:hAnsi="Times New Roman"/>
          <w:b/>
          <w:i/>
          <w:sz w:val="18"/>
        </w:rPr>
        <w:t>Corporate Reorganization and Series D Financing</w:t>
      </w:r>
    </w:p>
    <w:p>
      <w:pPr>
        <w:pStyle w:val="TextBody"/>
        <w:spacing w:lineRule="auto" w:line="273" w:before="108" w:after="0"/>
        <w:jc w:val="left"/>
        <w:rPr>
          <w:rFonts w:ascii="Times New Roman" w:hAnsi="Times New Roman"/>
          <w:sz w:val="20"/>
        </w:rPr>
      </w:pPr>
      <w:r>
        <w:rPr>
          <w:rFonts w:ascii="Times New Roman" w:hAnsi="Times New Roman"/>
          <w:b w:val="false"/>
          <w:sz w:val="18"/>
        </w:rPr>
        <w:t>In July 2020, BioAtla, LLC (the Post-Division Successor) completed a series of transactions (the “Corporate Reorganization”) in connection with the conversion from a limited liability company into a Delaware corporation, the spin-off of Himalaya Therapeutics SEZC, and the completion of a Series D convertible preferred stock financing. The Corporate Reorganization involved the formation of Himalaya Parent LLC as a wholly owned subsidiary of BioAtla, LLC and the formation of BioAtla MergerSub LLC, as a wholly owned subsidiary of Himalaya Parent LLC. Under the Agreement and Plan of Merger (the “Merger Agreement”), BioAtla, LLC was merged into and with BioAtla MergerSub LLC, with BioAtla, LLC surviving, and the members of BioAtla, LLC immediately prior to the effective time of the Merger Agreement received membership interests, on a one-for-one basis, of Himalaya Parent LLC as consideration, and the then-outstanding warrants to purchase equity of BioAtla, LLC were converted into warrants to purchase common shares of common stock of BioAtla, Inc. (see Note 7). The Himalaya Parent</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sz w:val="20"/>
        </w:rPr>
      </w:pPr>
      <w:r>
        <w:rPr>
          <w:rFonts w:ascii="Times New Roman" w:hAnsi="Times New Roman"/>
          <w:b w:val="false"/>
          <w:sz w:val="18"/>
        </w:rPr>
        <w:t>LLC operating agreement provided identical equity rights for the then outstanding units of BioAtla, LLC. In addition: (i) the membership interests of BioAtla, LLC held by Himalaya Parent LLC were exchanged for 6,220,050</w:t>
      </w:r>
      <w:r>
        <w:rPr>
          <w:rFonts w:ascii="Times New Roman" w:hAnsi="Times New Roman"/>
          <w:sz w:val="20"/>
        </w:rPr>
        <w:t xml:space="preserve"> </w:t>
      </w:r>
      <w:r>
        <w:rPr>
          <w:rFonts w:ascii="Times New Roman" w:hAnsi="Times New Roman"/>
          <w:b w:val="false"/>
          <w:sz w:val="18"/>
        </w:rPr>
        <w:t>shares of BioAtla, Inc. common stock, (ii) BioAtla, Inc. issued an aggregate of 59,164,808</w:t>
      </w:r>
      <w:r>
        <w:rPr>
          <w:rFonts w:ascii="Times New Roman" w:hAnsi="Times New Roman"/>
          <w:sz w:val="20"/>
        </w:rPr>
        <w:t xml:space="preserve"> </w:t>
      </w:r>
      <w:r>
        <w:rPr>
          <w:rFonts w:ascii="Times New Roman" w:hAnsi="Times New Roman"/>
          <w:b w:val="false"/>
          <w:sz w:val="18"/>
        </w:rPr>
        <w:t>shares of Series D convertible preferred stock to Himalaya Parent LLC and Himalaya Parent LLC issued an aggregate of 59,164,808</w:t>
      </w:r>
      <w:r>
        <w:rPr>
          <w:rFonts w:ascii="Times New Roman" w:hAnsi="Times New Roman"/>
          <w:sz w:val="20"/>
        </w:rPr>
        <w:t xml:space="preserve"> </w:t>
      </w:r>
      <w:r>
        <w:rPr>
          <w:rFonts w:ascii="Times New Roman" w:hAnsi="Times New Roman"/>
          <w:b w:val="false"/>
          <w:sz w:val="18"/>
        </w:rPr>
        <w:t>Class D units to the holders of convertible notes of BioAtla, LLC in connection with the conversion of their convertible notes into Class D units of Himalaya Parent LLC (see Note 4), (iii) BioAtla, LLC distributed to Himalaya Parent LLC its equity interests in Himalaya Therapeutics SEZC, a then majority-owned subsidiary which is engaged in the development of a set of antibodies in the field of oncology primarily in Greater China, (iv) Himalaya Parent LLC assumed the profits interest liability of BioAtla, LLC (see Note 8) and (v) BioAtla, LLC converted into a Delaware corporation pursuant to a statutory conversion and changed its name to BioAtla, Inc. Following the Corporate Reorganization, Himalaya Parent LLC owned 59,164,808</w:t>
      </w:r>
      <w:r>
        <w:rPr>
          <w:rFonts w:ascii="Times New Roman" w:hAnsi="Times New Roman"/>
          <w:sz w:val="20"/>
        </w:rPr>
        <w:t xml:space="preserve"> </w:t>
      </w:r>
      <w:r>
        <w:rPr>
          <w:rFonts w:ascii="Times New Roman" w:hAnsi="Times New Roman"/>
          <w:b w:val="false"/>
          <w:sz w:val="18"/>
        </w:rPr>
        <w:t>shares of BioAtla, Inc. Series D convertible preferred stock and 6,220,050 shares of BioAtla, Inc. common stock, all of which were subsequently distributed ("the Distribution") to the members of Himalaya Parent, LLC. As a result of the sale of 140,626,711</w:t>
      </w:r>
      <w:r>
        <w:rPr>
          <w:rFonts w:ascii="Times New Roman" w:hAnsi="Times New Roman"/>
          <w:sz w:val="20"/>
        </w:rPr>
        <w:t xml:space="preserve"> </w:t>
      </w:r>
      <w:r>
        <w:rPr>
          <w:rFonts w:ascii="Times New Roman" w:hAnsi="Times New Roman"/>
          <w:b w:val="false"/>
          <w:sz w:val="18"/>
        </w:rPr>
        <w:t>shares of Series D convertible preferred stock to new investors in July 2020 (see Note 7), BioAtla, Inc. was not controlled by Himalaya Parent LLC and BioAtla, Inc. does not control Himalaya Parent LLC subsequent to the distribution discussed in item (iii) above (see further discussion in “Principles of consolidation and deconsolidation” below). All pre-Corporate Reorganization operations, employees, property, assets and obligations of BioAtla, LLC (exclusive of the profits interest liability and Himalaya Therapeutics SEZC now held by Himalaya Parent LLC) are held by BioAtla, Inc. Shares of Series D convertible preferred stock were subsequently converted into common stock as part of the Company’s initial public offering (“IPO”) in December 2020.</w:t>
      </w:r>
    </w:p>
    <w:p>
      <w:pPr>
        <w:pStyle w:val="TextBody"/>
        <w:spacing w:lineRule="auto" w:line="273" w:before="216" w:after="0"/>
        <w:jc w:val="left"/>
        <w:rPr>
          <w:rFonts w:ascii="Times New Roman" w:hAnsi="Times New Roman"/>
          <w:b/>
          <w:i/>
          <w:sz w:val="18"/>
        </w:rPr>
      </w:pPr>
      <w:r>
        <w:rPr>
          <w:rFonts w:ascii="Times New Roman" w:hAnsi="Times New Roman"/>
          <w:b/>
          <w:i/>
          <w:sz w:val="18"/>
        </w:rPr>
        <w:t>Reverse Stock Split</w:t>
      </w:r>
    </w:p>
    <w:p>
      <w:pPr>
        <w:pStyle w:val="TextBody"/>
        <w:spacing w:lineRule="auto" w:line="273" w:before="108" w:after="0"/>
        <w:jc w:val="left"/>
        <w:rPr>
          <w:rFonts w:ascii="Times New Roman" w:hAnsi="Times New Roman"/>
          <w:sz w:val="20"/>
        </w:rPr>
      </w:pPr>
      <w:r>
        <w:rPr>
          <w:rFonts w:ascii="Times New Roman" w:hAnsi="Times New Roman"/>
          <w:b w:val="false"/>
          <w:sz w:val="18"/>
        </w:rPr>
        <w:t>On December 2, 2020, the Company effected a 1-for-13</w:t>
      </w:r>
      <w:r>
        <w:rPr>
          <w:rFonts w:ascii="Times New Roman" w:hAnsi="Times New Roman"/>
          <w:sz w:val="20"/>
        </w:rPr>
        <w:t xml:space="preserve"> </w:t>
      </w:r>
      <w:r>
        <w:rPr>
          <w:rFonts w:ascii="Times New Roman" w:hAnsi="Times New Roman"/>
          <w:b w:val="false"/>
          <w:sz w:val="18"/>
        </w:rPr>
        <w:t>reverse stock split of its common stock. The par value and the authorized shares of the common stock were not adjusted as a result of the reverse stock split. The reverse stock split resulted in an adjustment to the convertible preferred stock conversion price to reflect a proportional decrease in the number of shares of common stock to be issued upon conversion. The accompanying financial statements and notes to the financial statements give retroactive effect to the reverse stock split. No adjustments have been made to any period for the units outstanding prior to the LLC Conversion.</w:t>
      </w:r>
    </w:p>
    <w:p>
      <w:pPr>
        <w:pStyle w:val="TextBody"/>
        <w:spacing w:lineRule="auto" w:line="273" w:before="216" w:after="0"/>
        <w:jc w:val="left"/>
        <w:rPr>
          <w:rFonts w:ascii="Times New Roman" w:hAnsi="Times New Roman"/>
          <w:b/>
          <w:i/>
          <w:sz w:val="18"/>
        </w:rPr>
      </w:pPr>
      <w:r>
        <w:rPr>
          <w:rFonts w:ascii="Times New Roman" w:hAnsi="Times New Roman"/>
          <w:b/>
          <w:i/>
          <w:sz w:val="18"/>
        </w:rPr>
        <w:t>Principles of Consolidation and Deconsolidation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Prior to the Corporate Reorganization in July 2020,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and subsequent to the Distribution as defined and described above, Himalaya Parent LLC does not control, is not under common control with, and is not consolidated by BioAtla, Inc. and BioAtla, Inc. is a single legal entity with no consolidated variable interest entities ("VIEs") or subsidiaries (see Note 10).</w:t>
      </w:r>
    </w:p>
    <w:p>
      <w:pPr>
        <w:pStyle w:val="TextBody"/>
        <w:spacing w:lineRule="auto" w:line="273" w:before="216" w:after="0"/>
        <w:jc w:val="left"/>
        <w:rPr>
          <w:rFonts w:ascii="Times New Roman" w:hAnsi="Times New Roman"/>
          <w:b/>
          <w:i/>
          <w:sz w:val="18"/>
        </w:rPr>
      </w:pPr>
      <w:r>
        <w:rPr>
          <w:rFonts w:ascii="Times New Roman" w:hAnsi="Times New Roman"/>
          <w:b/>
          <w:i/>
          <w:sz w:val="18"/>
        </w:rPr>
        <w:t>Liquidity and Going Concern</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December 31, 2021, the Company had an accumulated deficit of $186.3</w:t>
      </w:r>
      <w:r>
        <w:rPr>
          <w:rFonts w:ascii="Times New Roman" w:hAnsi="Times New Roman"/>
          <w:sz w:val="20"/>
        </w:rPr>
        <w:t xml:space="preserve"> </w:t>
      </w:r>
      <w:r>
        <w:rPr>
          <w:rFonts w:ascii="Times New Roman" w:hAnsi="Times New Roman"/>
          <w:b w:val="false"/>
          <w:sz w:val="18"/>
        </w:rPr>
        <w:t>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spacing w:lineRule="auto" w:line="273" w:before="216" w:after="0"/>
        <w:jc w:val="left"/>
        <w:rPr>
          <w:rFonts w:ascii="Times New Roman" w:hAnsi="Times New Roman"/>
          <w:sz w:val="20"/>
        </w:rPr>
      </w:pPr>
      <w:r>
        <w:rPr>
          <w:rFonts w:ascii="Times New Roman" w:hAnsi="Times New Roman"/>
          <w:b w:val="false"/>
          <w:sz w:val="18"/>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for 12 months after the date the consolidated financial statements for the year ended December 31, 2021</w:t>
      </w:r>
      <w:r>
        <w:rPr>
          <w:rFonts w:ascii="Times New Roman" w:hAnsi="Times New Roman"/>
          <w:sz w:val="20"/>
        </w:rPr>
        <w:t xml:space="preserve"> </w:t>
      </w:r>
      <w:r>
        <w:rPr>
          <w:rFonts w:ascii="Times New Roman" w:hAnsi="Times New Roman"/>
          <w:b w:val="false"/>
          <w:sz w:val="18"/>
        </w:rPr>
        <w:t>are issued.</w:t>
      </w:r>
    </w:p>
    <w:p>
      <w:pPr>
        <w:pStyle w:val="TextBody"/>
        <w:spacing w:lineRule="auto" w:line="273" w:before="216" w:after="0"/>
        <w:jc w:val="left"/>
        <w:rPr>
          <w:rFonts w:ascii="Times New Roman" w:hAnsi="Times New Roman"/>
          <w:b/>
          <w:i/>
          <w:sz w:val="18"/>
        </w:rPr>
      </w:pPr>
      <w:r>
        <w:rPr>
          <w:rFonts w:ascii="Times New Roman" w:hAnsi="Times New Roman"/>
          <w:b/>
          <w:i/>
          <w:sz w:val="18"/>
        </w:rPr>
        <w:t>Variable Interest Entities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 consolidates entities in which it has a controlling financial interest. The Company determines whether it has a controlling financial interest in an entity by first evaluating whether the entity is a voting interest entity or a variable interest entity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 (see Notes 10 and 12).</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i/>
          <w:sz w:val="18"/>
        </w:rPr>
      </w:pPr>
      <w:r>
        <w:rPr>
          <w:rFonts w:ascii="Times New Roman" w:hAnsi="Times New Roman"/>
          <w:b/>
          <w:i/>
          <w:sz w:val="18"/>
        </w:rPr>
        <w:t>Use of Estimates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Company’s consolidated financial statements are prepared in accordance with U.S. generally accepted accounting principles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revenue recognition,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spacing w:lineRule="auto" w:line="273" w:before="210" w:after="0"/>
        <w:jc w:val="left"/>
        <w:rPr>
          <w:rFonts w:ascii="Times New Roman" w:hAnsi="Times New Roman"/>
          <w:b/>
          <w:i/>
          <w:sz w:val="18"/>
        </w:rPr>
      </w:pPr>
      <w:r>
        <w:rPr>
          <w:rFonts w:ascii="Times New Roman" w:hAnsi="Times New Roman"/>
          <w:b/>
          <w:i/>
          <w:sz w:val="18"/>
        </w:rPr>
        <w:t>Segment Reporting</w:t>
      </w:r>
    </w:p>
    <w:p>
      <w:pPr>
        <w:pStyle w:val="TextBody"/>
        <w:spacing w:lineRule="auto" w:line="273" w:before="108" w:after="0"/>
        <w:jc w:val="left"/>
        <w:rPr>
          <w:rFonts w:ascii="Times New Roman" w:hAnsi="Times New Roman"/>
          <w:sz w:val="20"/>
        </w:rPr>
      </w:pPr>
      <w:r>
        <w:rPr>
          <w:rFonts w:ascii="Times New Roman" w:hAnsi="Times New Roman"/>
          <w:b w:val="false"/>
          <w:sz w:val="18"/>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in one</w:t>
      </w:r>
      <w:r>
        <w:rPr>
          <w:rFonts w:ascii="Times New Roman" w:hAnsi="Times New Roman"/>
          <w:sz w:val="20"/>
        </w:rPr>
        <w:t xml:space="preserve"> </w:t>
      </w:r>
      <w:r>
        <w:rPr>
          <w:rFonts w:ascii="Times New Roman" w:hAnsi="Times New Roman"/>
          <w:b w:val="false"/>
          <w:sz w:val="18"/>
        </w:rPr>
        <w:t>operating segment.</w:t>
      </w:r>
    </w:p>
    <w:p>
      <w:pPr>
        <w:pStyle w:val="TextBody"/>
        <w:spacing w:lineRule="auto" w:line="273" w:before="216" w:after="0"/>
        <w:jc w:val="left"/>
        <w:rPr>
          <w:rFonts w:ascii="Times New Roman" w:hAnsi="Times New Roman"/>
          <w:b/>
          <w:i/>
          <w:sz w:val="18"/>
        </w:rPr>
      </w:pPr>
      <w:r>
        <w:rPr>
          <w:rFonts w:ascii="Times New Roman" w:hAnsi="Times New Roman"/>
          <w:b/>
          <w:i/>
          <w:sz w:val="18"/>
        </w:rPr>
        <w:t>Cash and Cash Equivalents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 considers all highly liquid investments with original maturities of three months or less when purchased to be cash equivalents.</w:t>
      </w:r>
    </w:p>
    <w:p>
      <w:pPr>
        <w:pStyle w:val="TextBody"/>
        <w:spacing w:lineRule="auto" w:line="273" w:before="216" w:after="0"/>
        <w:jc w:val="left"/>
        <w:rPr>
          <w:rFonts w:ascii="Times New Roman" w:hAnsi="Times New Roman"/>
          <w:b/>
          <w:i/>
          <w:sz w:val="18"/>
        </w:rPr>
      </w:pPr>
      <w:r>
        <w:rPr>
          <w:rFonts w:ascii="Times New Roman" w:hAnsi="Times New Roman"/>
          <w:b/>
          <w:i/>
          <w:sz w:val="18"/>
        </w:rPr>
        <w:t>Concentrations of Risk</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For the years ended December 31, 2021, 2020, and 2019, BeiGene, as defined and described in Note 9, represented 0%, 100% and 91%, respectively, of total revenues.</w:t>
      </w:r>
    </w:p>
    <w:p>
      <w:pPr>
        <w:pStyle w:val="TextBody"/>
        <w:spacing w:lineRule="auto" w:line="273" w:before="216" w:after="0"/>
        <w:jc w:val="left"/>
        <w:rPr>
          <w:rFonts w:ascii="Times New Roman" w:hAnsi="Times New Roman"/>
          <w:b/>
          <w:i/>
          <w:sz w:val="18"/>
        </w:rPr>
      </w:pPr>
      <w:r>
        <w:rPr>
          <w:rFonts w:ascii="Times New Roman" w:hAnsi="Times New Roman"/>
          <w:b/>
          <w:i/>
          <w:sz w:val="18"/>
        </w:rPr>
        <w:t>Property and Equipment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pStyle w:val="TextBody"/>
        <w:spacing w:lineRule="auto" w:line="273" w:before="216" w:after="0"/>
        <w:jc w:val="left"/>
        <w:rPr>
          <w:rFonts w:ascii="Times New Roman" w:hAnsi="Times New Roman"/>
          <w:b/>
          <w:i/>
          <w:sz w:val="18"/>
        </w:rPr>
      </w:pPr>
      <w:r>
        <w:rPr>
          <w:rFonts w:ascii="Times New Roman" w:hAnsi="Times New Roman"/>
          <w:b/>
          <w:i/>
          <w:sz w:val="18"/>
        </w:rPr>
        <w:t>Impairment of Long-Lived Assets</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not recognized any impairment losses for the years ended December 31, 2021, 2020, and 2019.</w:t>
      </w:r>
      <w:r>
        <w:rPr>
          <w:rFonts w:ascii="Times New Roman" w:hAnsi="Times New Roman"/>
          <w:sz w:val="20"/>
        </w:rPr>
        <w:t xml:space="preserve"> </w:t>
      </w:r>
    </w:p>
    <w:p>
      <w:pPr>
        <w:pStyle w:val="TextBody"/>
        <w:spacing w:lineRule="auto" w:line="273" w:before="216" w:after="0"/>
        <w:jc w:val="left"/>
        <w:rPr>
          <w:rFonts w:ascii="Times New Roman" w:hAnsi="Times New Roman"/>
          <w:b/>
          <w:i/>
          <w:sz w:val="18"/>
        </w:rPr>
      </w:pPr>
      <w:r>
        <w:rPr>
          <w:rFonts w:ascii="Times New Roman" w:hAnsi="Times New Roman"/>
          <w:b/>
          <w:i/>
          <w:sz w:val="18"/>
        </w:rPr>
        <w:t>Leases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 adopted the Accounting Standard Update (“ASU”) 2016-02, Leases, and additional ASUs issued to clarify and update the guidance in ASU 2016-02 (collectively, “ASC 842”), as of January 1, 2021. See the section Recently Adopted Accounting Pronouncements below for more information.</w:t>
      </w:r>
    </w:p>
    <w:p>
      <w:pPr>
        <w:pStyle w:val="TextBody"/>
        <w:spacing w:lineRule="auto" w:line="273" w:before="216" w:after="0"/>
        <w:jc w:val="left"/>
        <w:rPr>
          <w:rFonts w:ascii="Times New Roman" w:hAnsi="Times New Roman"/>
          <w:sz w:val="20"/>
        </w:rPr>
      </w:pPr>
      <w:r>
        <w:rPr>
          <w:rFonts w:ascii="Times New Roman" w:hAnsi="Times New Roman"/>
          <w:b w:val="false"/>
          <w:sz w:val="18"/>
        </w:rPr>
        <w:t xml:space="preserve">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 </w:t>
        <w:br/>
      </w:r>
      <w:r>
        <w:rPr>
          <w:rFonts w:ascii="Times New Roman" w:hAnsi="Times New Roman"/>
          <w:sz w:val="20"/>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sz w:val="20"/>
        </w:rPr>
      </w:pPr>
      <w:r>
        <w:rPr>
          <w:rFonts w:ascii="Times New Roman" w:hAnsi="Times New Roman"/>
          <w:b w:val="false"/>
          <w:sz w:val="18"/>
        </w:rPr>
        <w:t xml:space="preserve">The Company has a single lease agreement with lease and non-lease components, which are accounted for as a single lease component. The Company elected to use the transition relief package of practical expedients but did not elect to use the hindsight practical expedient in determining a lease term and impairment of ROU assets at the adoption date. For short-term leases, defined as leases with a term of twelve months or less, the Company elected the practical expedient to not recognize an associated lease liability and ROU asset. Lease payments for short-term leases are expensed on a straight-line basis over the lease term. The Company does not currently have any short-term leases. </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Operating leases are included in operating lease right-of-use assets, operating lease liabilities, and operating lease liabilities, non-current on the Company’s consolidated balance sheets. The Company does not have any finance leases.</w:t>
        <w:br/>
        <w:br/>
      </w:r>
      <w:r>
        <w:rPr>
          <w:rFonts w:ascii="Times New Roman" w:hAnsi="Times New Roman"/>
          <w:b/>
          <w:i/>
          <w:sz w:val="18"/>
        </w:rPr>
        <w:t>Lease Accounting Prior to the Adoption of ASC 842</w:t>
      </w:r>
      <w:r>
        <w:rPr>
          <w:rFonts w:ascii="Times New Roman" w:hAnsi="Times New Roman"/>
          <w:b w:val="false"/>
          <w:sz w:val="18"/>
        </w:rPr>
        <w:br/>
      </w:r>
      <w:r>
        <w:rPr>
          <w:rFonts w:ascii="Times New Roman" w:hAnsi="Times New Roman"/>
          <w:sz w:val="20"/>
        </w:rPr>
        <w:t> </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For operating leases, the Company recorded rent expense using the straight-line method over the lease term, which includes the period of time from when the Company takes possession of the leased space until leasehold improvements are completed and the space is occupied. The difference between rent expense and amounts paid under the lease agreement is deferred in the accompanying consolidated balance sheets. Tenant improvement allowances and other lease incentives are recorded as liabilities and are amortized on the straight-line basis over the lease term as reductions to rent expense.</w:t>
      </w:r>
    </w:p>
    <w:p>
      <w:pPr>
        <w:pStyle w:val="TextBody"/>
        <w:spacing w:lineRule="auto" w:line="273" w:before="216" w:after="0"/>
        <w:jc w:val="left"/>
        <w:rPr>
          <w:rFonts w:ascii="Times New Roman" w:hAnsi="Times New Roman"/>
          <w:b/>
          <w:i/>
          <w:sz w:val="18"/>
        </w:rPr>
      </w:pPr>
      <w:r>
        <w:rPr>
          <w:rFonts w:ascii="Times New Roman" w:hAnsi="Times New Roman"/>
          <w:b/>
          <w:i/>
          <w:sz w:val="18"/>
        </w:rPr>
        <w:t>Beneficial Conversion Features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 beneficial conversion feature is a non-detachable conversion feature that is “in the money” at the commitment date, which requires recognition of interest expense for underlying debt instruments and a deemed dividend for underlying equity instruments. A conversion option is “in the money” if the effective conversion price is lower than the commitment date fair value of the share into which it is convertible.</w:t>
      </w:r>
    </w:p>
    <w:p>
      <w:pPr>
        <w:pStyle w:val="TextBody"/>
        <w:spacing w:lineRule="auto" w:line="273" w:before="216" w:after="0"/>
        <w:jc w:val="left"/>
        <w:rPr>
          <w:rFonts w:ascii="Times New Roman" w:hAnsi="Times New Roman"/>
          <w:b/>
          <w:i/>
          <w:sz w:val="18"/>
        </w:rPr>
      </w:pPr>
      <w:r>
        <w:rPr>
          <w:rFonts w:ascii="Times New Roman" w:hAnsi="Times New Roman"/>
          <w:b/>
          <w:i/>
          <w:sz w:val="18"/>
        </w:rPr>
        <w:t>Accounting for Derivatives</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evaluates its convertible instruments and other contracts to determine if those contracts or embedded components of those contracts are required to be recognized under Accounting Standards Codification (“ASC”) Topic 815,</w:t>
      </w:r>
      <w:r>
        <w:rPr>
          <w:rFonts w:ascii="Times New Roman" w:hAnsi="Times New Roman"/>
          <w:sz w:val="20"/>
        </w:rPr>
        <w:t xml:space="preserve"> </w:t>
      </w:r>
      <w:r>
        <w:rPr>
          <w:rFonts w:ascii="Times New Roman" w:hAnsi="Times New Roman"/>
          <w:b w:val="false"/>
          <w:i/>
          <w:sz w:val="18"/>
        </w:rPr>
        <w:t>Derivatives and Hedging</w:t>
      </w:r>
      <w:r>
        <w:rPr>
          <w:rFonts w:ascii="Times New Roman" w:hAnsi="Times New Roman"/>
          <w:b w:val="false"/>
          <w:sz w:val="18"/>
        </w:rPr>
        <w:t>. The result of this accounting treatment is that the derivative is carried at fair value as an asset or liability with changes in fair value recognized in earnings as they occur. Although separately measured at fair value, the fair value of bifurcated embedded derivatives is presented with the host contract in the consolidated balance sheets. Changes in the fair value of derivatives are recorded in the accompanying consolidated statements of operations and comprehensive loss as a component of other income (expense).</w:t>
      </w:r>
    </w:p>
    <w:p>
      <w:pPr>
        <w:pStyle w:val="TextBody"/>
        <w:spacing w:lineRule="auto" w:line="273" w:before="216" w:after="0"/>
        <w:jc w:val="left"/>
        <w:rPr>
          <w:rFonts w:ascii="Times New Roman" w:hAnsi="Times New Roman"/>
          <w:b/>
          <w:i/>
          <w:sz w:val="18"/>
        </w:rPr>
      </w:pPr>
      <w:r>
        <w:rPr>
          <w:rFonts w:ascii="Times New Roman" w:hAnsi="Times New Roman"/>
          <w:b/>
          <w:i/>
          <w:sz w:val="18"/>
        </w:rPr>
        <w:t>Revenue Recognition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uses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Company expenses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spacing w:lineRule="auto" w:line="273" w:before="216" w:after="0"/>
        <w:jc w:val="left"/>
        <w:rPr>
          <w:rFonts w:ascii="Times New Roman" w:hAnsi="Times New Roman"/>
          <w:b/>
          <w:i/>
          <w:sz w:val="18"/>
        </w:rPr>
      </w:pPr>
      <w:r>
        <w:rPr>
          <w:rFonts w:ascii="Times New Roman" w:hAnsi="Times New Roman"/>
          <w:b/>
          <w:i/>
          <w:sz w:val="18"/>
        </w:rPr>
        <w:t>Research and Development Expenses</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Company’s activities have largely consisted of research and development efforts related to developing our CAB programs. Research and development expenses consist of expenses incurred in performing research and development activities including salaries and benefits, facilities and other overhead expenses, clinical trials, contract services and other outside expenses. Research and development expenses are charged to expense as incurred. Payments for these activities are based on the terms of the individual agreements, which may differ from the pattern of costs incurred, and are reflected in the accompanying consolidated balance sheets as prepaid or accrued expenses. When evaluating the adequacy of the accrued expenses,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val="false"/>
          <w:sz w:val="18"/>
        </w:rPr>
        <w:t>As of December 31, 2021, the Company has accrued $6.2</w:t>
      </w:r>
      <w:r>
        <w:rPr>
          <w:rFonts w:ascii="Times New Roman" w:hAnsi="Times New Roman"/>
          <w:sz w:val="20"/>
        </w:rPr>
        <w:t xml:space="preserve"> </w:t>
      </w:r>
      <w:r>
        <w:rPr>
          <w:rFonts w:ascii="Times New Roman" w:hAnsi="Times New Roman"/>
          <w:b w:val="false"/>
          <w:sz w:val="18"/>
        </w:rPr>
        <w:t>million related to clinical trial costs. The Company has entered into contracts related to its clinical trials with clinical research organizations. The Company reviews and accrues clinical trial costs based on work performed, which relies on estimates of total trial management costs, sites activated, patients enrolled, and number of patient visits. The Company follows this method since reasonably dependable estimates of the costs applicable to clinical trials can be made. Accrued clinical trial costs are subject to revisions as the trials progress. Revisions are charged to expense in the period in which the facts that give rise to the revision become known. Historically, revisions have not resulted in material changes to research and development expense; however, a modification in the protocol of a clinical trial or cancellation of a trial could result in a change to the Company's results of operations.</w:t>
      </w:r>
      <w:r>
        <w:rPr>
          <w:rFonts w:ascii="Times New Roman" w:hAnsi="Times New Roman"/>
          <w:sz w:val="20"/>
        </w:rPr>
        <w:t xml:space="preserve"> </w:t>
      </w:r>
    </w:p>
    <w:p>
      <w:pPr>
        <w:pStyle w:val="TextBody"/>
        <w:spacing w:lineRule="auto" w:line="273" w:before="216" w:after="0"/>
        <w:jc w:val="left"/>
        <w:rPr>
          <w:rFonts w:ascii="Times New Roman" w:hAnsi="Times New Roman"/>
          <w:b/>
          <w:i/>
          <w:sz w:val="18"/>
        </w:rPr>
      </w:pPr>
      <w:r>
        <w:rPr>
          <w:rFonts w:ascii="Times New Roman" w:hAnsi="Times New Roman"/>
          <w:b/>
          <w:i/>
          <w:sz w:val="18"/>
        </w:rPr>
        <w:t>Patent Costs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Costs related to filing and pursuing patent applications are recorded as general and administrative expenses and expensed as incurred since recoverability of such expenditures is uncertain.</w:t>
      </w:r>
    </w:p>
    <w:p>
      <w:pPr>
        <w:pStyle w:val="TextBody"/>
        <w:spacing w:lineRule="auto" w:line="273" w:before="216" w:after="0"/>
        <w:jc w:val="left"/>
        <w:rPr>
          <w:rFonts w:ascii="Times New Roman" w:hAnsi="Times New Roman"/>
          <w:b/>
          <w:i/>
          <w:sz w:val="18"/>
        </w:rPr>
      </w:pPr>
      <w:r>
        <w:rPr>
          <w:rFonts w:ascii="Times New Roman" w:hAnsi="Times New Roman"/>
          <w:b/>
          <w:i/>
          <w:sz w:val="18"/>
        </w:rPr>
        <w:t>Equity-Based Compensation Related to Profits Interest Plan</w:t>
      </w:r>
    </w:p>
    <w:p>
      <w:pPr>
        <w:pStyle w:val="TextBody"/>
        <w:spacing w:lineRule="auto" w:line="273" w:before="108" w:after="0"/>
        <w:jc w:val="left"/>
        <w:rPr>
          <w:rFonts w:ascii="Times New Roman" w:hAnsi="Times New Roman"/>
          <w:sz w:val="20"/>
        </w:rPr>
      </w:pPr>
      <w:r>
        <w:rPr>
          <w:rFonts w:ascii="Times New Roman" w:hAnsi="Times New Roman"/>
          <w:b w:val="false"/>
          <w:sz w:val="18"/>
        </w:rPr>
        <w:t>Prior to the Corporate Reorganization in July 2020, the Company had a profits interest plan that was a liability award plan in accordance with ASC Topic 718,</w:t>
      </w:r>
      <w:r>
        <w:rPr>
          <w:rFonts w:ascii="Times New Roman" w:hAnsi="Times New Roman"/>
          <w:sz w:val="20"/>
        </w:rPr>
        <w:t xml:space="preserve"> </w:t>
      </w:r>
      <w:r>
        <w:rPr>
          <w:rFonts w:ascii="Times New Roman" w:hAnsi="Times New Roman"/>
          <w:b w:val="false"/>
          <w:i/>
          <w:sz w:val="18"/>
        </w:rPr>
        <w:t>Compensation – Stock Compensation (Topic 718)</w:t>
      </w:r>
      <w:r>
        <w:rPr>
          <w:rFonts w:ascii="Times New Roman" w:hAnsi="Times New Roman"/>
          <w:b w:val="false"/>
          <w:sz w:val="18"/>
        </w:rPr>
        <w:t>. The Company measured the fair value of each award on the grant date and recognized such fair value over the requisite service period (usually the vesting period) on a straight-line basis. The fair value of the award was remeasured at each reporting date until the award was settled, with a true-up of compensation cost for changes in fair value prorated for the portion of the requisite service period rendered. Once vested, any subsequent change in fair value was recognized immediately. The fair value of any awards that expired or were forfeited or canceled for no value was adjusted to zero, as they occurred, such that any previously recorded compensation cost would be fully reversed. Subsequent to the Corporate Reorganization and amendment of the profits interest plan by Himalaya Parent in October 2020, the Company no longer reflects compensation cost and a corresponding capital contribution associated with the ongoing mark-to-market of the Class B profits interests held by Himalaya Parent LLC.</w:t>
      </w:r>
    </w:p>
    <w:p>
      <w:pPr>
        <w:pStyle w:val="TextBody"/>
        <w:spacing w:lineRule="auto" w:line="273" w:before="216" w:after="0"/>
        <w:jc w:val="left"/>
        <w:rPr>
          <w:rFonts w:ascii="Times New Roman" w:hAnsi="Times New Roman"/>
          <w:b/>
          <w:i/>
          <w:sz w:val="18"/>
        </w:rPr>
      </w:pPr>
      <w:r>
        <w:rPr>
          <w:rFonts w:ascii="Times New Roman" w:hAnsi="Times New Roman"/>
          <w:b/>
          <w:i/>
          <w:sz w:val="18"/>
        </w:rPr>
        <w:t>Stock-Based Compensation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i/>
          <w:sz w:val="18"/>
        </w:rPr>
      </w:pPr>
      <w:r>
        <w:rPr>
          <w:rFonts w:ascii="Times New Roman" w:hAnsi="Times New Roman"/>
          <w:b/>
          <w:i/>
          <w:sz w:val="18"/>
        </w:rPr>
        <w:t>Income Taxes</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br/>
      </w:r>
      <w:r>
        <w:rPr>
          <w:rFonts w:ascii="Times New Roman" w:hAnsi="Times New Roman"/>
          <w:sz w:val="20"/>
        </w:rPr>
        <w:t>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spacing w:lineRule="auto" w:line="273" w:before="216" w:after="0"/>
        <w:jc w:val="left"/>
        <w:rPr>
          <w:rFonts w:ascii="Times New Roman" w:hAnsi="Times New Roman"/>
          <w:b/>
          <w:i/>
          <w:sz w:val="18"/>
        </w:rPr>
      </w:pPr>
      <w:r>
        <w:rPr>
          <w:rFonts w:ascii="Times New Roman" w:hAnsi="Times New Roman"/>
          <w:b/>
          <w:i/>
          <w:sz w:val="18"/>
        </w:rPr>
        <w:t>Comprehensive Loss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pStyle w:val="TextBody"/>
        <w:spacing w:lineRule="auto" w:line="273" w:before="216" w:after="0"/>
        <w:jc w:val="left"/>
        <w:rPr>
          <w:rFonts w:ascii="Times New Roman" w:hAnsi="Times New Roman"/>
          <w:b/>
          <w:i/>
          <w:sz w:val="18"/>
        </w:rPr>
      </w:pPr>
      <w:r>
        <w:rPr>
          <w:rFonts w:ascii="Times New Roman" w:hAnsi="Times New Roman"/>
          <w:b/>
          <w:i/>
          <w:sz w:val="18"/>
        </w:rPr>
        <w:t>Net Loss Per Unit/Share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Prior to the Corporate Reorganization, the Company applied the two-class method for calculating and presenting net loss per unit. In applying the two-class method, earnings are hypothetically allocated between the common, preferred, and other participating securities based on their respective rights to receive non-forfeitable distributions, whether or not declared. The Company considered its Class A units to be its “common units” since Class A units were the most subordinate class of equity with respect to preference in liquidation. In addition, the Class C units were entitled to a preferred return equal to 10% per annum, simple interest, on the Class C issuance price. The Company’s Class B units were excluded from the net loss per unit calculations based on the presumption that the units would be settled in cash pursuant to the terms of the Company’s operating agreement. Basic net loss per Class A unit was calculated by dividing net loss allocable to Class A unit holders (after adjustment for Class C preferred return and allocation of net losses to Class C units) by the weighted-average number of Class A units outstanding during the period. The Company calculated diluted net loss per unit using the more dilutive of 1) the treasury stock method, if-converted method, or contingently issuable share method, as applicable, or 2) the two-class method. For the year ended December 31, 2019, the basic and diluted net loss per unit were the same as the inclusion of outstanding warrants, convertible debt or Class C preferred units would be antidilutive.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Subsequent to the Corporate Reorganization, basic net loss per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and common stock options outstanding under the Company’s stock option plan.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For the year ended December 31, 2020, the Company determined that the attribution of pre-Corporate Reorganization net losses based on the post-Corporate Reorganization capital structure would not meaningfully represent the economic rights of the unit holders. As a result, the Company presents net loss per share information only for the period subsequent to the Corporate Reorganization. The basic and diluted net loss per share for the year ended December 31, 2020 represents only the period from July 10, 2020 to December 31, 2020, the period where the Company had outstanding common stock.</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following table presents the calculation of basic and diluted net loss per share for the period following the Corporate Reorganization (in thousands, except share and per share data):</w:t>
      </w:r>
    </w:p>
    <w:p>
      <w:pPr>
        <w:pStyle w:val="TextBody"/>
        <w:spacing w:lineRule="auto" w:line="273" w:before="0" w:after="0"/>
        <w:jc w:val="left"/>
        <w:rPr/>
      </w:pPr>
      <w:r>
        <w:rPr/>
        <w:t> </w:t>
      </w:r>
    </w:p>
    <w:tbl>
      <w:tblPr>
        <w:tblW w:w="6662" w:type="dxa"/>
        <w:jc w:val="left"/>
        <w:tblInd w:w="0" w:type="dxa"/>
        <w:tblCellMar>
          <w:top w:w="28" w:type="dxa"/>
          <w:left w:w="28" w:type="dxa"/>
          <w:bottom w:w="28" w:type="dxa"/>
          <w:right w:w="28" w:type="dxa"/>
        </w:tblCellMar>
      </w:tblPr>
      <w:tblGrid>
        <w:gridCol w:w="5311"/>
        <w:gridCol w:w="218"/>
        <w:gridCol w:w="922"/>
        <w:gridCol w:w="211"/>
      </w:tblGrid>
      <w:tr>
        <w:trPr/>
        <w:tc>
          <w:tcPr>
            <w:tcW w:w="531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311"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July 10, 2020</w:t>
              <w:br/>
              <w:t>through</w:t>
              <w:br/>
              <w:t>December 31,</w:t>
              <w:br/>
              <w:t> 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1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Numerator:</w:t>
            </w:r>
          </w:p>
        </w:tc>
        <w:tc>
          <w:tcPr>
            <w:tcW w:w="1140"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5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w:t>
            </w:r>
          </w:p>
        </w:tc>
        <w:tc>
          <w:tcPr>
            <w:tcW w:w="2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(26,877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5311" w:type="dxa"/>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Denominator:</w:t>
            </w:r>
          </w:p>
        </w:tc>
        <w:tc>
          <w:tcPr>
            <w:tcW w:w="1140" w:type="dxa"/>
            <w:gridSpan w:val="2"/>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right"/>
              <w:rPr/>
            </w:pPr>
            <w:r>
              <w:rPr/>
              <w:t> </w:t>
            </w:r>
          </w:p>
        </w:tc>
      </w:tr>
      <w:tr>
        <w:trPr/>
        <w:tc>
          <w:tcPr>
            <w:tcW w:w="5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Weighted-average shares of common stock outstanding, basic and diluted</w:t>
            </w:r>
          </w:p>
        </w:tc>
        <w:tc>
          <w:tcPr>
            <w:tcW w:w="2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8,428,153</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loss per common share, basic and diluted</w:t>
            </w:r>
          </w:p>
        </w:tc>
        <w:tc>
          <w:tcPr>
            <w:tcW w:w="2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9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(3.19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Potentially dilutive securities not included in the calculation of diluted net loss per share because to do so would be anti-dilutive are as follows (in common stock equivalents):</w:t>
      </w:r>
    </w:p>
    <w:p>
      <w:pPr>
        <w:pStyle w:val="TextBody"/>
        <w:spacing w:lineRule="auto" w:line="273" w:before="0" w:after="0"/>
        <w:jc w:val="left"/>
        <w:rPr/>
      </w:pPr>
      <w:r>
        <w:rPr/>
        <w:t> </w:t>
      </w:r>
    </w:p>
    <w:tbl>
      <w:tblPr>
        <w:tblW w:w="4624" w:type="dxa"/>
        <w:jc w:val="left"/>
        <w:tblInd w:w="0" w:type="dxa"/>
        <w:tblCellMar>
          <w:top w:w="28" w:type="dxa"/>
          <w:left w:w="28" w:type="dxa"/>
          <w:bottom w:w="28" w:type="dxa"/>
          <w:right w:w="28" w:type="dxa"/>
        </w:tblCellMar>
      </w:tblPr>
      <w:tblGrid>
        <w:gridCol w:w="1861"/>
        <w:gridCol w:w="171"/>
        <w:gridCol w:w="969"/>
        <w:gridCol w:w="146"/>
        <w:gridCol w:w="146"/>
        <w:gridCol w:w="171"/>
        <w:gridCol w:w="969"/>
        <w:gridCol w:w="191"/>
      </w:tblGrid>
      <w:tr>
        <w:trPr/>
        <w:tc>
          <w:tcPr>
            <w:tcW w:w="186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b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Common stock warrants</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151,088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717,674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8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Common stock options</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1,086,902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615,106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8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Restricted stock units</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975,046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1,920,037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8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w:t>
            </w:r>
          </w:p>
        </w:tc>
        <w:tc>
          <w:tcPr>
            <w:tcW w:w="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2,213,036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6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3,252,817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00" w:after="0"/>
        <w:jc w:val="left"/>
        <w:rPr>
          <w:rFonts w:ascii="Times New Roman" w:hAnsi="Times New Roman"/>
          <w:b/>
          <w:i/>
          <w:sz w:val="18"/>
        </w:rPr>
      </w:pPr>
      <w:r>
        <w:rPr>
          <w:rFonts w:ascii="Times New Roman" w:hAnsi="Times New Roman"/>
          <w:b/>
          <w:i/>
          <w:sz w:val="18"/>
        </w:rPr>
        <w:t>Recent Accounting Pronouncements</w:t>
      </w:r>
    </w:p>
    <w:p>
      <w:pPr>
        <w:pStyle w:val="TextBody"/>
        <w:spacing w:lineRule="auto" w:line="273" w:before="108" w:after="0"/>
        <w:jc w:val="left"/>
        <w:rPr>
          <w:rFonts w:ascii="Times New Roman" w:hAnsi="Times New Roman"/>
          <w:sz w:val="20"/>
        </w:rPr>
      </w:pPr>
      <w:r>
        <w:rPr>
          <w:rFonts w:ascii="Times New Roman" w:hAnsi="Times New Roman"/>
          <w:b w:val="false"/>
          <w:sz w:val="18"/>
        </w:rPr>
        <w:t>Under the Jumpstart Our Business Startups Act of 2012, or the JOBS Act, emerging growth companies (“EGC”) can delay adopting new or revised accounting standards issued subsequent to the enactment of the JOBS Act until such time as those standards apply to private companies. The Company elected to retain the ability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The Company lost its emerging growth company status on December 31, 2021 because the Company became a large accelerated filer due to the fact that the Company’s public float exceeded $700 million as of the June 30, 2021 measurement date.</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Company adopted the following accounting standards during the year ended December 31, 2021:</w:t>
      </w:r>
    </w:p>
    <w:p>
      <w:pPr>
        <w:pStyle w:val="TextBody"/>
        <w:spacing w:lineRule="auto" w:line="273" w:before="216" w:after="0"/>
        <w:jc w:val="left"/>
        <w:rPr>
          <w:rFonts w:ascii="Times New Roman" w:hAnsi="Times New Roman"/>
          <w:sz w:val="20"/>
        </w:rPr>
      </w:pPr>
      <w:r>
        <w:rPr>
          <w:rFonts w:ascii="Times New Roman" w:hAnsi="Times New Roman"/>
          <w:b w:val="false"/>
          <w:sz w:val="18"/>
        </w:rPr>
        <w:t>In February 2016, the Financial Accounting Standards Board (“FASB”) issued ASU No. 2016-02, Leases. The new standard establishes a right-of-use model and requires a lessee to recognize on the balance sheet a right-of-use asset and corresponding lease liability for all leases with terms longer than 12 months. Leases will be classified as either finance or operating, with classification affecting the pattern of expense recognition in the income statement. Effective January 1, 2021, the Company adopted this new standard prospectively using a modified retrospective transition approach. The Company elected the package of practical expedients permitted under the transition guidance of the new standard, which allowed the Company to carry forward its historical assessment on whether a contract is or contains a lease, lease classification, and initial direct costs. Upon adoption on January 1, 2021, the Company recognized operating lease ROU assets of $4.1</w:t>
      </w:r>
      <w:r>
        <w:rPr>
          <w:rFonts w:ascii="Times New Roman" w:hAnsi="Times New Roman"/>
          <w:sz w:val="20"/>
        </w:rPr>
        <w:t xml:space="preserve"> </w:t>
      </w:r>
      <w:r>
        <w:rPr>
          <w:rFonts w:ascii="Times New Roman" w:hAnsi="Times New Roman"/>
          <w:b w:val="false"/>
          <w:sz w:val="18"/>
        </w:rPr>
        <w:t>million, and current and non-current operating lease liabilities of $1.1</w:t>
      </w:r>
      <w:r>
        <w:rPr>
          <w:rFonts w:ascii="Times New Roman" w:hAnsi="Times New Roman"/>
          <w:sz w:val="20"/>
        </w:rPr>
        <w:t xml:space="preserve"> </w:t>
      </w:r>
      <w:r>
        <w:rPr>
          <w:rFonts w:ascii="Times New Roman" w:hAnsi="Times New Roman"/>
          <w:b w:val="false"/>
          <w:sz w:val="18"/>
        </w:rPr>
        <w:t>million and $5.4</w:t>
      </w:r>
      <w:r>
        <w:rPr>
          <w:rFonts w:ascii="Times New Roman" w:hAnsi="Times New Roman"/>
          <w:sz w:val="20"/>
        </w:rPr>
        <w:t xml:space="preserve"> </w:t>
      </w:r>
      <w:r>
        <w:rPr>
          <w:rFonts w:ascii="Times New Roman" w:hAnsi="Times New Roman"/>
          <w:b w:val="false"/>
          <w:sz w:val="18"/>
        </w:rPr>
        <w:t>million, respectively. The difference between the asset and liabilities is primarily attributable to adjustments to the right-of-use asset at transition related to lease incentives and deferred rent. The adoption of ASC 842 did not have a material impact to Company’s consolidated statements of operations and cash flows from operations.</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val="false"/>
          <w:sz w:val="18"/>
        </w:rPr>
        <w:t>In December 2019, the FASB issued ASU No. 2019-12 Income Taxes (Topic 740) Simplifying the Accounting for Income Taxes. The Board issued this Update as part of its Simplification Initiative to improve areas of GAAP and reduce cost and complexity while maintaining usefulness. The main provisions remove certain exceptions including the exception to the general methodology for calculating income taxes in an interim period when a year-to-date loss exceeds the anticipated loss for the year. In addition, the amendments simplify income tax accounting in the areas such as income-based franchise taxes, eliminating the requirements to allocate consolidated current and deferred tax expense in certain instances, and a requirement that an entity reflects the effect of enacted changes in tax laws or rates in the annual effective tax rate computation in the interim period that includes the enactment date. For public companies, the standard is effective for fiscal years beginning after December 15, 2020 and interim periods therein. The Company adopted ASU 2019-12 on the effective date of January 1, 2021. The amendments were applied on a prospective basis and the adoption did not have a significant impact on the Company's financial results.</w:t>
      </w:r>
      <w:r>
        <w:rPr>
          <w:rFonts w:ascii="Times New Roman" w:hAnsi="Times New Roman"/>
          <w:sz w:val="20"/>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sz w:val="18"/>
        </w:rPr>
      </w:pPr>
      <w:r>
        <w:rPr>
          <w:rFonts w:ascii="Times New Roman" w:hAnsi="Times New Roman"/>
          <w:b/>
          <w:sz w:val="18"/>
        </w:rPr>
        <w:t>2. Balance sheet details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Prepaid expenses and other current assets consist of the following (in thousands):</w:t>
      </w:r>
    </w:p>
    <w:p>
      <w:pPr>
        <w:pStyle w:val="TextBody"/>
        <w:spacing w:lineRule="auto" w:line="273" w:before="0" w:after="0"/>
        <w:jc w:val="left"/>
        <w:rPr/>
      </w:pPr>
      <w:r>
        <w:rPr/>
        <w:t> </w:t>
      </w:r>
    </w:p>
    <w:tbl>
      <w:tblPr>
        <w:tblW w:w="5134" w:type="dxa"/>
        <w:jc w:val="left"/>
        <w:tblInd w:w="0" w:type="dxa"/>
        <w:tblCellMar>
          <w:top w:w="28" w:type="dxa"/>
          <w:left w:w="28" w:type="dxa"/>
          <w:bottom w:w="28" w:type="dxa"/>
          <w:right w:w="28" w:type="dxa"/>
        </w:tblCellMar>
      </w:tblPr>
      <w:tblGrid>
        <w:gridCol w:w="3091"/>
        <w:gridCol w:w="146"/>
        <w:gridCol w:w="196"/>
        <w:gridCol w:w="511"/>
        <w:gridCol w:w="146"/>
        <w:gridCol w:w="146"/>
        <w:gridCol w:w="196"/>
        <w:gridCol w:w="511"/>
        <w:gridCol w:w="191"/>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Prepaid 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2,004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prepaid expenses and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0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2,313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2,076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Property and equipment consist of the following (in thousands):</w:t>
      </w:r>
    </w:p>
    <w:p>
      <w:pPr>
        <w:pStyle w:val="TextBody"/>
        <w:spacing w:lineRule="auto" w:line="273" w:before="0" w:after="0"/>
        <w:jc w:val="left"/>
        <w:rPr/>
      </w:pPr>
      <w:r>
        <w:rPr/>
        <w:t> </w:t>
      </w:r>
    </w:p>
    <w:tbl>
      <w:tblPr>
        <w:tblW w:w="7271" w:type="dxa"/>
        <w:jc w:val="left"/>
        <w:tblInd w:w="0" w:type="dxa"/>
        <w:tblCellMar>
          <w:top w:w="28" w:type="dxa"/>
          <w:left w:w="28" w:type="dxa"/>
          <w:bottom w:w="28" w:type="dxa"/>
          <w:right w:w="28" w:type="dxa"/>
        </w:tblCellMar>
      </w:tblPr>
      <w:tblGrid>
        <w:gridCol w:w="3481"/>
        <w:gridCol w:w="146"/>
        <w:gridCol w:w="1441"/>
        <w:gridCol w:w="146"/>
        <w:gridCol w:w="196"/>
        <w:gridCol w:w="571"/>
        <w:gridCol w:w="166"/>
        <w:gridCol w:w="146"/>
        <w:gridCol w:w="196"/>
        <w:gridCol w:w="571"/>
        <w:gridCol w:w="21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Useful life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Furniture, fixtures and office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18"/>
              </w:rPr>
              <w:t>3</w:t>
            </w:r>
            <w:r>
              <w:rPr>
                <w:rFonts w:ascii="Times New Roman" w:hAnsi="Times New Roman"/>
                <w:sz w:val="20"/>
              </w:rPr>
              <w:t> </w:t>
            </w:r>
            <w:r>
              <w:rPr>
                <w:rFonts w:ascii="Times New Roman" w:hAnsi="Times New Roman"/>
                <w:b w:val="false"/>
                <w:sz w:val="18"/>
              </w:rPr>
              <w:t>- 7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2,123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1,719</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4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Laboratory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2,123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1,790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4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shd w:fill="auto" w:val="cle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val="false"/>
                <w:sz w:val="18"/>
              </w:rPr>
              <w:t>2</w:t>
            </w:r>
            <w:r>
              <w:rPr>
                <w:rFonts w:ascii="Times New Roman" w:hAnsi="Times New Roman"/>
                <w:sz w:val="20"/>
              </w:rPr>
              <w:t> </w:t>
            </w:r>
            <w:r>
              <w:rPr>
                <w:rFonts w:ascii="Times New Roman" w:hAnsi="Times New Roman"/>
                <w:b w:val="false"/>
                <w:sz w:val="18"/>
              </w:rPr>
              <w:t>- 3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3,663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48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7,933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7,172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4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Less accumulated 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(4,257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(3,070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4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3,676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4,102</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Accounts payable and accrued expenses consist of the following (in thousands):</w:t>
      </w:r>
    </w:p>
    <w:p>
      <w:pPr>
        <w:pStyle w:val="TextBody"/>
        <w:spacing w:lineRule="auto" w:line="273" w:before="0" w:after="0"/>
        <w:jc w:val="left"/>
        <w:rPr/>
      </w:pPr>
      <w:r>
        <w:rPr/>
        <w:t> </w:t>
      </w:r>
    </w:p>
    <w:tbl>
      <w:tblPr>
        <w:tblW w:w="4819" w:type="dxa"/>
        <w:jc w:val="left"/>
        <w:tblInd w:w="0" w:type="dxa"/>
        <w:tblCellMar>
          <w:top w:w="28" w:type="dxa"/>
          <w:left w:w="28" w:type="dxa"/>
          <w:bottom w:w="28" w:type="dxa"/>
          <w:right w:w="28" w:type="dxa"/>
        </w:tblCellMar>
      </w:tblPr>
      <w:tblGrid>
        <w:gridCol w:w="2596"/>
        <w:gridCol w:w="146"/>
        <w:gridCol w:w="196"/>
        <w:gridCol w:w="601"/>
        <w:gridCol w:w="146"/>
        <w:gridCol w:w="146"/>
        <w:gridCol w:w="196"/>
        <w:gridCol w:w="601"/>
        <w:gridCol w:w="1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2,456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Accrued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2,804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Accrued 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13,501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4,852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Accrued equity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1,143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1,073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813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18,424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12,068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00" w:after="0"/>
        <w:jc w:val="left"/>
        <w:rPr>
          <w:rFonts w:ascii="Times New Roman" w:hAnsi="Times New Roman"/>
          <w:b/>
          <w:sz w:val="18"/>
        </w:rPr>
      </w:pPr>
      <w:r>
        <w:rPr>
          <w:rFonts w:ascii="Times New Roman" w:hAnsi="Times New Roman"/>
          <w:b/>
          <w:sz w:val="18"/>
        </w:rPr>
        <w:t>3. Fair value measurements</w:t>
      </w:r>
    </w:p>
    <w:p>
      <w:pPr>
        <w:pStyle w:val="TextBody"/>
        <w:spacing w:lineRule="auto" w:line="273" w:before="108" w:after="0"/>
        <w:jc w:val="left"/>
        <w:rPr>
          <w:rFonts w:ascii="Times New Roman" w:hAnsi="Times New Roman"/>
          <w:sz w:val="20"/>
        </w:rPr>
      </w:pPr>
      <w:r>
        <w:rPr>
          <w:rFonts w:ascii="Times New Roman" w:hAnsi="Times New Roman"/>
          <w:b w:val="false"/>
          <w:sz w:val="18"/>
        </w:rPr>
        <w:t>The carrying amounts of the Company’s current financial assets and current financial liabilities are considered to be representative of their respective fair values because of the short-term nature of those instruments. As of December 31, 2021 and December 31, 2020, the Company had no</w:t>
      </w:r>
      <w:r>
        <w:rPr>
          <w:rFonts w:ascii="Times New Roman" w:hAnsi="Times New Roman"/>
          <w:sz w:val="20"/>
        </w:rPr>
        <w:t xml:space="preserve"> </w:t>
      </w:r>
      <w:r>
        <w:rPr>
          <w:rFonts w:ascii="Times New Roman" w:hAnsi="Times New Roman"/>
          <w:b w:val="false"/>
          <w:sz w:val="18"/>
        </w:rPr>
        <w:t xml:space="preserve">financial assets or liabilities measured at fair value on a recurring basis. </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br/>
      </w:r>
      <w:r>
        <w:rPr>
          <w:rFonts w:ascii="Times New Roman" w:hAnsi="Times New Roman"/>
          <w:sz w:val="20"/>
        </w:rPr>
        <w:t> </w:t>
      </w:r>
    </w:p>
    <w:p>
      <w:pPr>
        <w:pStyle w:val="TextBody"/>
        <w:spacing w:lineRule="auto" w:line="273" w:before="108" w:after="0"/>
        <w:jc w:val="left"/>
        <w:rPr>
          <w:rFonts w:ascii="Times New Roman" w:hAnsi="Times New Roman"/>
          <w:sz w:val="20"/>
        </w:rPr>
      </w:pPr>
      <w:r>
        <w:rPr>
          <w:rFonts w:ascii="Times New Roman" w:hAnsi="Times New Roman"/>
          <w:b w:val="false"/>
          <w:sz w:val="18"/>
        </w:rPr>
        <w:t>Level 1: Observable inputs such as quoted prices in active markets.</w:t>
        <w:br/>
      </w:r>
      <w:r>
        <w:rPr>
          <w:rFonts w:ascii="Times New Roman" w:hAnsi="Times New Roman"/>
          <w:sz w:val="20"/>
        </w:rPr>
        <w:t> </w:t>
      </w:r>
    </w:p>
    <w:p>
      <w:pPr>
        <w:pStyle w:val="TextBody"/>
        <w:spacing w:lineRule="auto" w:line="273" w:before="108" w:after="0"/>
        <w:jc w:val="left"/>
        <w:rPr>
          <w:rFonts w:ascii="Times New Roman" w:hAnsi="Times New Roman"/>
          <w:sz w:val="20"/>
        </w:rPr>
      </w:pPr>
      <w:r>
        <w:rPr>
          <w:rFonts w:ascii="Times New Roman" w:hAnsi="Times New Roman"/>
          <w:b w:val="false"/>
          <w:sz w:val="18"/>
        </w:rPr>
        <w:t>Level 2: Inputs, other than the quoted prices in active markets that are observable either directly or indirectly.</w:t>
        <w:br/>
      </w:r>
      <w:r>
        <w:rPr>
          <w:rFonts w:ascii="Times New Roman" w:hAnsi="Times New Roman"/>
          <w:sz w:val="20"/>
        </w:rPr>
        <w:t> </w:t>
      </w:r>
    </w:p>
    <w:p>
      <w:pPr>
        <w:pStyle w:val="TextBody"/>
        <w:spacing w:lineRule="auto" w:line="273" w:before="108" w:after="0"/>
        <w:jc w:val="left"/>
        <w:rPr>
          <w:rFonts w:ascii="Times New Roman" w:hAnsi="Times New Roman"/>
          <w:sz w:val="20"/>
        </w:rPr>
      </w:pPr>
      <w:r>
        <w:rPr>
          <w:rFonts w:ascii="Times New Roman" w:hAnsi="Times New Roman"/>
          <w:b w:val="false"/>
          <w:sz w:val="18"/>
        </w:rPr>
        <w:t>Level 3: Unobservable inputs in which there is little or no market data, which require the reporting entity to develop its own assumptions.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None of the Company’s non-financial assets and liabilities are recorded at fair value on a non-recurring basis. No transfers between levels have occurred during the periods presented.</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The 2018 Notes (as amended in 2020), the 2019 Notes and the 2020 Notes (each as defined and described in Note 4) contained a redemption feature which was determined to be an embedded derivative requiring bifurcation and separate accounting. The fair value of the derivative was determined based on an income approach that identified the cash flows using a “with-and-without” valuation methodology. The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inputs used to determine the estimated fair value of the derivative instrument were based primarily on the probability of an underlying event triggering the embedded derivative occurring and the timing of such event.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following table provides a reconciliation of the embedded derivative liability measured at fair value using Level 3 unobservable inputs (in thousands):</w:t>
      </w:r>
    </w:p>
    <w:p>
      <w:pPr>
        <w:pStyle w:val="TextBody"/>
        <w:spacing w:lineRule="auto" w:line="273" w:before="0" w:after="0"/>
        <w:jc w:val="left"/>
        <w:rPr/>
      </w:pPr>
      <w:r>
        <w:rPr/>
        <w:t> </w:t>
      </w:r>
    </w:p>
    <w:tbl>
      <w:tblPr>
        <w:tblW w:w="4979" w:type="dxa"/>
        <w:jc w:val="left"/>
        <w:tblInd w:w="0" w:type="dxa"/>
        <w:tblCellMar>
          <w:top w:w="28" w:type="dxa"/>
          <w:left w:w="28" w:type="dxa"/>
          <w:bottom w:w="28" w:type="dxa"/>
          <w:right w:w="28" w:type="dxa"/>
        </w:tblCellMar>
      </w:tblPr>
      <w:tblGrid>
        <w:gridCol w:w="3496"/>
        <w:gridCol w:w="146"/>
        <w:gridCol w:w="241"/>
        <w:gridCol w:w="705"/>
        <w:gridCol w:w="3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Embedded</w:t>
              <w:br/>
              <w:t>derivative</w:t>
              <w:br/>
              <w:t>liability</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1,856</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4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Initial fair value of embedded derivatives issued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pPr>
            <w:r>
              <w:rPr/>
              <w:t> </w:t>
            </w:r>
          </w:p>
        </w:tc>
        <w:tc>
          <w:tcPr>
            <w:tcW w:w="70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3,415</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4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Change in 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pPr>
            <w:r>
              <w:rPr/>
              <w:t> </w:t>
            </w:r>
          </w:p>
        </w:tc>
        <w:tc>
          <w:tcPr>
            <w:tcW w:w="70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1,581</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4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Settlement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(6,852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0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00" w:after="0"/>
        <w:jc w:val="left"/>
        <w:rPr>
          <w:rFonts w:ascii="Times New Roman" w:hAnsi="Times New Roman"/>
          <w:b/>
          <w:sz w:val="18"/>
        </w:rPr>
      </w:pPr>
      <w:r>
        <w:rPr>
          <w:rFonts w:ascii="Times New Roman" w:hAnsi="Times New Roman"/>
          <w:b/>
          <w:sz w:val="18"/>
        </w:rPr>
        <w:t>4. Convertible and other debt</w:t>
      </w:r>
    </w:p>
    <w:p>
      <w:pPr>
        <w:pStyle w:val="TextBody"/>
        <w:spacing w:lineRule="auto" w:line="273" w:before="100" w:after="0"/>
        <w:jc w:val="left"/>
        <w:rPr>
          <w:rFonts w:ascii="Times New Roman" w:hAnsi="Times New Roman"/>
          <w:b/>
          <w:i/>
          <w:sz w:val="18"/>
        </w:rPr>
      </w:pPr>
      <w:r>
        <w:rPr>
          <w:rFonts w:ascii="Times New Roman" w:hAnsi="Times New Roman"/>
          <w:b/>
          <w:i/>
          <w:sz w:val="18"/>
        </w:rPr>
        <w:t>Pfizer convertible promissory note</w:t>
      </w:r>
    </w:p>
    <w:p>
      <w:pPr>
        <w:pStyle w:val="TextBody"/>
        <w:spacing w:lineRule="auto" w:line="273" w:before="108" w:after="0"/>
        <w:jc w:val="left"/>
        <w:rPr>
          <w:rFonts w:ascii="Times New Roman" w:hAnsi="Times New Roman"/>
          <w:sz w:val="20"/>
        </w:rPr>
      </w:pPr>
      <w:r>
        <w:rPr>
          <w:rFonts w:ascii="Times New Roman" w:hAnsi="Times New Roman"/>
          <w:b w:val="false"/>
          <w:sz w:val="18"/>
        </w:rPr>
        <w:t>In December 2015, the Company issued a $10.0</w:t>
      </w:r>
      <w:r>
        <w:rPr>
          <w:rFonts w:ascii="Times New Roman" w:hAnsi="Times New Roman"/>
          <w:sz w:val="20"/>
        </w:rPr>
        <w:t xml:space="preserve"> </w:t>
      </w:r>
      <w:r>
        <w:rPr>
          <w:rFonts w:ascii="Times New Roman" w:hAnsi="Times New Roman"/>
          <w:b w:val="false"/>
          <w:sz w:val="18"/>
        </w:rPr>
        <w:t>million unsecured convertible promissory note (“Pfizer Note”) to certain affiliates of Pfizer, Inc. (“Pfizer”). The Pfizer Note accrued interest at 8.0% per annum with a maturity date in December 2020. Prior to amendment in March 2019 as described below, the Pfizer Note, including accrued interest, was convertible at the election of the holder into Class C preferred units at a price of $3.394142</w:t>
      </w:r>
      <w:r>
        <w:rPr>
          <w:rFonts w:ascii="Times New Roman" w:hAnsi="Times New Roman"/>
          <w:sz w:val="20"/>
        </w:rPr>
        <w:t xml:space="preserve"> </w:t>
      </w:r>
      <w:r>
        <w:rPr>
          <w:rFonts w:ascii="Times New Roman" w:hAnsi="Times New Roman"/>
          <w:b w:val="false"/>
          <w:sz w:val="18"/>
        </w:rPr>
        <w:t>per unit and was automatically convertible into i) common shares upon the completion of an IPO based on the price per share paid by investors in the IPO or ii) qualified financing shares upon the completion of a qualified financing based on the price per share paid by investors in the qualified financing. The Company assessed the terms of the Pfizer Note and concluded that it was not share-settled debt, did not contain any embedded derivative features requiring bifurcation and did not contain a beneficial conversion feature. As a result, the Pfizer Note was carried at cost since the Company did not incur a material amount of issuance costs in connection with the debt.</w:t>
      </w:r>
    </w:p>
    <w:p>
      <w:pPr>
        <w:pStyle w:val="TextBody"/>
        <w:spacing w:lineRule="auto" w:line="273" w:before="216" w:after="0"/>
        <w:jc w:val="left"/>
        <w:rPr>
          <w:rFonts w:ascii="Times New Roman" w:hAnsi="Times New Roman"/>
          <w:sz w:val="20"/>
        </w:rPr>
      </w:pPr>
      <w:r>
        <w:rPr>
          <w:rFonts w:ascii="Times New Roman" w:hAnsi="Times New Roman"/>
          <w:b w:val="false"/>
          <w:sz w:val="18"/>
        </w:rPr>
        <w:t>The Pfizer Note was amended in March 2019 in connection with the Division to provide the lender additional accrued interest upon conversion. The amended conversion amount of the Pfizer Note was equal to the greater of a) the then outstanding principal plus accrued interest, or b) principal plus accrued interest through December 7, 2020. In connection with the March 2019 amendment, Pfizer received conditional warrants in BioAtla Holdings and Inversagen which allowed Pfizer to acquire an equity interest in each of BioAtla Holdings and Inversagen upon conversion of the Pfizer Note of the Post-Division Successor. The amendment of the Pfizer Note was accounted for as a modification, which required prospective consideration of the revised terms. The Company recognized the initial fair value of the warrants of $0.5</w:t>
      </w:r>
      <w:r>
        <w:rPr>
          <w:rFonts w:ascii="Times New Roman" w:hAnsi="Times New Roman"/>
          <w:sz w:val="20"/>
        </w:rPr>
        <w:t xml:space="preserve"> </w:t>
      </w:r>
      <w:r>
        <w:rPr>
          <w:rFonts w:ascii="Times New Roman" w:hAnsi="Times New Roman"/>
          <w:b w:val="false"/>
          <w:sz w:val="18"/>
        </w:rPr>
        <w:t>million as a fee paid by the Company to the lenders, which was recorded as debt discount on the modified debt and as a capital contribution, as the warrants</w:t>
      </w:r>
      <w:r>
        <w:rPr>
          <w:rFonts w:ascii="Times New Roman" w:hAnsi="Times New Roman"/>
          <w:sz w:val="20"/>
        </w:rPr>
        <w:t xml:space="preserve"> </w:t>
      </w:r>
      <w:r>
        <w:rPr>
          <w:rFonts w:ascii="Times New Roman" w:hAnsi="Times New Roman"/>
          <w:b w:val="false"/>
          <w:sz w:val="18"/>
        </w:rPr>
        <w:t>were written on two entities under common control that were not consolidated with the Company. The debt discount was amortized to interest expense using the effective interest method over the term of the Pfizer Note. The fair value of the conditional warrants was determined using the Option Pricing Method based on the underlying value of the assets allocated to BioAtla Holdings and Inversagen. The Company incurred interest expense in connection with the Pfizer Note of $0.6</w:t>
      </w:r>
      <w:r>
        <w:rPr>
          <w:rFonts w:ascii="Times New Roman" w:hAnsi="Times New Roman"/>
          <w:sz w:val="20"/>
        </w:rPr>
        <w:t xml:space="preserve"> </w:t>
      </w:r>
      <w:r>
        <w:rPr>
          <w:rFonts w:ascii="Times New Roman" w:hAnsi="Times New Roman"/>
          <w:b w:val="false"/>
          <w:sz w:val="18"/>
        </w:rPr>
        <w:t>million and $1.0</w:t>
      </w:r>
      <w:r>
        <w:rPr>
          <w:rFonts w:ascii="Times New Roman" w:hAnsi="Times New Roman"/>
          <w:sz w:val="20"/>
        </w:rPr>
        <w:t xml:space="preserve"> </w:t>
      </w:r>
      <w:r>
        <w:rPr>
          <w:rFonts w:ascii="Times New Roman" w:hAnsi="Times New Roman"/>
          <w:b w:val="false"/>
          <w:sz w:val="18"/>
        </w:rPr>
        <w:t>million for the years ended December 31, 2020 and 2019. As further described below, the Pfizer Note was amended and settled in connection with the Corporate Reorganization in July 2020.</w:t>
      </w:r>
    </w:p>
    <w:p>
      <w:pPr>
        <w:pStyle w:val="TextBody"/>
        <w:spacing w:lineRule="auto" w:line="273" w:before="324" w:after="0"/>
        <w:jc w:val="left"/>
        <w:rPr>
          <w:rFonts w:ascii="Times New Roman" w:hAnsi="Times New Roman"/>
          <w:b/>
          <w:i/>
          <w:sz w:val="18"/>
        </w:rPr>
      </w:pPr>
      <w:r>
        <w:rPr>
          <w:rFonts w:ascii="Times New Roman" w:hAnsi="Times New Roman"/>
          <w:b/>
          <w:i/>
          <w:sz w:val="18"/>
        </w:rPr>
        <w:t>2018 convertible promissory notes</w:t>
      </w:r>
    </w:p>
    <w:p>
      <w:pPr>
        <w:pStyle w:val="TextBody"/>
        <w:spacing w:lineRule="auto" w:line="273" w:before="108" w:after="0"/>
        <w:jc w:val="left"/>
        <w:rPr>
          <w:rFonts w:ascii="Times New Roman" w:hAnsi="Times New Roman"/>
          <w:sz w:val="20"/>
        </w:rPr>
      </w:pPr>
      <w:r>
        <w:rPr>
          <w:rFonts w:ascii="Times New Roman" w:hAnsi="Times New Roman"/>
          <w:b w:val="false"/>
          <w:sz w:val="18"/>
        </w:rPr>
        <w:t>In August 2018, the Company issued unsecured convertible promissory notes for an aggregate of $5.0</w:t>
      </w:r>
      <w:r>
        <w:rPr>
          <w:rFonts w:ascii="Times New Roman" w:hAnsi="Times New Roman"/>
          <w:sz w:val="20"/>
        </w:rPr>
        <w:t xml:space="preserve"> </w:t>
      </w:r>
      <w:r>
        <w:rPr>
          <w:rFonts w:ascii="Times New Roman" w:hAnsi="Times New Roman"/>
          <w:b w:val="false"/>
          <w:sz w:val="18"/>
        </w:rPr>
        <w:t>million (the “2018 Notes”). The 2018 Notes accrued interest at 8.0% per annum with a maturity date in July 2023. Prior to amendment in March 2019, as described below, the then outstanding principal plus accrued interest under the 2018 Notes was convertible at the election of the holder into Class C preferred units at a price of $3.394142</w:t>
      </w:r>
      <w:r>
        <w:rPr>
          <w:rFonts w:ascii="Times New Roman" w:hAnsi="Times New Roman"/>
          <w:sz w:val="20"/>
        </w:rPr>
        <w:t xml:space="preserve"> </w:t>
      </w:r>
      <w:r>
        <w:rPr>
          <w:rFonts w:ascii="Times New Roman" w:hAnsi="Times New Roman"/>
          <w:b w:val="false"/>
          <w:sz w:val="18"/>
        </w:rPr>
        <w:t>per unit and was automatically convertible into i) common shares upon the completion of an IPO based on the price per share paid by investors in the IPO or ii) qualified financing shares upon the completion of a qualified financing based on the price per share paid by investors in the qualified financing. The Company assessed the terms of the 2018 Notes and concluded that they were not share-settled debt, did not contain any embedded derivative features requiring bifurcation and did not contain a beneficial conversion feature. As a result, the 2018 Notes were carried at cost since the Company did not incur a material amount of issuance costs in connection with the issuance of the promissory notes.</w:t>
      </w:r>
    </w:p>
    <w:p>
      <w:pPr>
        <w:pStyle w:val="TextBody"/>
        <w:spacing w:lineRule="auto" w:line="273" w:before="216" w:after="0"/>
        <w:jc w:val="left"/>
        <w:rPr>
          <w:rFonts w:ascii="Times New Roman" w:hAnsi="Times New Roman"/>
          <w:sz w:val="20"/>
        </w:rPr>
      </w:pPr>
      <w:r>
        <w:rPr>
          <w:rFonts w:ascii="Times New Roman" w:hAnsi="Times New Roman"/>
          <w:b w:val="false"/>
          <w:sz w:val="18"/>
        </w:rPr>
        <w:t>The 2018 Notes were amended in March 2019 in connection with the Division to provide the lenders additional accrued interest upon conversion. The amended conversion amount of the 2018 Notes was equal to the greater of a) the then outstanding principal plus accrued interest, or b) principal plus accrued interest through December 7, 2020. In connection with the March 2019 amendment, the lenders received conditional warrants in BioAtla Holdings and Inversagen which allowed them to acquire an equity interest in each of BioAtla Holdings and Inversagen upon conversion of the 2018 Notes of the Post-Division Successor. The amendment of the 2018 Notes was accounted for as a modification, which required prospective consideration of the revised terms. The Company recognized the initial fair value of the warrants of $0.2</w:t>
      </w:r>
      <w:r>
        <w:rPr>
          <w:rFonts w:ascii="Times New Roman" w:hAnsi="Times New Roman"/>
          <w:sz w:val="20"/>
        </w:rPr>
        <w:t xml:space="preserve"> </w:t>
      </w:r>
      <w:r>
        <w:rPr>
          <w:rFonts w:ascii="Times New Roman" w:hAnsi="Times New Roman"/>
          <w:b w:val="false"/>
          <w:sz w:val="18"/>
        </w:rPr>
        <w:t>million as a fee paid by the Company to the lenders, which was recorded as debt discount on the modified debt and as a capital contribution, as the warrants were written on two entities under common control that were not consolidated with the Company. The debt discount was amortized to interest expense using the effective interest method over the term of the 2018 Notes. The fair value of the conditional warrants was determined using the Option Pricing Method based on the underlying value of the assets allocated to BioAtla Holdings. The underlying value of the assets allocated to Inversagen was immaterial.</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sz w:val="20"/>
        </w:rPr>
      </w:pPr>
      <w:r>
        <w:rPr>
          <w:rFonts w:ascii="Times New Roman" w:hAnsi="Times New Roman"/>
          <w:b w:val="false"/>
          <w:sz w:val="18"/>
        </w:rPr>
        <w:t>The 2018 Notes were amended in April 2020 to add a discount to the conversion prices such that they were convertible (i) automatically into preferred stock upon a qualified equity financing, with a conversion price of 80% of the lowest purchase price per share of preferred stock paid by investors in such qualified equity financing, (ii) automatically convert into common stock upon an initial public offering, with a conversion price of 80% of the price per share of common stock paid by investors in such initial public offering, and (iii) upon the election of each note holder, into Class C preferred units, with a conversion price per share of $2.7153136.</w:t>
      </w:r>
      <w:r>
        <w:rPr>
          <w:rFonts w:ascii="Times New Roman" w:hAnsi="Times New Roman"/>
          <w:sz w:val="20"/>
        </w:rPr>
        <w:t xml:space="preserve"> </w:t>
      </w:r>
      <w:r>
        <w:rPr>
          <w:rFonts w:ascii="Times New Roman" w:hAnsi="Times New Roman"/>
          <w:b w:val="false"/>
          <w:sz w:val="18"/>
        </w:rPr>
        <w:t>The Company concluded that the amendment was an extinguishment and the fair value of the amended 2018 Notes was equal to the then outstanding principal and accrued interest of the 2018 Notes. As a result, the Company recognized a loss on extinguishment for the $0.2</w:t>
      </w:r>
      <w:r>
        <w:rPr>
          <w:rFonts w:ascii="Times New Roman" w:hAnsi="Times New Roman"/>
          <w:sz w:val="20"/>
        </w:rPr>
        <w:t xml:space="preserve"> </w:t>
      </w:r>
      <w:r>
        <w:rPr>
          <w:rFonts w:ascii="Times New Roman" w:hAnsi="Times New Roman"/>
          <w:b w:val="false"/>
          <w:sz w:val="18"/>
        </w:rPr>
        <w:t>million of unamortized discounts at the extinguishment date.</w:t>
      </w:r>
    </w:p>
    <w:p>
      <w:pPr>
        <w:pStyle w:val="TextBody"/>
        <w:spacing w:lineRule="auto" w:line="273" w:before="216" w:after="0"/>
        <w:jc w:val="left"/>
        <w:rPr>
          <w:rFonts w:ascii="Times New Roman" w:hAnsi="Times New Roman"/>
          <w:sz w:val="20"/>
        </w:rPr>
      </w:pPr>
      <w:r>
        <w:rPr>
          <w:rFonts w:ascii="Times New Roman" w:hAnsi="Times New Roman"/>
          <w:b w:val="false"/>
          <w:sz w:val="18"/>
        </w:rPr>
        <w:t>In addition, the Company assessed the terms and concluded the amended 2018 Notes: (i) were not share-settled debt, (ii) contained a redemption feature that was determined to be an embedded derivative requiring bifurcation and (iii) did not contain a beneficial conversion feature. The $2.2</w:t>
      </w:r>
      <w:r>
        <w:rPr>
          <w:rFonts w:ascii="Times New Roman" w:hAnsi="Times New Roman"/>
          <w:sz w:val="20"/>
        </w:rPr>
        <w:t xml:space="preserve"> </w:t>
      </w:r>
      <w:r>
        <w:rPr>
          <w:rFonts w:ascii="Times New Roman" w:hAnsi="Times New Roman"/>
          <w:b w:val="false"/>
          <w:sz w:val="18"/>
        </w:rPr>
        <w:t>million issuance date fair value of the embedded derivative liability was recorded as a debt discount and amortized to interest expense using the effective interest method over the remaining term of the 2018 Notes.</w:t>
      </w:r>
    </w:p>
    <w:p>
      <w:pPr>
        <w:pStyle w:val="TextBody"/>
        <w:spacing w:lineRule="auto" w:line="273" w:before="216" w:after="0"/>
        <w:jc w:val="left"/>
        <w:rPr>
          <w:rFonts w:ascii="Times New Roman" w:hAnsi="Times New Roman"/>
          <w:sz w:val="20"/>
        </w:rPr>
      </w:pPr>
      <w:r>
        <w:rPr>
          <w:rFonts w:ascii="Times New Roman" w:hAnsi="Times New Roman"/>
          <w:b w:val="false"/>
          <w:sz w:val="18"/>
        </w:rPr>
        <w:t>The Company incurred interest expense, including coupon interest and amortization of debt discounts, in connection with the 2018 Notes of $0.4</w:t>
      </w:r>
      <w:r>
        <w:rPr>
          <w:rFonts w:ascii="Times New Roman" w:hAnsi="Times New Roman"/>
          <w:sz w:val="20"/>
        </w:rPr>
        <w:t xml:space="preserve"> </w:t>
      </w:r>
      <w:r>
        <w:rPr>
          <w:rFonts w:ascii="Times New Roman" w:hAnsi="Times New Roman"/>
          <w:b w:val="false"/>
          <w:sz w:val="18"/>
        </w:rPr>
        <w:t>million and $0.4</w:t>
      </w:r>
      <w:r>
        <w:rPr>
          <w:rFonts w:ascii="Times New Roman" w:hAnsi="Times New Roman"/>
          <w:sz w:val="20"/>
        </w:rPr>
        <w:t xml:space="preserve"> </w:t>
      </w:r>
      <w:r>
        <w:rPr>
          <w:rFonts w:ascii="Times New Roman" w:hAnsi="Times New Roman"/>
          <w:b w:val="false"/>
          <w:sz w:val="18"/>
        </w:rPr>
        <w:t>million for the years ended December 31, 2020 and 2019, respectively. As further described below, the 2018 Notes were amended and settled in connection with the Corporate Reorganization in July 2020.</w:t>
      </w:r>
    </w:p>
    <w:p>
      <w:pPr>
        <w:pStyle w:val="TextBody"/>
        <w:spacing w:lineRule="auto" w:line="273" w:before="324" w:after="0"/>
        <w:jc w:val="left"/>
        <w:rPr>
          <w:rFonts w:ascii="Times New Roman" w:hAnsi="Times New Roman"/>
          <w:b/>
          <w:i/>
          <w:sz w:val="18"/>
        </w:rPr>
      </w:pPr>
      <w:r>
        <w:rPr>
          <w:rFonts w:ascii="Times New Roman" w:hAnsi="Times New Roman"/>
          <w:b/>
          <w:i/>
          <w:sz w:val="18"/>
        </w:rPr>
        <w:t>2019 convertible promissory notes</w:t>
      </w:r>
    </w:p>
    <w:p>
      <w:pPr>
        <w:pStyle w:val="TextBody"/>
        <w:spacing w:lineRule="auto" w:line="273" w:before="108" w:after="0"/>
        <w:jc w:val="left"/>
        <w:rPr>
          <w:rFonts w:ascii="Times New Roman" w:hAnsi="Times New Roman"/>
          <w:sz w:val="20"/>
        </w:rPr>
      </w:pPr>
      <w:r>
        <w:rPr>
          <w:rFonts w:ascii="Times New Roman" w:hAnsi="Times New Roman"/>
          <w:b w:val="false"/>
          <w:sz w:val="18"/>
        </w:rPr>
        <w:t>Between August and December 2019, the Company issued unsecured convertible promissory notes payable to various entities in an aggregate principal amount of $4.0</w:t>
      </w:r>
      <w:r>
        <w:rPr>
          <w:rFonts w:ascii="Times New Roman" w:hAnsi="Times New Roman"/>
          <w:sz w:val="20"/>
        </w:rPr>
        <w:t xml:space="preserve"> </w:t>
      </w:r>
      <w:r>
        <w:rPr>
          <w:rFonts w:ascii="Times New Roman" w:hAnsi="Times New Roman"/>
          <w:b w:val="false"/>
          <w:sz w:val="18"/>
        </w:rPr>
        <w:t>million (the “2019 Notes”), of which $1.5</w:t>
      </w:r>
      <w:r>
        <w:rPr>
          <w:rFonts w:ascii="Times New Roman" w:hAnsi="Times New Roman"/>
          <w:sz w:val="20"/>
        </w:rPr>
        <w:t xml:space="preserve"> </w:t>
      </w:r>
      <w:r>
        <w:rPr>
          <w:rFonts w:ascii="Times New Roman" w:hAnsi="Times New Roman"/>
          <w:b w:val="false"/>
          <w:sz w:val="18"/>
        </w:rPr>
        <w:t>million was to related parties. The 2019 Notes accrued interest at 8.0% per annum with maturity dates of five years after issuance. The outstanding principal amount and any accrued and unpaid interest on the 2019 Notes was due and payable on the earlier to occur of (i) the maturity date, (ii) an event of default, or (iii) immediately prior to an acquisition event. The 2019 Notes were convertible (i) automatically into preferred stock upon a qualified equity financing, with a conversion price of 80% of the lowest purchase price per share of preferred stock paid by investors in such qualified equity financing, (ii) automatically into common stock upon an initial public offering, with a conversion price of 80% of the price per share of common stock paid by investors in such initial public offering, and (iii) upon the election of each note holder, into Class C preferred units, with a conversion price per share of $2.7153136.</w:t>
      </w:r>
      <w:r>
        <w:rPr>
          <w:rFonts w:ascii="Times New Roman" w:hAnsi="Times New Roman"/>
          <w:sz w:val="20"/>
        </w:rPr>
        <w:t xml:space="preserve"> </w:t>
      </w:r>
      <w:r>
        <w:rPr>
          <w:rFonts w:ascii="Times New Roman" w:hAnsi="Times New Roman"/>
          <w:b w:val="false"/>
          <w:sz w:val="18"/>
        </w:rPr>
        <w:t>The number of shares or units issuable upon conversion is determined by dividing the conversion amount by the conversion price, with the conversion amount equal to the greater of a) the then outstanding principal plus accrued interest, or b) principal plus accrued interest through December 7, 2020.</w:t>
      </w:r>
    </w:p>
    <w:p>
      <w:pPr>
        <w:pStyle w:val="TextBody"/>
        <w:spacing w:lineRule="auto" w:line="273" w:before="216" w:after="0"/>
        <w:jc w:val="left"/>
        <w:rPr>
          <w:rFonts w:ascii="Times New Roman" w:hAnsi="Times New Roman"/>
          <w:sz w:val="20"/>
        </w:rPr>
      </w:pPr>
      <w:r>
        <w:rPr>
          <w:rFonts w:ascii="Times New Roman" w:hAnsi="Times New Roman"/>
          <w:b w:val="false"/>
          <w:sz w:val="18"/>
        </w:rPr>
        <w:t>The Company assessed the terms and concluded the 2019 Notes: (i) were not share-settled debt, (ii) contained a redemption feature that was determined to be an embedded derivative requiring bifurcation and (iii) certain of the notes contained a beneficial conversion feature because the fair value of the securities into which the 2019 Notes were convertible at the time of issuance, the Class C preferred units, was greater than the effective conversion price of the 2019 Notes. The $0.5</w:t>
      </w:r>
      <w:r>
        <w:rPr>
          <w:rFonts w:ascii="Times New Roman" w:hAnsi="Times New Roman"/>
          <w:sz w:val="20"/>
        </w:rPr>
        <w:t xml:space="preserve"> </w:t>
      </w:r>
      <w:r>
        <w:rPr>
          <w:rFonts w:ascii="Times New Roman" w:hAnsi="Times New Roman"/>
          <w:b w:val="false"/>
          <w:sz w:val="18"/>
        </w:rPr>
        <w:t>million beneficial conversion feature was recorded as additional paid-in capital and a debt discount and the $1.8</w:t>
      </w:r>
      <w:r>
        <w:rPr>
          <w:rFonts w:ascii="Times New Roman" w:hAnsi="Times New Roman"/>
          <w:sz w:val="20"/>
        </w:rPr>
        <w:t xml:space="preserve"> </w:t>
      </w:r>
      <w:r>
        <w:rPr>
          <w:rFonts w:ascii="Times New Roman" w:hAnsi="Times New Roman"/>
          <w:b w:val="false"/>
          <w:sz w:val="18"/>
        </w:rPr>
        <w:t>million issuance date fair value of the embedded derivative liability was recorded as a debt discount, both of which discounts were amortized to interest expense using the effective interest method over the term of the 2019 Notes.</w:t>
      </w:r>
    </w:p>
    <w:p>
      <w:pPr>
        <w:pStyle w:val="TextBody"/>
        <w:spacing w:lineRule="auto" w:line="273" w:before="216" w:after="0"/>
        <w:jc w:val="left"/>
        <w:rPr>
          <w:rFonts w:ascii="Times New Roman" w:hAnsi="Times New Roman"/>
          <w:sz w:val="20"/>
        </w:rPr>
      </w:pPr>
      <w:r>
        <w:rPr>
          <w:rFonts w:ascii="Times New Roman" w:hAnsi="Times New Roman"/>
          <w:b w:val="false"/>
          <w:sz w:val="18"/>
        </w:rPr>
        <w:t>In April and May of 2020 certain of the 2019 Notes, representing $2.5</w:t>
      </w:r>
      <w:r>
        <w:rPr>
          <w:rFonts w:ascii="Times New Roman" w:hAnsi="Times New Roman"/>
          <w:sz w:val="20"/>
        </w:rPr>
        <w:t xml:space="preserve"> </w:t>
      </w:r>
      <w:r>
        <w:rPr>
          <w:rFonts w:ascii="Times New Roman" w:hAnsi="Times New Roman"/>
          <w:b w:val="false"/>
          <w:sz w:val="18"/>
        </w:rPr>
        <w:t>million of the then outstanding principal balance, were amended such that the conversion shares or units issuable upon conversion is the greater of: (i) the then outstanding principal plus accrued interest divided by $0.86866</w:t>
      </w:r>
      <w:r>
        <w:rPr>
          <w:rFonts w:ascii="Times New Roman" w:hAnsi="Times New Roman"/>
          <w:sz w:val="20"/>
        </w:rPr>
        <w:t xml:space="preserve"> </w:t>
      </w:r>
      <w:r>
        <w:rPr>
          <w:rFonts w:ascii="Times New Roman" w:hAnsi="Times New Roman"/>
          <w:b w:val="false"/>
          <w:sz w:val="18"/>
        </w:rPr>
        <w:t>or (ii) the amount determined by dividing the conversion amount by the conversion price, with the conversion amount equal to the greater of a) the then outstanding principal plus accrued interest, or b) principal plus accrued interest through December 7, 2020. The amendment of the 2019 Notes was accounted for as a modification, which required prospective consideration of the revised terms.</w:t>
      </w:r>
    </w:p>
    <w:p>
      <w:pPr>
        <w:pStyle w:val="TextBody"/>
        <w:spacing w:lineRule="auto" w:line="273" w:before="216" w:after="0"/>
        <w:jc w:val="left"/>
        <w:rPr>
          <w:rFonts w:ascii="Times New Roman" w:hAnsi="Times New Roman"/>
          <w:sz w:val="20"/>
        </w:rPr>
      </w:pPr>
      <w:r>
        <w:rPr>
          <w:rFonts w:ascii="Times New Roman" w:hAnsi="Times New Roman"/>
          <w:b w:val="false"/>
          <w:sz w:val="18"/>
        </w:rPr>
        <w:t>For the year ended December 31, 2020 and 2019, the Company recognized interest expense, including coupon interest and amortization of debt discounts, in connection with the 2019 Notes of $0.3</w:t>
      </w:r>
      <w:r>
        <w:rPr>
          <w:rFonts w:ascii="Times New Roman" w:hAnsi="Times New Roman"/>
          <w:sz w:val="20"/>
        </w:rPr>
        <w:t xml:space="preserve"> </w:t>
      </w:r>
      <w:r>
        <w:rPr>
          <w:rFonts w:ascii="Times New Roman" w:hAnsi="Times New Roman"/>
          <w:b w:val="false"/>
          <w:sz w:val="18"/>
        </w:rPr>
        <w:t>million and $0.1</w:t>
      </w:r>
      <w:r>
        <w:rPr>
          <w:rFonts w:ascii="Times New Roman" w:hAnsi="Times New Roman"/>
          <w:sz w:val="20"/>
        </w:rPr>
        <w:t xml:space="preserve"> </w:t>
      </w:r>
      <w:r>
        <w:rPr>
          <w:rFonts w:ascii="Times New Roman" w:hAnsi="Times New Roman"/>
          <w:b w:val="false"/>
          <w:sz w:val="18"/>
        </w:rPr>
        <w:t>million, respectively. As further described below, the 2019 Notes were amended and settled in connection with the Corporate Reorganization in July 2020.</w:t>
      </w:r>
    </w:p>
    <w:p>
      <w:pPr>
        <w:pStyle w:val="TextBody"/>
        <w:spacing w:lineRule="auto" w:line="273" w:before="324" w:after="0"/>
        <w:jc w:val="left"/>
        <w:rPr>
          <w:rFonts w:ascii="Times New Roman" w:hAnsi="Times New Roman"/>
          <w:b/>
          <w:i/>
          <w:sz w:val="18"/>
        </w:rPr>
      </w:pPr>
      <w:r>
        <w:rPr>
          <w:rFonts w:ascii="Times New Roman" w:hAnsi="Times New Roman"/>
          <w:b/>
          <w:i/>
          <w:sz w:val="18"/>
        </w:rPr>
        <w:t>2020 convertible promissory notes</w:t>
      </w:r>
    </w:p>
    <w:p>
      <w:pPr>
        <w:pStyle w:val="TextBody"/>
        <w:spacing w:lineRule="auto" w:line="273" w:before="108" w:after="0"/>
        <w:jc w:val="left"/>
        <w:rPr>
          <w:rFonts w:ascii="Times New Roman" w:hAnsi="Times New Roman"/>
          <w:sz w:val="20"/>
        </w:rPr>
      </w:pPr>
      <w:r>
        <w:rPr>
          <w:rFonts w:ascii="Times New Roman" w:hAnsi="Times New Roman"/>
          <w:b w:val="false"/>
          <w:sz w:val="18"/>
        </w:rPr>
        <w:t>During March, April and May of 2020 the Company issued unsecured convertible promissory notes (the “2020 Notes”) payable to various entities in an aggregate principal amount of $2.8</w:t>
      </w:r>
      <w:r>
        <w:rPr>
          <w:rFonts w:ascii="Times New Roman" w:hAnsi="Times New Roman"/>
          <w:sz w:val="20"/>
        </w:rPr>
        <w:t xml:space="preserve"> </w:t>
      </w:r>
      <w:r>
        <w:rPr>
          <w:rFonts w:ascii="Times New Roman" w:hAnsi="Times New Roman"/>
          <w:b w:val="false"/>
          <w:sz w:val="18"/>
        </w:rPr>
        <w:t>million, of which $0.5</w:t>
      </w:r>
      <w:r>
        <w:rPr>
          <w:rFonts w:ascii="Times New Roman" w:hAnsi="Times New Roman"/>
          <w:sz w:val="20"/>
        </w:rPr>
        <w:t xml:space="preserve"> </w:t>
      </w:r>
      <w:r>
        <w:rPr>
          <w:rFonts w:ascii="Times New Roman" w:hAnsi="Times New Roman"/>
          <w:b w:val="false"/>
          <w:sz w:val="18"/>
        </w:rPr>
        <w:t>million was to related parties. The 2020 Notes accrued interest at 8.0% per annum with maturity dates of five years after issuance. The Company assessed the terms and concluded the 2020 Notes: (i) were not share-settled debt,(ii) contained a redemption feature that was determined to be an embedded derivative requiring bifurcation and (iii) did not contain a beneficial conversion feature. The $1.2</w:t>
      </w:r>
      <w:r>
        <w:rPr>
          <w:rFonts w:ascii="Times New Roman" w:hAnsi="Times New Roman"/>
          <w:sz w:val="20"/>
        </w:rPr>
        <w:t xml:space="preserve"> </w:t>
      </w:r>
      <w:r>
        <w:rPr>
          <w:rFonts w:ascii="Times New Roman" w:hAnsi="Times New Roman"/>
          <w:b w:val="false"/>
          <w:sz w:val="18"/>
        </w:rPr>
        <w:t>million issuance date fair value of the embedded derivative liability was recorded as a debt discount which was amortized to interest expense using the effective interest method over the term of the 2020 Notes. In May of 2020 certain of the 2020 Notes, representing $0.1</w:t>
      </w:r>
      <w:r>
        <w:rPr>
          <w:rFonts w:ascii="Times New Roman" w:hAnsi="Times New Roman"/>
          <w:sz w:val="20"/>
        </w:rPr>
        <w:t xml:space="preserve"> </w:t>
      </w:r>
      <w:r>
        <w:rPr>
          <w:rFonts w:ascii="Times New Roman" w:hAnsi="Times New Roman"/>
          <w:b w:val="false"/>
          <w:sz w:val="18"/>
        </w:rPr>
        <w:t>million of the then outstanding principal balance, were amended such that the conversion shares or units issuable upon conversion is the greater of: (i) the then outstanding principal plus accrued interest divided by $0.86866</w:t>
      </w:r>
      <w:r>
        <w:rPr>
          <w:rFonts w:ascii="Times New Roman" w:hAnsi="Times New Roman"/>
          <w:sz w:val="20"/>
        </w:rPr>
        <w:t xml:space="preserve"> </w:t>
      </w:r>
      <w:r>
        <w:rPr>
          <w:rFonts w:ascii="Times New Roman" w:hAnsi="Times New Roman"/>
          <w:b w:val="false"/>
          <w:sz w:val="18"/>
        </w:rPr>
        <w:t>or (ii) the amount determined by dividing the conversion amount by the conversion price, with the conversion amount equal to the greater of a) the then outstanding principal plus accrued interest, or b) principal plus accrued interest through December 7, 2020. The amendment of the 2020 Notes was accounted for as a modification, which required prospective consideration of the revised terms.</w:t>
      </w:r>
    </w:p>
    <w:p>
      <w:pPr>
        <w:pStyle w:val="TextBody"/>
        <w:spacing w:lineRule="auto" w:line="273" w:before="216" w:after="0"/>
        <w:jc w:val="left"/>
        <w:rPr>
          <w:rFonts w:ascii="Times New Roman" w:hAnsi="Times New Roman"/>
          <w:sz w:val="20"/>
        </w:rPr>
      </w:pPr>
      <w:r>
        <w:rPr>
          <w:rFonts w:ascii="Times New Roman" w:hAnsi="Times New Roman"/>
          <w:b w:val="false"/>
          <w:sz w:val="18"/>
        </w:rPr>
        <w:t>For the year ended December 31, 2020, the Company recognized interest expense, including coupon interest and amortization of debt discounts, in connection with the 2020 Notes of $0.1</w:t>
      </w:r>
      <w:r>
        <w:rPr>
          <w:rFonts w:ascii="Times New Roman" w:hAnsi="Times New Roman"/>
          <w:sz w:val="20"/>
        </w:rPr>
        <w:t xml:space="preserve"> </w:t>
      </w:r>
      <w:r>
        <w:rPr>
          <w:rFonts w:ascii="Times New Roman" w:hAnsi="Times New Roman"/>
          <w:b w:val="false"/>
          <w:sz w:val="18"/>
        </w:rPr>
        <w:t>million. As further described below, the 2020 Notes were amended and settled in connection with the Corporate Reorganization in July 2020.</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109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Amendment and settlement of convertible notes</w:t>
      </w:r>
    </w:p>
    <w:p>
      <w:pPr>
        <w:pStyle w:val="TextBody"/>
        <w:spacing w:lineRule="auto" w:line="273" w:before="108" w:after="0"/>
        <w:jc w:val="left"/>
        <w:rPr>
          <w:rFonts w:ascii="Times New Roman" w:hAnsi="Times New Roman"/>
          <w:sz w:val="20"/>
        </w:rPr>
      </w:pPr>
      <w:r>
        <w:rPr>
          <w:rFonts w:ascii="Times New Roman" w:hAnsi="Times New Roman"/>
          <w:b w:val="false"/>
          <w:sz w:val="18"/>
        </w:rPr>
        <w:t>As a condition of the closing of the Series D financing in July 2020, the Pfizer Note, 2018 Notes, 2019 Notes and 2020 Notes (and together, the “Convertible Notes”) were amended to settle the Convertible Notes into 59,164,808</w:t>
      </w:r>
      <w:r>
        <w:rPr>
          <w:rFonts w:ascii="Times New Roman" w:hAnsi="Times New Roman"/>
          <w:sz w:val="20"/>
        </w:rPr>
        <w:t xml:space="preserve"> </w:t>
      </w:r>
      <w:r>
        <w:rPr>
          <w:rFonts w:ascii="Times New Roman" w:hAnsi="Times New Roman"/>
          <w:b w:val="false"/>
          <w:sz w:val="18"/>
        </w:rPr>
        <w:t>Class D units of Himalaya Parent LLC. As of the settlement date, the aggregate outstanding principal and accrued interest of the Convertible Notes was $21.8</w:t>
      </w:r>
      <w:r>
        <w:rPr>
          <w:rFonts w:ascii="Times New Roman" w:hAnsi="Times New Roman"/>
          <w:sz w:val="20"/>
        </w:rPr>
        <w:t xml:space="preserve"> </w:t>
      </w:r>
      <w:r>
        <w:rPr>
          <w:rFonts w:ascii="Times New Roman" w:hAnsi="Times New Roman"/>
          <w:b w:val="false"/>
          <w:sz w:val="18"/>
        </w:rPr>
        <w:t>million and $4.7</w:t>
      </w:r>
      <w:r>
        <w:rPr>
          <w:rFonts w:ascii="Times New Roman" w:hAnsi="Times New Roman"/>
          <w:sz w:val="20"/>
        </w:rPr>
        <w:t xml:space="preserve"> </w:t>
      </w:r>
      <w:r>
        <w:rPr>
          <w:rFonts w:ascii="Times New Roman" w:hAnsi="Times New Roman"/>
          <w:b w:val="false"/>
          <w:sz w:val="18"/>
        </w:rPr>
        <w:t>million, respectively. The Pfizer Note converted into Class D units at a conversion price of $0.51554931</w:t>
      </w:r>
      <w:r>
        <w:rPr>
          <w:rFonts w:ascii="Times New Roman" w:hAnsi="Times New Roman"/>
          <w:sz w:val="20"/>
        </w:rPr>
        <w:t xml:space="preserve"> </w:t>
      </w:r>
      <w:r>
        <w:rPr>
          <w:rFonts w:ascii="Times New Roman" w:hAnsi="Times New Roman"/>
          <w:b w:val="false"/>
          <w:sz w:val="18"/>
        </w:rPr>
        <w:t>and the 2018 Notes and 2019 Notes converted into Class D units at a conversion price of $0.412439448, which is 80% of the price paid by investors in the Series D financing. As of the July 10, 2020 settlement date, the Convertible Notes had a carrying value of $27.9</w:t>
      </w:r>
      <w:r>
        <w:rPr>
          <w:rFonts w:ascii="Times New Roman" w:hAnsi="Times New Roman"/>
          <w:sz w:val="20"/>
        </w:rPr>
        <w:t xml:space="preserve"> </w:t>
      </w:r>
      <w:r>
        <w:rPr>
          <w:rFonts w:ascii="Times New Roman" w:hAnsi="Times New Roman"/>
          <w:b w:val="false"/>
          <w:sz w:val="18"/>
        </w:rPr>
        <w:t>million, including related accrued interest, embedded derivatives and unamortized debt discounts. The fair value of the Class D units of Himalaya Parent LLC issued to the noteholders in exchange for the Convertible Notes was $30.6</w:t>
      </w:r>
      <w:r>
        <w:rPr>
          <w:rFonts w:ascii="Times New Roman" w:hAnsi="Times New Roman"/>
          <w:sz w:val="20"/>
        </w:rPr>
        <w:t xml:space="preserve"> </w:t>
      </w:r>
      <w:r>
        <w:rPr>
          <w:rFonts w:ascii="Times New Roman" w:hAnsi="Times New Roman"/>
          <w:b w:val="false"/>
          <w:sz w:val="18"/>
        </w:rPr>
        <w:t>million, resulting in a loss on extinguishment of convertible debt of $2.7</w:t>
      </w:r>
      <w:r>
        <w:rPr>
          <w:rFonts w:ascii="Times New Roman" w:hAnsi="Times New Roman"/>
          <w:sz w:val="20"/>
        </w:rPr>
        <w:t xml:space="preserve"> </w:t>
      </w:r>
      <w:r>
        <w:rPr>
          <w:rFonts w:ascii="Times New Roman" w:hAnsi="Times New Roman"/>
          <w:b w:val="false"/>
          <w:sz w:val="18"/>
        </w:rPr>
        <w:t>million. The fair value per unit of the Class D units of Himalaya Parent LLC was based on the fair value per share paid by investors in the Company’s Series D financing.</w:t>
      </w:r>
    </w:p>
    <w:p>
      <w:pPr>
        <w:pStyle w:val="TextBody"/>
        <w:spacing w:lineRule="auto" w:line="273" w:before="324" w:after="0"/>
        <w:jc w:val="left"/>
        <w:rPr>
          <w:rFonts w:ascii="Times New Roman" w:hAnsi="Times New Roman"/>
          <w:b/>
          <w:i/>
          <w:sz w:val="18"/>
        </w:rPr>
      </w:pPr>
      <w:r>
        <w:rPr>
          <w:rFonts w:ascii="Times New Roman" w:hAnsi="Times New Roman"/>
          <w:b/>
          <w:i/>
          <w:sz w:val="18"/>
        </w:rPr>
        <w:t>Other Debt</w:t>
      </w:r>
    </w:p>
    <w:p>
      <w:pPr>
        <w:pStyle w:val="TextBody"/>
        <w:spacing w:lineRule="auto" w:line="273" w:before="108" w:after="0"/>
        <w:jc w:val="left"/>
        <w:rPr>
          <w:rFonts w:ascii="Times New Roman" w:hAnsi="Times New Roman"/>
          <w:sz w:val="20"/>
        </w:rPr>
      </w:pPr>
      <w:r>
        <w:rPr>
          <w:rFonts w:ascii="Times New Roman" w:hAnsi="Times New Roman"/>
          <w:b w:val="false"/>
          <w:sz w:val="18"/>
        </w:rPr>
        <w:t>In April 2020, the Company borrowed $0.7</w:t>
      </w:r>
      <w:r>
        <w:rPr>
          <w:rFonts w:ascii="Times New Roman" w:hAnsi="Times New Roman"/>
          <w:sz w:val="20"/>
        </w:rPr>
        <w:t xml:space="preserve"> </w:t>
      </w:r>
      <w:r>
        <w:rPr>
          <w:rFonts w:ascii="Times New Roman" w:hAnsi="Times New Roman"/>
          <w:b w:val="false"/>
          <w:sz w:val="18"/>
        </w:rPr>
        <w:t xml:space="preserve">million under the Paycheck Protection Program (“PPP”) under the CARES Act. The loan </w:t>
        <w:br/>
        <w:t>was subsequently forgiven in July 2021. The $0.7</w:t>
      </w:r>
      <w:r>
        <w:rPr>
          <w:rFonts w:ascii="Times New Roman" w:hAnsi="Times New Roman"/>
          <w:sz w:val="20"/>
        </w:rPr>
        <w:t xml:space="preserve"> </w:t>
      </w:r>
      <w:r>
        <w:rPr>
          <w:rFonts w:ascii="Times New Roman" w:hAnsi="Times New Roman"/>
          <w:b w:val="false"/>
          <w:sz w:val="18"/>
        </w:rPr>
        <w:t>million balance of the forgiven loan was recognized as other income on the Company's Statement of Operations and Comprehensive Loss for the twelve months ended December 31, 2021.</w:t>
      </w:r>
    </w:p>
    <w:p>
      <w:pPr>
        <w:pStyle w:val="TextBody"/>
        <w:spacing w:lineRule="auto" w:line="273" w:before="324" w:after="0"/>
        <w:jc w:val="left"/>
        <w:rPr>
          <w:rFonts w:ascii="Times New Roman" w:hAnsi="Times New Roman"/>
          <w:b/>
          <w:sz w:val="18"/>
        </w:rPr>
      </w:pPr>
      <w:r>
        <w:rPr>
          <w:rFonts w:ascii="Times New Roman" w:hAnsi="Times New Roman"/>
          <w:b/>
          <w:sz w:val="18"/>
        </w:rPr>
        <w:t>5. Leases</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has a single operating lease for its corporate headquarters and laboratory space in San Diego, California. The lease expires in July 2025 and the Company has an option to extend the term of the lease for an additional five years. However, it is not reasonably certain the Company will exercise the option to renew when the lease term ends and thus, the incremental term was excluded from the calculation of the lease liability. Additionally, the lease includes certain rent abatement, rent escalations, tenant improvement allowances and additional charges for common area maintenance and other costs.</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Supplemental balance sheet information related to lease liabilities at December 31, 2021, was as follows (in thousands):</w:t>
      </w:r>
    </w:p>
    <w:p>
      <w:pPr>
        <w:pStyle w:val="TextBody"/>
        <w:spacing w:lineRule="auto" w:line="273" w:before="108" w:after="0"/>
        <w:jc w:val="left"/>
        <w:rPr/>
      </w:pPr>
      <w:r>
        <w:rPr/>
        <w:t> </w:t>
      </w:r>
    </w:p>
    <w:tbl>
      <w:tblPr>
        <w:tblW w:w="8390" w:type="dxa"/>
        <w:jc w:val="left"/>
        <w:tblInd w:w="0" w:type="dxa"/>
        <w:tblCellMar>
          <w:top w:w="28" w:type="dxa"/>
          <w:left w:w="28" w:type="dxa"/>
          <w:bottom w:w="28" w:type="dxa"/>
          <w:right w:w="28" w:type="dxa"/>
        </w:tblCellMar>
      </w:tblPr>
      <w:tblGrid>
        <w:gridCol w:w="2881"/>
        <w:gridCol w:w="146"/>
        <w:gridCol w:w="2731"/>
        <w:gridCol w:w="146"/>
        <w:gridCol w:w="552"/>
        <w:gridCol w:w="1443"/>
        <w:gridCol w:w="491"/>
      </w:tblGrid>
      <w:tr>
        <w:trPr/>
        <w:tc>
          <w:tcPr>
            <w:tcW w:w="2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443"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8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Lease-Related Assets and Liabilities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7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Financial Statement Line Items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As of December 31, 2021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8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5"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100"/>
              <w:jc w:val="right"/>
              <w:rPr/>
            </w:pPr>
            <w:r>
              <w:rPr/>
              <w:t> </w:t>
            </w:r>
          </w:p>
        </w:tc>
      </w:tr>
      <w:tr>
        <w:trPr/>
        <w:tc>
          <w:tcPr>
            <w:tcW w:w="288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Operating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3,300</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300"/>
              <w:jc w:val="left"/>
              <w:rPr/>
            </w:pPr>
            <w:r>
              <w:rPr/>
              <w:t> </w:t>
            </w:r>
          </w:p>
        </w:tc>
      </w:tr>
      <w:tr>
        <w:trPr/>
        <w:tc>
          <w:tcPr>
            <w:tcW w:w="2881" w:type="dxa"/>
            <w:tcBorders/>
            <w:shd w:fill="auto" w:val="clear"/>
            <w:vAlign w:val="center"/>
          </w:tcPr>
          <w:p>
            <w:pPr>
              <w:pStyle w:val="TableContents"/>
              <w:spacing w:lineRule="auto" w:line="252" w:before="0" w:after="0"/>
              <w:ind w:left="300" w:right="0" w:hanging="0"/>
              <w:jc w:val="left"/>
              <w:rPr>
                <w:rFonts w:ascii="Times New Roman" w:hAnsi="Times New Roman"/>
                <w:b w:val="false"/>
                <w:sz w:val="18"/>
              </w:rPr>
            </w:pPr>
            <w:r>
              <w:rPr>
                <w:rFonts w:ascii="Times New Roman" w:hAnsi="Times New Roman"/>
                <w:b w:val="false"/>
                <w:sz w:val="18"/>
              </w:rPr>
              <w:t>Total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3,300</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88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95"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100"/>
              <w:jc w:val="right"/>
              <w:rPr/>
            </w:pPr>
            <w:r>
              <w:rPr/>
              <w:t> </w:t>
            </w:r>
          </w:p>
        </w:tc>
      </w:tr>
      <w:tr>
        <w:trPr/>
        <w:tc>
          <w:tcPr>
            <w:tcW w:w="288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Operating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4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1,389</w:t>
            </w:r>
          </w:p>
        </w:tc>
        <w:tc>
          <w:tcPr>
            <w:tcW w:w="491" w:type="dxa"/>
            <w:tcBorders/>
            <w:shd w:fill="auto" w:val="clear"/>
            <w:vAlign w:val="center"/>
          </w:tcPr>
          <w:p>
            <w:pPr>
              <w:pStyle w:val="TableContents"/>
              <w:spacing w:lineRule="auto" w:line="252" w:before="0" w:after="0"/>
              <w:ind w:left="0" w:right="0" w:firstLine="100"/>
              <w:jc w:val="left"/>
              <w:rPr/>
            </w:pPr>
            <w:r>
              <w:rPr/>
              <w:t> </w:t>
            </w:r>
          </w:p>
        </w:tc>
      </w:tr>
      <w:tr>
        <w:trPr/>
        <w:tc>
          <w:tcPr>
            <w:tcW w:w="2881" w:type="dxa"/>
            <w:tcBorders/>
            <w:shd w:fill="auto" w:val="clear"/>
            <w:vAlign w:val="center"/>
          </w:tcPr>
          <w:p>
            <w:pPr>
              <w:pStyle w:val="TableContents"/>
              <w:spacing w:lineRule="auto" w:line="252" w:before="0" w:after="0"/>
              <w:ind w:left="10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liabilities, noncurrent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4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3,982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pPr>
            <w:r>
              <w:rPr/>
              <w:t> </w:t>
            </w:r>
          </w:p>
        </w:tc>
      </w:tr>
      <w:tr>
        <w:trPr/>
        <w:tc>
          <w:tcPr>
            <w:tcW w:w="2881" w:type="dxa"/>
            <w:tcBorders/>
            <w:shd w:fill="auto" w:val="clear"/>
            <w:vAlign w:val="center"/>
          </w:tcPr>
          <w:p>
            <w:pPr>
              <w:pStyle w:val="TableContents"/>
              <w:spacing w:lineRule="auto" w:line="252" w:before="0" w:after="0"/>
              <w:ind w:left="100" w:right="0" w:hanging="0"/>
              <w:jc w:val="left"/>
              <w:rPr>
                <w:rFonts w:ascii="Times New Roman" w:hAnsi="Times New Roman"/>
                <w:b w:val="false"/>
                <w:sz w:val="18"/>
              </w:rPr>
            </w:pPr>
            <w:r>
              <w:rPr>
                <w:rFonts w:ascii="Times New Roman" w:hAnsi="Times New Roman"/>
                <w:b w:val="false"/>
                <w:sz w:val="18"/>
              </w:rPr>
              <w:t>Total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4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5,371</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components of lease expense included in the Company’s consolidated statements of operations include (in thousands):</w:t>
      </w:r>
    </w:p>
    <w:p>
      <w:pPr>
        <w:pStyle w:val="TextBody"/>
        <w:spacing w:lineRule="auto" w:line="273" w:before="108" w:after="0"/>
        <w:jc w:val="left"/>
        <w:rPr/>
      </w:pPr>
      <w:r>
        <w:rPr/>
        <w:t> </w:t>
      </w:r>
    </w:p>
    <w:tbl>
      <w:tblPr>
        <w:tblW w:w="3713" w:type="dxa"/>
        <w:jc w:val="left"/>
        <w:tblInd w:w="0" w:type="dxa"/>
        <w:tblCellMar>
          <w:top w:w="28" w:type="dxa"/>
          <w:left w:w="28" w:type="dxa"/>
          <w:bottom w:w="28" w:type="dxa"/>
          <w:right w:w="28" w:type="dxa"/>
        </w:tblCellMar>
      </w:tblPr>
      <w:tblGrid>
        <w:gridCol w:w="1831"/>
        <w:gridCol w:w="146"/>
        <w:gridCol w:w="427"/>
        <w:gridCol w:w="1118"/>
        <w:gridCol w:w="19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 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Operating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1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1,043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Variable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512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lease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1,555</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16" w:after="0"/>
        <w:jc w:val="left"/>
        <w:rPr>
          <w:rFonts w:ascii="Times New Roman" w:hAnsi="Times New Roman"/>
          <w:b w:val="false"/>
          <w:sz w:val="18"/>
        </w:rPr>
      </w:pPr>
      <w:r>
        <w:rPr>
          <w:rFonts w:ascii="Times New Roman" w:hAnsi="Times New Roman"/>
          <w:b w:val="false"/>
          <w:sz w:val="18"/>
        </w:rPr>
        <w:t>Variable lease costs are primarily related to payments made to lessors for common area maintenance, property taxes, insurance, and other operating expenses. The Company did not have any short-term leases or finance leases for the year ended December 31, 2021.</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weighted average remaining lease term and weighted average discount rate for operating leases as of December 31, 2021 were as follows:</w:t>
      </w:r>
    </w:p>
    <w:tbl>
      <w:tblPr>
        <w:tblW w:w="5593" w:type="dxa"/>
        <w:jc w:val="left"/>
        <w:tblInd w:w="0" w:type="dxa"/>
        <w:tblCellMar>
          <w:top w:w="28" w:type="dxa"/>
          <w:left w:w="28" w:type="dxa"/>
          <w:bottom w:w="28" w:type="dxa"/>
          <w:right w:w="28" w:type="dxa"/>
        </w:tblCellMar>
      </w:tblPr>
      <w:tblGrid>
        <w:gridCol w:w="3601"/>
        <w:gridCol w:w="146"/>
        <w:gridCol w:w="397"/>
        <w:gridCol w:w="1148"/>
        <w:gridCol w:w="301"/>
      </w:tblGrid>
      <w:tr>
        <w:trPr/>
        <w:tc>
          <w:tcPr>
            <w:tcW w:w="3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 2021</w:t>
            </w:r>
          </w:p>
        </w:tc>
        <w:tc>
          <w:tcPr>
            <w:tcW w:w="3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Weighted average remaining lease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7" w:type="dxa"/>
            <w:tcBorders/>
            <w:shd w:fill="auto" w:val="clear"/>
            <w:vAlign w:val="center"/>
          </w:tcPr>
          <w:p>
            <w:pPr>
              <w:pStyle w:val="TableContents"/>
              <w:spacing w:lineRule="auto" w:line="252" w:before="0" w:after="0"/>
              <w:ind w:left="0" w:right="0" w:hanging="0"/>
              <w:jc w:val="left"/>
              <w:rPr/>
            </w:pPr>
            <w:r>
              <w:rPr/>
              <w:t> </w:t>
            </w:r>
          </w:p>
        </w:tc>
        <w:tc>
          <w:tcPr>
            <w:tcW w:w="114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w:t>
            </w:r>
          </w:p>
        </w:tc>
        <w:tc>
          <w:tcPr>
            <w:tcW w:w="301" w:type="dxa"/>
            <w:tcBorders/>
            <w:shd w:fill="auto" w:val="clear"/>
            <w:vAlign w:val="center"/>
          </w:tcPr>
          <w:p>
            <w:pPr>
              <w:pStyle w:val="TableContents"/>
              <w:spacing w:lineRule="auto" w:line="252" w:before="0" w:after="0"/>
              <w:ind w:left="0" w:right="0" w:hanging="0"/>
              <w:jc w:val="left"/>
              <w:rPr/>
            </w:pPr>
            <w:r>
              <w:rPr/>
              <w:t> </w:t>
            </w:r>
          </w:p>
        </w:tc>
      </w:tr>
      <w:tr>
        <w:trPr/>
        <w:tc>
          <w:tcPr>
            <w:tcW w:w="36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Weighted average discount rate percentage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97" w:type="dxa"/>
            <w:tcBorders/>
            <w:shd w:fill="auto" w:val="clear"/>
            <w:vAlign w:val="center"/>
          </w:tcPr>
          <w:p>
            <w:pPr>
              <w:pStyle w:val="TableContents"/>
              <w:spacing w:lineRule="auto" w:line="252" w:before="0" w:after="0"/>
              <w:ind w:left="0" w:right="0" w:hanging="0"/>
              <w:jc w:val="left"/>
              <w:rPr/>
            </w:pPr>
            <w:r>
              <w:rPr/>
              <w:t> </w:t>
            </w:r>
          </w:p>
        </w:tc>
        <w:tc>
          <w:tcPr>
            <w:tcW w:w="114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3.50</w:t>
            </w:r>
          </w:p>
        </w:tc>
        <w:tc>
          <w:tcPr>
            <w:tcW w:w="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273" w:before="216" w:after="0"/>
        <w:jc w:val="left"/>
        <w:rPr>
          <w:rFonts w:ascii="Times New Roman" w:hAnsi="Times New Roman"/>
          <w:b w:val="false"/>
          <w:sz w:val="18"/>
        </w:rPr>
      </w:pPr>
      <w:r>
        <w:rPr>
          <w:rFonts w:ascii="Times New Roman" w:hAnsi="Times New Roman"/>
          <w:b w:val="false"/>
          <w:sz w:val="18"/>
        </w:rPr>
        <w:t>Supplemental cash flow information related to leases under which the Company is the lessee was as follows (amounts in thousands):</w:t>
      </w:r>
    </w:p>
    <w:p>
      <w:pPr>
        <w:pStyle w:val="TextBody"/>
        <w:spacing w:lineRule="auto" w:line="273" w:before="108" w:after="0"/>
        <w:jc w:val="left"/>
        <w:rPr/>
      </w:pPr>
      <w:r>
        <w:rPr/>
        <w:t> </w:t>
      </w:r>
    </w:p>
    <w:tbl>
      <w:tblPr>
        <w:tblW w:w="7028" w:type="dxa"/>
        <w:jc w:val="left"/>
        <w:tblInd w:w="0" w:type="dxa"/>
        <w:tblCellMar>
          <w:top w:w="28" w:type="dxa"/>
          <w:left w:w="28" w:type="dxa"/>
          <w:bottom w:w="28" w:type="dxa"/>
          <w:right w:w="28" w:type="dxa"/>
        </w:tblCellMar>
      </w:tblPr>
      <w:tblGrid>
        <w:gridCol w:w="5146"/>
        <w:gridCol w:w="146"/>
        <w:gridCol w:w="427"/>
        <w:gridCol w:w="1118"/>
        <w:gridCol w:w="191"/>
      </w:tblGrid>
      <w:tr>
        <w:trPr/>
        <w:tc>
          <w:tcPr>
            <w:tcW w:w="5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 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14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Cash paid for amounts included in the measurement of operating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11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1,374</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Maturities of operating lease liabilities as of December 31, 2021 were as follows (in thousands):</w:t>
      </w:r>
    </w:p>
    <w:p>
      <w:pPr>
        <w:pStyle w:val="TextBody"/>
        <w:spacing w:lineRule="auto" w:line="273" w:before="108" w:after="0"/>
        <w:jc w:val="left"/>
        <w:rPr/>
      </w:pPr>
      <w:r>
        <w:rPr/>
        <w:t> </w:t>
      </w:r>
    </w:p>
    <w:tbl>
      <w:tblPr>
        <w:tblW w:w="3494" w:type="dxa"/>
        <w:jc w:val="left"/>
        <w:tblInd w:w="0" w:type="dxa"/>
        <w:tblCellMar>
          <w:top w:w="28" w:type="dxa"/>
          <w:left w:w="28" w:type="dxa"/>
          <w:bottom w:w="28" w:type="dxa"/>
          <w:right w:w="28" w:type="dxa"/>
        </w:tblCellMar>
      </w:tblPr>
      <w:tblGrid>
        <w:gridCol w:w="2251"/>
        <w:gridCol w:w="146"/>
        <w:gridCol w:w="245"/>
        <w:gridCol w:w="641"/>
        <w:gridCol w:w="211"/>
      </w:tblGrid>
      <w:tr>
        <w:trPr/>
        <w:tc>
          <w:tcPr>
            <w:tcW w:w="2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sz w:val="18"/>
                <w:u w:val="single"/>
              </w:rPr>
            </w:pPr>
            <w:r>
              <w:rPr>
                <w:rFonts w:ascii="Times New Roman" w:hAnsi="Times New Roman"/>
                <w:b/>
                <w:sz w:val="18"/>
                <w:u w:val="single"/>
              </w:rPr>
              <w:t>Years ending December 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Operating</w:t>
              <w:br/>
              <w:t>lease</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1,555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1,636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1,685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845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future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5,721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Less imputed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(350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2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5,371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16" w:after="0"/>
        <w:jc w:val="left"/>
        <w:rPr>
          <w:rFonts w:ascii="Times New Roman" w:hAnsi="Times New Roman"/>
          <w:b w:val="false"/>
          <w:sz w:val="18"/>
        </w:rPr>
      </w:pPr>
      <w:r>
        <w:rPr>
          <w:rFonts w:ascii="Times New Roman" w:hAnsi="Times New Roman"/>
          <w:b w:val="false"/>
          <w:sz w:val="18"/>
        </w:rPr>
        <w:t>As of December 31, 2020, prior to the Company’s adoption of ASC 842, annual minimum payments under noncancelable operating leases were as follows (in thousands):</w:t>
      </w:r>
    </w:p>
    <w:p>
      <w:pPr>
        <w:pStyle w:val="TextBody"/>
        <w:spacing w:lineRule="auto" w:line="273" w:before="108" w:after="0"/>
        <w:jc w:val="left"/>
        <w:rPr/>
      </w:pPr>
      <w:r>
        <w:rPr/>
        <w:t> </w:t>
      </w:r>
    </w:p>
    <w:tbl>
      <w:tblPr>
        <w:tblW w:w="3734" w:type="dxa"/>
        <w:jc w:val="left"/>
        <w:tblInd w:w="0" w:type="dxa"/>
        <w:tblCellMar>
          <w:top w:w="28" w:type="dxa"/>
          <w:left w:w="28" w:type="dxa"/>
          <w:bottom w:w="28" w:type="dxa"/>
          <w:right w:w="28" w:type="dxa"/>
        </w:tblCellMar>
      </w:tblPr>
      <w:tblGrid>
        <w:gridCol w:w="2311"/>
        <w:gridCol w:w="146"/>
        <w:gridCol w:w="245"/>
        <w:gridCol w:w="641"/>
        <w:gridCol w:w="3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sz w:val="18"/>
                <w:u w:val="single"/>
              </w:rPr>
            </w:pPr>
            <w:r>
              <w:rPr>
                <w:rFonts w:ascii="Times New Roman" w:hAnsi="Times New Roman"/>
                <w:b/>
                <w:sz w:val="18"/>
                <w:u w:val="single"/>
              </w:rPr>
              <w:t>Years ending December 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Operating</w:t>
              <w:br/>
              <w:t>lease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1,374</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1,555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1,636</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shd w:fill="auto" w:val="clear"/>
            <w:vAlign w:val="center"/>
          </w:tcPr>
          <w:p>
            <w:pPr>
              <w:pStyle w:val="TableContents"/>
              <w:spacing w:lineRule="auto" w:line="252" w:before="0" w:after="0"/>
              <w:ind w:left="0" w:right="0" w:hanging="0"/>
              <w:jc w:val="left"/>
              <w:rPr/>
            </w:pPr>
            <w:r>
              <w:rPr/>
              <w:t> </w:t>
            </w:r>
          </w:p>
        </w:tc>
        <w:tc>
          <w:tcPr>
            <w:tcW w:w="64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1,685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845</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231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Total minimum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7,095</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16" w:after="0"/>
        <w:jc w:val="left"/>
        <w:rPr>
          <w:rFonts w:ascii="Times New Roman" w:hAnsi="Times New Roman"/>
          <w:sz w:val="20"/>
        </w:rPr>
      </w:pPr>
      <w:r>
        <w:rPr>
          <w:rFonts w:ascii="Times New Roman" w:hAnsi="Times New Roman"/>
          <w:b w:val="false"/>
          <w:sz w:val="18"/>
        </w:rPr>
        <w:t>Under ASC 840, during the years ended December 31, 2020 and 2019, net rent expense was $1.7</w:t>
      </w:r>
      <w:r>
        <w:rPr>
          <w:rFonts w:ascii="Times New Roman" w:hAnsi="Times New Roman"/>
          <w:sz w:val="20"/>
        </w:rPr>
        <w:t xml:space="preserve"> </w:t>
      </w:r>
      <w:r>
        <w:rPr>
          <w:rFonts w:ascii="Times New Roman" w:hAnsi="Times New Roman"/>
          <w:b w:val="false"/>
          <w:sz w:val="18"/>
        </w:rPr>
        <w:t>million and $1.1</w:t>
      </w:r>
      <w:r>
        <w:rPr>
          <w:rFonts w:ascii="Times New Roman" w:hAnsi="Times New Roman"/>
          <w:sz w:val="20"/>
        </w:rPr>
        <w:t xml:space="preserve"> </w:t>
      </w:r>
      <w:r>
        <w:rPr>
          <w:rFonts w:ascii="Times New Roman" w:hAnsi="Times New Roman"/>
          <w:b w:val="false"/>
          <w:sz w:val="18"/>
        </w:rPr>
        <w:t>million, respectively.</w:t>
      </w:r>
    </w:p>
    <w:p>
      <w:pPr>
        <w:pStyle w:val="TextBody"/>
        <w:spacing w:lineRule="auto" w:line="273" w:before="324" w:after="0"/>
        <w:jc w:val="left"/>
        <w:rPr>
          <w:rFonts w:ascii="Times New Roman" w:hAnsi="Times New Roman"/>
          <w:b/>
          <w:sz w:val="18"/>
        </w:rPr>
      </w:pPr>
      <w:r>
        <w:rPr>
          <w:rFonts w:ascii="Times New Roman" w:hAnsi="Times New Roman"/>
          <w:b/>
          <w:sz w:val="18"/>
        </w:rPr>
        <w:t>6. Commitments and contingencies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spacing w:lineRule="auto" w:line="273" w:before="324" w:after="0"/>
        <w:jc w:val="left"/>
        <w:rPr>
          <w:rFonts w:ascii="Times New Roman" w:hAnsi="Times New Roman"/>
          <w:b/>
          <w:sz w:val="18"/>
        </w:rPr>
      </w:pPr>
      <w:r>
        <w:rPr>
          <w:rFonts w:ascii="Times New Roman" w:hAnsi="Times New Roman"/>
          <w:b/>
          <w:sz w:val="18"/>
        </w:rPr>
        <w:t>7. Convertible preferred stock and members’/stockholders’ equity (deficit)</w:t>
      </w:r>
    </w:p>
    <w:p>
      <w:pPr>
        <w:pStyle w:val="TextBody"/>
        <w:spacing w:lineRule="auto" w:line="273" w:before="108" w:after="0"/>
        <w:jc w:val="left"/>
        <w:rPr>
          <w:rFonts w:ascii="Times New Roman" w:hAnsi="Times New Roman"/>
          <w:b/>
          <w:i/>
          <w:sz w:val="18"/>
        </w:rPr>
      </w:pPr>
      <w:r>
        <w:rPr>
          <w:rFonts w:ascii="Times New Roman" w:hAnsi="Times New Roman"/>
          <w:b/>
          <w:i/>
          <w:sz w:val="18"/>
        </w:rPr>
        <w:t>Convertible preferred stock</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 had convertible preferred stock outstanding between the date of its Series D financing in July 2020 until the closing of its IPO in December 2020. The Company’s convertible preferred stock was classified as temporary equity in the accompanying consolidated balance sheets in accordance with authoritative guidance for the classification and measurement of potentially redeemable securities whose redemption is based upon certain change in control events outside of the Company’s control, including liquidation, sale or change of control of the Company. Because these change in control events were not probable, the Company did not adjust the carrying values of the convertible preferred stock to redemption value.</w:t>
      </w:r>
    </w:p>
    <w:p>
      <w:pPr>
        <w:pStyle w:val="TextBody"/>
        <w:spacing w:lineRule="auto" w:line="273" w:before="324" w:after="0"/>
        <w:jc w:val="left"/>
        <w:rPr>
          <w:rFonts w:ascii="Times New Roman" w:hAnsi="Times New Roman"/>
          <w:b/>
          <w:i/>
          <w:sz w:val="18"/>
        </w:rPr>
      </w:pPr>
      <w:r>
        <w:rPr>
          <w:rFonts w:ascii="Times New Roman" w:hAnsi="Times New Roman"/>
          <w:b/>
          <w:i/>
          <w:sz w:val="18"/>
        </w:rPr>
        <w:t>Series D financing</w:t>
      </w:r>
    </w:p>
    <w:p>
      <w:pPr>
        <w:pStyle w:val="TextBody"/>
        <w:spacing w:lineRule="auto" w:line="273" w:before="108" w:after="0"/>
        <w:jc w:val="left"/>
        <w:rPr>
          <w:rFonts w:ascii="Times New Roman" w:hAnsi="Times New Roman"/>
          <w:sz w:val="20"/>
        </w:rPr>
      </w:pPr>
      <w:r>
        <w:rPr>
          <w:rFonts w:ascii="Times New Roman" w:hAnsi="Times New Roman"/>
          <w:b w:val="false"/>
          <w:sz w:val="18"/>
        </w:rPr>
        <w:t>On July 13, 2020, BioAtla, Inc. entered into a Series D Preferred Stock Purchase Agreement, pursuant to which it issued 140,626,711</w:t>
      </w:r>
      <w:r>
        <w:rPr>
          <w:rFonts w:ascii="Times New Roman" w:hAnsi="Times New Roman"/>
          <w:sz w:val="20"/>
        </w:rPr>
        <w:t xml:space="preserve"> </w:t>
      </w:r>
      <w:r>
        <w:rPr>
          <w:rFonts w:ascii="Times New Roman" w:hAnsi="Times New Roman"/>
          <w:b w:val="false"/>
          <w:sz w:val="18"/>
        </w:rPr>
        <w:t>shares of Series D convertible preferred stock at $0.51554931</w:t>
      </w:r>
      <w:r>
        <w:rPr>
          <w:rFonts w:ascii="Times New Roman" w:hAnsi="Times New Roman"/>
          <w:sz w:val="20"/>
        </w:rPr>
        <w:t xml:space="preserve"> </w:t>
      </w:r>
      <w:r>
        <w:rPr>
          <w:rFonts w:ascii="Times New Roman" w:hAnsi="Times New Roman"/>
          <w:b w:val="false"/>
          <w:sz w:val="18"/>
        </w:rPr>
        <w:t>per share, for aggregate cash proceeds of $72.5</w:t>
      </w:r>
      <w:r>
        <w:rPr>
          <w:rFonts w:ascii="Times New Roman" w:hAnsi="Times New Roman"/>
          <w:sz w:val="20"/>
        </w:rPr>
        <w:t xml:space="preserve"> </w:t>
      </w:r>
      <w:r>
        <w:rPr>
          <w:rFonts w:ascii="Times New Roman" w:hAnsi="Times New Roman"/>
          <w:b w:val="false"/>
          <w:sz w:val="18"/>
        </w:rPr>
        <w:t>million. The Company incurred $4.3</w:t>
      </w:r>
      <w:r>
        <w:rPr>
          <w:rFonts w:ascii="Times New Roman" w:hAnsi="Times New Roman"/>
          <w:sz w:val="20"/>
        </w:rPr>
        <w:t xml:space="preserve"> </w:t>
      </w:r>
      <w:r>
        <w:rPr>
          <w:rFonts w:ascii="Times New Roman" w:hAnsi="Times New Roman"/>
          <w:b w:val="false"/>
          <w:sz w:val="18"/>
        </w:rPr>
        <w:t>million of issuance costs.</w:t>
      </w:r>
    </w:p>
    <w:p>
      <w:pPr>
        <w:pStyle w:val="TextBody"/>
        <w:spacing w:lineRule="auto" w:line="273" w:before="324" w:after="0"/>
        <w:jc w:val="left"/>
        <w:rPr>
          <w:rFonts w:ascii="Times New Roman" w:hAnsi="Times New Roman"/>
          <w:b/>
          <w:i/>
          <w:sz w:val="18"/>
        </w:rPr>
      </w:pPr>
      <w:r>
        <w:rPr>
          <w:rFonts w:ascii="Times New Roman" w:hAnsi="Times New Roman"/>
          <w:b/>
          <w:i/>
          <w:sz w:val="18"/>
        </w:rPr>
        <w:t>Initial public offering and related transactions</w:t>
      </w:r>
    </w:p>
    <w:p>
      <w:pPr>
        <w:pStyle w:val="TextBody"/>
        <w:spacing w:lineRule="auto" w:line="273" w:before="108" w:after="0"/>
        <w:jc w:val="left"/>
        <w:rPr>
          <w:rFonts w:ascii="Times New Roman" w:hAnsi="Times New Roman"/>
          <w:sz w:val="20"/>
        </w:rPr>
      </w:pPr>
      <w:r>
        <w:rPr>
          <w:rFonts w:ascii="Times New Roman" w:hAnsi="Times New Roman"/>
          <w:b w:val="false"/>
          <w:sz w:val="18"/>
        </w:rPr>
        <w:t>In December 2020, the Company completed its IPO selling 12,075,000</w:t>
      </w:r>
      <w:r>
        <w:rPr>
          <w:rFonts w:ascii="Times New Roman" w:hAnsi="Times New Roman"/>
          <w:sz w:val="20"/>
        </w:rPr>
        <w:t xml:space="preserve"> </w:t>
      </w:r>
      <w:r>
        <w:rPr>
          <w:rFonts w:ascii="Times New Roman" w:hAnsi="Times New Roman"/>
          <w:b w:val="false"/>
          <w:sz w:val="18"/>
        </w:rPr>
        <w:t>shares its common stock at $18.00</w:t>
      </w:r>
      <w:r>
        <w:rPr>
          <w:rFonts w:ascii="Times New Roman" w:hAnsi="Times New Roman"/>
          <w:sz w:val="20"/>
        </w:rPr>
        <w:t xml:space="preserve"> </w:t>
      </w:r>
      <w:r>
        <w:rPr>
          <w:rFonts w:ascii="Times New Roman" w:hAnsi="Times New Roman"/>
          <w:b w:val="false"/>
          <w:sz w:val="18"/>
        </w:rPr>
        <w:t>per share. Proceeds from the Company’s IPO, net of underwriting discounts and commissions and other offering costs, were $198.3</w:t>
      </w:r>
      <w:r>
        <w:rPr>
          <w:rFonts w:ascii="Times New Roman" w:hAnsi="Times New Roman"/>
          <w:sz w:val="20"/>
        </w:rPr>
        <w:t xml:space="preserve"> </w:t>
      </w:r>
      <w:r>
        <w:rPr>
          <w:rFonts w:ascii="Times New Roman" w:hAnsi="Times New Roman"/>
          <w:b w:val="false"/>
          <w:sz w:val="18"/>
        </w:rPr>
        <w:t>million. In connection with the IPO, all 199,791,519</w:t>
      </w:r>
      <w:r>
        <w:rPr>
          <w:rFonts w:ascii="Times New Roman" w:hAnsi="Times New Roman"/>
          <w:sz w:val="20"/>
        </w:rPr>
        <w:t xml:space="preserve"> </w:t>
      </w:r>
      <w:r>
        <w:rPr>
          <w:rFonts w:ascii="Times New Roman" w:hAnsi="Times New Roman"/>
          <w:b w:val="false"/>
          <w:sz w:val="18"/>
        </w:rPr>
        <w:t>shares of convertible preferred stock outstanding at the time of the IPO converted into 13,876,510</w:t>
      </w:r>
      <w:r>
        <w:rPr>
          <w:rFonts w:ascii="Times New Roman" w:hAnsi="Times New Roman"/>
          <w:sz w:val="20"/>
        </w:rPr>
        <w:t xml:space="preserve"> </w:t>
      </w:r>
      <w:r>
        <w:rPr>
          <w:rFonts w:ascii="Times New Roman" w:hAnsi="Times New Roman"/>
          <w:b w:val="false"/>
          <w:sz w:val="18"/>
        </w:rPr>
        <w:t>shares of the Company’s common stock and 1,492,059</w:t>
      </w:r>
      <w:r>
        <w:rPr>
          <w:rFonts w:ascii="Times New Roman" w:hAnsi="Times New Roman"/>
          <w:sz w:val="20"/>
        </w:rPr>
        <w:t xml:space="preserve"> </w:t>
      </w:r>
      <w:r>
        <w:rPr>
          <w:rFonts w:ascii="Times New Roman" w:hAnsi="Times New Roman"/>
          <w:b w:val="false"/>
          <w:sz w:val="18"/>
        </w:rPr>
        <w:t>shares of the Company’s Class B common stock.</w:t>
      </w:r>
    </w:p>
    <w:p>
      <w:pPr>
        <w:pStyle w:val="TextBody"/>
        <w:spacing w:lineRule="auto" w:line="273" w:before="324" w:after="0"/>
        <w:jc w:val="left"/>
        <w:rPr>
          <w:rFonts w:ascii="Times New Roman" w:hAnsi="Times New Roman"/>
          <w:sz w:val="20"/>
        </w:rPr>
      </w:pPr>
      <w:r>
        <w:rPr>
          <w:rFonts w:ascii="Times New Roman" w:hAnsi="Times New Roman"/>
          <w:b/>
          <w:i/>
          <w:sz w:val="18"/>
        </w:rPr>
        <w:t>Private Placement of Common Stock</w:t>
      </w:r>
      <w:r>
        <w:rPr>
          <w:rFonts w:ascii="Times New Roman" w:hAnsi="Times New Roman"/>
          <w:sz w:val="20"/>
        </w:rPr>
        <w:t xml:space="preserve"> </w:t>
      </w:r>
    </w:p>
    <w:p>
      <w:pPr>
        <w:pStyle w:val="TextBody"/>
        <w:spacing w:lineRule="auto" w:line="273" w:before="108" w:after="0"/>
        <w:jc w:val="left"/>
        <w:rPr>
          <w:rFonts w:ascii="Times New Roman" w:hAnsi="Times New Roman"/>
          <w:sz w:val="20"/>
        </w:rPr>
      </w:pPr>
      <w:r>
        <w:rPr>
          <w:rFonts w:ascii="Times New Roman" w:hAnsi="Times New Roman"/>
          <w:b w:val="false"/>
          <w:sz w:val="18"/>
        </w:rPr>
        <w:t>In September 2021, the Company entered into agreements to sell 2,678,600</w:t>
      </w:r>
      <w:r>
        <w:rPr>
          <w:rFonts w:ascii="Times New Roman" w:hAnsi="Times New Roman"/>
          <w:sz w:val="20"/>
        </w:rPr>
        <w:t xml:space="preserve"> </w:t>
      </w:r>
      <w:r>
        <w:rPr>
          <w:rFonts w:ascii="Times New Roman" w:hAnsi="Times New Roman"/>
          <w:b w:val="false"/>
          <w:sz w:val="18"/>
        </w:rPr>
        <w:t>shares of its common stock at a price of $28.00</w:t>
      </w:r>
      <w:r>
        <w:rPr>
          <w:rFonts w:ascii="Times New Roman" w:hAnsi="Times New Roman"/>
          <w:sz w:val="20"/>
        </w:rPr>
        <w:t xml:space="preserve"> </w:t>
      </w:r>
      <w:r>
        <w:rPr>
          <w:rFonts w:ascii="Times New Roman" w:hAnsi="Times New Roman"/>
          <w:b w:val="false"/>
          <w:sz w:val="18"/>
        </w:rPr>
        <w:t>per share through a private investment in public equity financing (or "Private Placement"). Proceeds from the Private Placement, net of underwriting discounts and commissions and other offering costs, were $71.0</w:t>
      </w:r>
      <w:r>
        <w:rPr>
          <w:rFonts w:ascii="Times New Roman" w:hAnsi="Times New Roman"/>
          <w:sz w:val="20"/>
        </w:rPr>
        <w:t xml:space="preserve"> </w:t>
      </w:r>
      <w:r>
        <w:rPr>
          <w:rFonts w:ascii="Times New Roman" w:hAnsi="Times New Roman"/>
          <w:b w:val="false"/>
          <w:sz w:val="18"/>
        </w:rPr>
        <w:t>million.</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sz w:val="20"/>
        </w:rPr>
      </w:pPr>
      <w:r>
        <w:rPr>
          <w:rFonts w:ascii="Times New Roman" w:hAnsi="Times New Roman"/>
          <w:b w:val="false"/>
          <w:sz w:val="18"/>
        </w:rPr>
        <w:t>In connection with the Private Placement, the Company also issued registration rights to the investors. The Company filed a registration statement on Form S-1 (File No. 333-260440) with the SEC registering for resale the shares of common stock issued in the Private Placement.</w:t>
        <w:br/>
      </w:r>
      <w:r>
        <w:rPr>
          <w:rFonts w:ascii="Times New Roman" w:hAnsi="Times New Roman"/>
          <w:sz w:val="20"/>
        </w:rPr>
        <w:t> </w:t>
      </w:r>
    </w:p>
    <w:p>
      <w:pPr>
        <w:pStyle w:val="TextBody"/>
        <w:spacing w:lineRule="auto" w:line="273" w:before="324" w:after="0"/>
        <w:jc w:val="left"/>
        <w:rPr>
          <w:rFonts w:ascii="Times New Roman" w:hAnsi="Times New Roman"/>
          <w:b/>
          <w:i/>
          <w:sz w:val="18"/>
        </w:rPr>
      </w:pPr>
      <w:r>
        <w:rPr>
          <w:rFonts w:ascii="Times New Roman" w:hAnsi="Times New Roman"/>
          <w:b/>
          <w:i/>
          <w:sz w:val="18"/>
        </w:rPr>
        <w:t>Description of securities of Delaware corporation</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is authorized to issue 200,000,000</w:t>
      </w:r>
      <w:r>
        <w:rPr>
          <w:rFonts w:ascii="Times New Roman" w:hAnsi="Times New Roman"/>
          <w:sz w:val="20"/>
        </w:rPr>
        <w:t xml:space="preserve"> </w:t>
      </w:r>
      <w:r>
        <w:rPr>
          <w:rFonts w:ascii="Times New Roman" w:hAnsi="Times New Roman"/>
          <w:b w:val="false"/>
          <w:sz w:val="18"/>
        </w:rPr>
        <w:t>shares of preferred stock, par value $0.0001</w:t>
      </w:r>
      <w:r>
        <w:rPr>
          <w:rFonts w:ascii="Times New Roman" w:hAnsi="Times New Roman"/>
          <w:sz w:val="20"/>
        </w:rPr>
        <w:t xml:space="preserve"> </w:t>
      </w:r>
      <w:r>
        <w:rPr>
          <w:rFonts w:ascii="Times New Roman" w:hAnsi="Times New Roman"/>
          <w:b w:val="false"/>
          <w:sz w:val="18"/>
        </w:rPr>
        <w:t>per share, 350,000,000</w:t>
      </w:r>
      <w:r>
        <w:rPr>
          <w:rFonts w:ascii="Times New Roman" w:hAnsi="Times New Roman"/>
          <w:sz w:val="20"/>
        </w:rPr>
        <w:t xml:space="preserve"> </w:t>
      </w:r>
      <w:r>
        <w:rPr>
          <w:rFonts w:ascii="Times New Roman" w:hAnsi="Times New Roman"/>
          <w:b w:val="false"/>
          <w:sz w:val="18"/>
        </w:rPr>
        <w:t>shares of common stock, par value $0.0001</w:t>
      </w:r>
      <w:r>
        <w:rPr>
          <w:rFonts w:ascii="Times New Roman" w:hAnsi="Times New Roman"/>
          <w:sz w:val="20"/>
        </w:rPr>
        <w:t xml:space="preserve"> </w:t>
      </w:r>
      <w:r>
        <w:rPr>
          <w:rFonts w:ascii="Times New Roman" w:hAnsi="Times New Roman"/>
          <w:b w:val="false"/>
          <w:sz w:val="18"/>
        </w:rPr>
        <w:t>per share, and 15,368,569</w:t>
      </w:r>
      <w:r>
        <w:rPr>
          <w:rFonts w:ascii="Times New Roman" w:hAnsi="Times New Roman"/>
          <w:sz w:val="20"/>
        </w:rPr>
        <w:t xml:space="preserve"> </w:t>
      </w:r>
      <w:r>
        <w:rPr>
          <w:rFonts w:ascii="Times New Roman" w:hAnsi="Times New Roman"/>
          <w:b w:val="false"/>
          <w:sz w:val="18"/>
        </w:rPr>
        <w:t>shares of Class B common stock, par value $0.0001</w:t>
      </w:r>
      <w:r>
        <w:rPr>
          <w:rFonts w:ascii="Times New Roman" w:hAnsi="Times New Roman"/>
          <w:sz w:val="20"/>
        </w:rPr>
        <w:t xml:space="preserve"> </w:t>
      </w:r>
      <w:r>
        <w:rPr>
          <w:rFonts w:ascii="Times New Roman" w:hAnsi="Times New Roman"/>
          <w:b w:val="false"/>
          <w:sz w:val="18"/>
        </w:rPr>
        <w:t>per share.</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Dividends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Liquidation preferences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Conversion</w:t>
      </w:r>
    </w:p>
    <w:p>
      <w:pPr>
        <w:pStyle w:val="TextBody"/>
        <w:spacing w:lineRule="auto" w:line="273" w:before="108" w:after="0"/>
        <w:jc w:val="left"/>
        <w:rPr>
          <w:rFonts w:ascii="Times New Roman" w:hAnsi="Times New Roman"/>
          <w:sz w:val="20"/>
        </w:rPr>
      </w:pPr>
      <w:r>
        <w:rPr>
          <w:rFonts w:ascii="Times New Roman" w:hAnsi="Times New Roman"/>
          <w:b w:val="false"/>
          <w:sz w:val="18"/>
        </w:rPr>
        <w:t>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61</w:t>
      </w:r>
      <w:r>
        <w:rPr>
          <w:rFonts w:ascii="Times New Roman" w:hAnsi="Times New Roman"/>
          <w:sz w:val="20"/>
        </w:rPr>
        <w:t xml:space="preserve"> </w:t>
      </w:r>
      <w:r>
        <w:rPr>
          <w:rFonts w:ascii="Times New Roman" w:hAnsi="Times New Roman"/>
          <w:b w:val="false"/>
          <w:sz w:val="18"/>
        </w:rPr>
        <w:t>days’ notice to the Company.</w:t>
      </w:r>
    </w:p>
    <w:p>
      <w:pPr>
        <w:pStyle w:val="TextBody"/>
        <w:spacing w:lineRule="auto" w:line="273" w:before="216" w:after="0"/>
        <w:jc w:val="left"/>
        <w:rPr>
          <w:rFonts w:ascii="Times New Roman" w:hAnsi="Times New Roman"/>
          <w:b w:val="false"/>
          <w:i/>
          <w:sz w:val="18"/>
        </w:rPr>
      </w:pPr>
      <w:r>
        <w:rPr>
          <w:rFonts w:ascii="Times New Roman" w:hAnsi="Times New Roman"/>
          <w:b w:val="false"/>
          <w:i/>
          <w:sz w:val="18"/>
        </w:rPr>
        <w:t>Voting rights</w:t>
      </w:r>
    </w:p>
    <w:p>
      <w:pPr>
        <w:pStyle w:val="TextBody"/>
        <w:spacing w:lineRule="auto" w:line="273" w:before="108" w:after="0"/>
        <w:jc w:val="left"/>
        <w:rPr>
          <w:rFonts w:ascii="Times New Roman" w:hAnsi="Times New Roman"/>
          <w:sz w:val="20"/>
        </w:rPr>
      </w:pPr>
      <w:r>
        <w:rPr>
          <w:rFonts w:ascii="Times New Roman" w:hAnsi="Times New Roman"/>
          <w:b w:val="false"/>
          <w:sz w:val="18"/>
        </w:rPr>
        <w:t>Except as otherwise expressly provided in the Company’s amended and restated certificate of incorporation or as required by applicable law, on any matter that is submitted to a vote by the Company’s stockholders, holders of the Company’s common stock are entitled to one</w:t>
      </w:r>
      <w:r>
        <w:rPr>
          <w:rFonts w:ascii="Times New Roman" w:hAnsi="Times New Roman"/>
          <w:sz w:val="20"/>
        </w:rPr>
        <w:t xml:space="preserve"> </w:t>
      </w:r>
      <w:r>
        <w:rPr>
          <w:rFonts w:ascii="Times New Roman" w:hAnsi="Times New Roman"/>
          <w:b w:val="false"/>
          <w:sz w:val="18"/>
        </w:rPr>
        <w:t>vote per share of common stock, and holders of the Company’s Class B common stock are not entitled to any votes per share of Class B common stock, including for the election of directors.</w:t>
      </w:r>
    </w:p>
    <w:p>
      <w:pPr>
        <w:pStyle w:val="TextBody"/>
        <w:spacing w:lineRule="auto" w:line="273" w:before="324" w:after="0"/>
        <w:jc w:val="left"/>
        <w:rPr>
          <w:rFonts w:ascii="Times New Roman" w:hAnsi="Times New Roman"/>
          <w:b/>
          <w:i/>
          <w:sz w:val="18"/>
        </w:rPr>
      </w:pPr>
      <w:r>
        <w:rPr>
          <w:rFonts w:ascii="Times New Roman" w:hAnsi="Times New Roman"/>
          <w:b/>
          <w:i/>
          <w:sz w:val="18"/>
        </w:rPr>
        <w:t>Operating agreement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Prior to the Corporate Reorganization, the Company’s operating agreement, as amended and restated, provided for classes of units, allocation of profits and losses, distribution preferences, other member rights and management of the LLC. The operating agreement designated Class A units, Class B units and Class C preferred units. The Class B units and Class C preferred units were non-voting, except as required by law. The Class B units were liability awards pursuant to authoritative guidance and, as such, were reported at fair value outside of members’ deficit. Members were limited in their liability to their capital contributions.</w:t>
      </w:r>
    </w:p>
    <w:p>
      <w:pPr>
        <w:pStyle w:val="TextBody"/>
        <w:spacing w:lineRule="auto" w:line="273" w:before="324" w:after="0"/>
        <w:jc w:val="left"/>
        <w:rPr>
          <w:rFonts w:ascii="Times New Roman" w:hAnsi="Times New Roman"/>
          <w:b/>
          <w:i/>
          <w:sz w:val="18"/>
        </w:rPr>
      </w:pPr>
      <w:r>
        <w:rPr>
          <w:rFonts w:ascii="Times New Roman" w:hAnsi="Times New Roman"/>
          <w:b/>
          <w:i/>
          <w:sz w:val="18"/>
        </w:rPr>
        <w:t>Common stock warrants</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issued the warrants described below in 2016 in connection with certain advisory services. The warrants became exercisable upon our IPO for a period of 365 and 450 days.</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val="false"/>
          <w:sz w:val="18"/>
        </w:rPr>
        <w:t>Upon adoption of ASU No. 2018-07 on October 1, 2020, the measurement date of the warrants described below became fixed in accordance with the guidance, and such fair value was nominal since the warrants were deeply out-of-the-money. In December 2021, a total of 566,586</w:t>
      </w:r>
      <w:r>
        <w:rPr>
          <w:rFonts w:ascii="Times New Roman" w:hAnsi="Times New Roman"/>
          <w:sz w:val="20"/>
        </w:rPr>
        <w:t xml:space="preserve"> </w:t>
      </w:r>
      <w:r>
        <w:rPr>
          <w:rFonts w:ascii="Times New Roman" w:hAnsi="Times New Roman"/>
          <w:b w:val="false"/>
          <w:sz w:val="18"/>
        </w:rPr>
        <w:t>warrants with an exercise period of 365</w:t>
      </w:r>
      <w:r>
        <w:rPr>
          <w:rFonts w:ascii="Times New Roman" w:hAnsi="Times New Roman"/>
          <w:sz w:val="20"/>
        </w:rPr>
        <w:t xml:space="preserve"> </w:t>
      </w:r>
      <w:r>
        <w:rPr>
          <w:rFonts w:ascii="Times New Roman" w:hAnsi="Times New Roman"/>
          <w:b w:val="false"/>
          <w:sz w:val="18"/>
        </w:rPr>
        <w:t>days after our IPO expired unexercised. As of December 31, 2021 the remaining common stock warrants below are exercisable and expire as follows:</w:t>
      </w:r>
    </w:p>
    <w:p>
      <w:pPr>
        <w:pStyle w:val="TextBody"/>
        <w:spacing w:lineRule="auto" w:line="273" w:before="0" w:after="0"/>
        <w:jc w:val="left"/>
        <w:rPr/>
      </w:pPr>
      <w:r>
        <w:rPr/>
        <w:t> </w:t>
      </w:r>
    </w:p>
    <w:tbl>
      <w:tblPr>
        <w:tblW w:w="6020" w:type="dxa"/>
        <w:jc w:val="left"/>
        <w:tblInd w:w="0" w:type="dxa"/>
        <w:tblCellMar>
          <w:top w:w="28" w:type="dxa"/>
          <w:left w:w="28" w:type="dxa"/>
          <w:bottom w:w="28" w:type="dxa"/>
          <w:right w:w="28" w:type="dxa"/>
        </w:tblCellMar>
      </w:tblPr>
      <w:tblGrid>
        <w:gridCol w:w="2311"/>
        <w:gridCol w:w="146"/>
        <w:gridCol w:w="472"/>
        <w:gridCol w:w="1448"/>
        <w:gridCol w:w="146"/>
        <w:gridCol w:w="146"/>
        <w:gridCol w:w="135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r>
      <w:tr>
        <w:trPr/>
        <w:tc>
          <w:tcPr>
            <w:tcW w:w="2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Outstanding and 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92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Exercise price 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Expiration date</w:t>
            </w:r>
          </w:p>
        </w:tc>
      </w:tr>
      <w:tr>
        <w:trPr/>
        <w:tc>
          <w:tcPr>
            <w:tcW w:w="231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151,088</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47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48"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132.37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March 12, 2022</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4" w:after="0"/>
        <w:jc w:val="left"/>
        <w:rPr>
          <w:rFonts w:ascii="Times New Roman" w:hAnsi="Times New Roman"/>
          <w:b/>
          <w:i/>
          <w:sz w:val="18"/>
        </w:rPr>
      </w:pPr>
      <w:r>
        <w:rPr>
          <w:rFonts w:ascii="Times New Roman" w:hAnsi="Times New Roman"/>
          <w:b/>
          <w:i/>
          <w:sz w:val="18"/>
        </w:rPr>
        <w:t>Noncontrolling interests</w:t>
      </w:r>
    </w:p>
    <w:p>
      <w:pPr>
        <w:pStyle w:val="TextBody"/>
        <w:spacing w:lineRule="auto" w:line="273" w:before="108" w:after="0"/>
        <w:jc w:val="left"/>
        <w:rPr>
          <w:rFonts w:ascii="Times New Roman" w:hAnsi="Times New Roman"/>
          <w:sz w:val="20"/>
        </w:rPr>
      </w:pPr>
      <w:r>
        <w:rPr>
          <w:rFonts w:ascii="Times New Roman" w:hAnsi="Times New Roman"/>
          <w:b w:val="false"/>
          <w:sz w:val="18"/>
        </w:rPr>
        <w:t>In December 2018, the Company issued a noncontrolling interest in HTKY in the form of ordinary shares in connection with the termination of a collaboration and license agreement. In addition to the ordinary shares issued, certain employees and shareholders of the Company purchased 19,000,000</w:t>
      </w:r>
      <w:r>
        <w:rPr>
          <w:rFonts w:ascii="Times New Roman" w:hAnsi="Times New Roman"/>
          <w:sz w:val="20"/>
        </w:rPr>
        <w:t xml:space="preserve"> </w:t>
      </w:r>
      <w:r>
        <w:rPr>
          <w:rFonts w:ascii="Times New Roman" w:hAnsi="Times New Roman"/>
          <w:b w:val="false"/>
          <w:sz w:val="18"/>
        </w:rPr>
        <w:t>ordinary shares of HTKY for an aggregate purchase price of $19,000, of which 5,000,000</w:t>
      </w:r>
      <w:r>
        <w:rPr>
          <w:rFonts w:ascii="Times New Roman" w:hAnsi="Times New Roman"/>
          <w:sz w:val="20"/>
        </w:rPr>
        <w:t xml:space="preserve"> </w:t>
      </w:r>
      <w:r>
        <w:rPr>
          <w:rFonts w:ascii="Times New Roman" w:hAnsi="Times New Roman"/>
          <w:b w:val="false"/>
          <w:sz w:val="18"/>
        </w:rPr>
        <w:t>were repurchased for $5,000</w:t>
      </w:r>
      <w:r>
        <w:rPr>
          <w:rFonts w:ascii="Times New Roman" w:hAnsi="Times New Roman"/>
          <w:sz w:val="20"/>
        </w:rPr>
        <w:t xml:space="preserve"> </w:t>
      </w:r>
      <w:r>
        <w:rPr>
          <w:rFonts w:ascii="Times New Roman" w:hAnsi="Times New Roman"/>
          <w:b w:val="false"/>
          <w:sz w:val="18"/>
        </w:rPr>
        <w:t>in March 2019. As of December 31, 2019, the Company held all of the outstanding HTKY preferred equity, consisting of 97,183,256</w:t>
      </w:r>
      <w:r>
        <w:rPr>
          <w:rFonts w:ascii="Times New Roman" w:hAnsi="Times New Roman"/>
          <w:sz w:val="20"/>
        </w:rPr>
        <w:t xml:space="preserve"> </w:t>
      </w:r>
      <w:r>
        <w:rPr>
          <w:rFonts w:ascii="Times New Roman" w:hAnsi="Times New Roman"/>
          <w:b w:val="false"/>
          <w:sz w:val="18"/>
        </w:rPr>
        <w:t>Series B convertible preference shares, and 1,000</w:t>
      </w:r>
      <w:r>
        <w:rPr>
          <w:rFonts w:ascii="Times New Roman" w:hAnsi="Times New Roman"/>
          <w:sz w:val="20"/>
        </w:rPr>
        <w:t xml:space="preserve"> </w:t>
      </w:r>
      <w:r>
        <w:rPr>
          <w:rFonts w:ascii="Times New Roman" w:hAnsi="Times New Roman"/>
          <w:b w:val="false"/>
          <w:sz w:val="18"/>
        </w:rPr>
        <w:t>ordinary shares. The Series B convertible preference shares had a liquation preference equal to the greater of $1.00</w:t>
      </w:r>
      <w:r>
        <w:rPr>
          <w:rFonts w:ascii="Times New Roman" w:hAnsi="Times New Roman"/>
          <w:sz w:val="20"/>
        </w:rPr>
        <w:t xml:space="preserve"> </w:t>
      </w:r>
      <w:r>
        <w:rPr>
          <w:rFonts w:ascii="Times New Roman" w:hAnsi="Times New Roman"/>
          <w:b w:val="false"/>
          <w:sz w:val="18"/>
        </w:rPr>
        <w:t>per share, plus declared and unpaid dividends, or the if-converted value, and pay non-cumulative dividends in preference to the holders of ordinary shares at an annual rate of 7% of the purchase price per share when, as and if declared by the board. The net income (loss) of HTKY was allocated to the ordinary shareholders on a pro rata basis. However, any net income was initially be allocated to the preference shares until the liquidation preference is met. Thereafter, preference shares would only be allocated dividends declared by the board of directors of HTKY. For the year ended December 31, 2019, substantially all of the $61,000</w:t>
      </w:r>
      <w:r>
        <w:rPr>
          <w:rFonts w:ascii="Times New Roman" w:hAnsi="Times New Roman"/>
          <w:sz w:val="20"/>
        </w:rPr>
        <w:t xml:space="preserve"> </w:t>
      </w:r>
      <w:r>
        <w:rPr>
          <w:rFonts w:ascii="Times New Roman" w:hAnsi="Times New Roman"/>
          <w:b w:val="false"/>
          <w:sz w:val="18"/>
        </w:rPr>
        <w:t>net loss of HTKY was allocated to the noncontrolling interest. HTKY had no material operations for the year ended December 31, 2020. As discussed in Note 1, HTKY was deconsolidated as part of the July 2020 Corporate Reorganization.</w:t>
      </w:r>
      <w:r>
        <w:rPr>
          <w:rFonts w:ascii="Times New Roman" w:hAnsi="Times New Roman"/>
          <w:sz w:val="20"/>
        </w:rPr>
        <w:t xml:space="preserve"> </w:t>
      </w:r>
    </w:p>
    <w:p>
      <w:pPr>
        <w:pStyle w:val="TextBody"/>
        <w:spacing w:lineRule="auto" w:line="273" w:before="324" w:after="0"/>
        <w:jc w:val="left"/>
        <w:rPr>
          <w:rFonts w:ascii="Times New Roman" w:hAnsi="Times New Roman"/>
          <w:b/>
          <w:i/>
          <w:sz w:val="18"/>
        </w:rPr>
      </w:pPr>
      <w:r>
        <w:rPr>
          <w:rFonts w:ascii="Times New Roman" w:hAnsi="Times New Roman"/>
          <w:b/>
          <w:i/>
          <w:sz w:val="18"/>
        </w:rPr>
        <w:t>2020 Equity Incentive Plan</w:t>
      </w:r>
    </w:p>
    <w:p>
      <w:pPr>
        <w:pStyle w:val="TextBody"/>
        <w:spacing w:lineRule="auto" w:line="273" w:before="108" w:after="0"/>
        <w:jc w:val="left"/>
        <w:rPr>
          <w:rFonts w:ascii="Times New Roman" w:hAnsi="Times New Roman"/>
          <w:sz w:val="20"/>
        </w:rPr>
      </w:pPr>
      <w:r>
        <w:rPr>
          <w:rFonts w:ascii="Times New Roman" w:hAnsi="Times New Roman"/>
          <w:b w:val="false"/>
          <w:sz w:val="18"/>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December 31, 2021 and 2020, the total number of common shares authorized for issuance under the 2020 Plan was 6,226,540</w:t>
      </w:r>
      <w:r>
        <w:rPr>
          <w:rFonts w:ascii="Times New Roman" w:hAnsi="Times New Roman"/>
          <w:sz w:val="20"/>
        </w:rPr>
        <w:t xml:space="preserve"> </w:t>
      </w:r>
      <w:r>
        <w:rPr>
          <w:rFonts w:ascii="Times New Roman" w:hAnsi="Times New Roman"/>
          <w:b w:val="false"/>
          <w:sz w:val="18"/>
        </w:rPr>
        <w:t>and 4,939,678,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w:t>
      </w:r>
      <w:r>
        <w:rPr>
          <w:rFonts w:ascii="Times New Roman" w:hAnsi="Times New Roman"/>
          <w:sz w:val="20"/>
        </w:rPr>
        <w:t xml:space="preserve"> </w:t>
      </w:r>
      <w:r>
        <w:rPr>
          <w:rFonts w:ascii="Times New Roman" w:hAnsi="Times New Roman"/>
          <w:b w:val="false"/>
          <w:sz w:val="18"/>
        </w:rPr>
        <w:t>months, subject to continuous service.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Stock-based compensation expense recognized for all equity awards under the 2020 Plan has been reported in the consolidated statements of operations and comprehensive loss as follows (in thousands):</w:t>
      </w:r>
    </w:p>
    <w:p>
      <w:pPr>
        <w:pStyle w:val="TextBody"/>
        <w:spacing w:lineRule="auto" w:line="273" w:before="0" w:after="0"/>
        <w:jc w:val="left"/>
        <w:rPr/>
      </w:pPr>
      <w:bookmarkStart w:id="22" w:name="bkmk_231"/>
      <w:bookmarkEnd w:id="22"/>
      <w:r>
        <w:rPr/>
        <w:t> </w:t>
      </w:r>
    </w:p>
    <w:tbl>
      <w:tblPr>
        <w:tblW w:w="4920" w:type="dxa"/>
        <w:jc w:val="left"/>
        <w:tblInd w:w="0" w:type="dxa"/>
        <w:tblCellMar>
          <w:top w:w="28" w:type="dxa"/>
          <w:left w:w="28" w:type="dxa"/>
          <w:bottom w:w="28" w:type="dxa"/>
          <w:right w:w="28" w:type="dxa"/>
        </w:tblCellMar>
      </w:tblPr>
      <w:tblGrid>
        <w:gridCol w:w="2011"/>
        <w:gridCol w:w="146"/>
        <w:gridCol w:w="280"/>
        <w:gridCol w:w="860"/>
        <w:gridCol w:w="146"/>
        <w:gridCol w:w="146"/>
        <w:gridCol w:w="315"/>
        <w:gridCol w:w="825"/>
        <w:gridCol w:w="1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w:t>
              <w:b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740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20,429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shd w:fill="auto" w:val="clear"/>
            <w:vAlign w:val="center"/>
          </w:tcPr>
          <w:p>
            <w:pPr>
              <w:pStyle w:val="TableContents"/>
              <w:spacing w:lineRule="auto" w:line="252" w:before="0" w:after="0"/>
              <w:ind w:left="0" w:right="0" w:hanging="0"/>
              <w:jc w:val="left"/>
              <w:rPr/>
            </w:pPr>
            <w:r>
              <w:rPr/>
              <w:t> </w:t>
            </w:r>
          </w:p>
        </w:tc>
        <w:tc>
          <w:tcPr>
            <w:tcW w:w="82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2,282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0"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25,117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25"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3,022</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04" w:after="0"/>
        <w:jc w:val="left"/>
        <w:rPr>
          <w:rFonts w:ascii="Times New Roman" w:hAnsi="Times New Roman"/>
          <w:b/>
          <w:i/>
          <w:sz w:val="18"/>
        </w:rPr>
      </w:pPr>
      <w:r>
        <w:rPr>
          <w:rFonts w:ascii="Times New Roman" w:hAnsi="Times New Roman"/>
          <w:b/>
          <w:i/>
          <w:sz w:val="18"/>
        </w:rPr>
        <w:t>Restricted stock units</w:t>
      </w:r>
    </w:p>
    <w:p>
      <w:pPr>
        <w:pStyle w:val="TextBody"/>
        <w:spacing w:lineRule="auto" w:line="273" w:before="108" w:after="0"/>
        <w:jc w:val="left"/>
        <w:rPr>
          <w:rFonts w:ascii="Times New Roman" w:hAnsi="Times New Roman"/>
          <w:sz w:val="20"/>
        </w:rPr>
      </w:pPr>
      <w:r>
        <w:rPr>
          <w:rFonts w:ascii="Times New Roman" w:hAnsi="Times New Roman"/>
          <w:b w:val="false"/>
          <w:sz w:val="18"/>
        </w:rPr>
        <w:t>In December 2020, the Company granted an aggregate of 1,920,037</w:t>
      </w:r>
      <w:r>
        <w:rPr>
          <w:rFonts w:ascii="Times New Roman" w:hAnsi="Times New Roman"/>
          <w:sz w:val="20"/>
        </w:rPr>
        <w:t xml:space="preserve"> </w:t>
      </w:r>
      <w:r>
        <w:rPr>
          <w:rFonts w:ascii="Times New Roman" w:hAnsi="Times New Roman"/>
          <w:b w:val="false"/>
          <w:sz w:val="18"/>
        </w:rPr>
        <w:t>restricted stock units (“RSUs”) to certain of the Company’s employees and service providers, including executive officers and non-employee directors.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following table summarizes RSU activity under the 2020 Plan for the years ended December 31, 2021 and 2020:</w:t>
      </w:r>
    </w:p>
    <w:p>
      <w:pPr>
        <w:pStyle w:val="TextBody"/>
        <w:spacing w:lineRule="auto" w:line="273" w:before="0" w:after="0"/>
        <w:jc w:val="left"/>
        <w:rPr/>
      </w:pPr>
      <w:bookmarkStart w:id="23" w:name="bkmk_232"/>
      <w:bookmarkEnd w:id="23"/>
      <w:r>
        <w:rPr/>
        <w:t> </w:t>
      </w:r>
    </w:p>
    <w:tbl>
      <w:tblPr>
        <w:tblW w:w="5342" w:type="dxa"/>
        <w:jc w:val="left"/>
        <w:tblInd w:w="0" w:type="dxa"/>
        <w:tblCellMar>
          <w:top w:w="28" w:type="dxa"/>
          <w:left w:w="28" w:type="dxa"/>
          <w:bottom w:w="28" w:type="dxa"/>
          <w:right w:w="28" w:type="dxa"/>
        </w:tblCellMar>
      </w:tblPr>
      <w:tblGrid>
        <w:gridCol w:w="2596"/>
        <w:gridCol w:w="146"/>
        <w:gridCol w:w="146"/>
        <w:gridCol w:w="826"/>
        <w:gridCol w:w="146"/>
        <w:gridCol w:w="146"/>
        <w:gridCol w:w="262"/>
        <w:gridCol w:w="683"/>
        <w:gridCol w:w="3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Number of</w:t>
              <w:b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Weighted -</w:t>
              <w:br/>
              <w:t>average</w:t>
              <w:br/>
              <w:t>grant date</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Outstanding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5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1,920,037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5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Outstanding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1,920,037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5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59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944,991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18.00</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5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2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975,046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18.00</w:t>
            </w:r>
          </w:p>
        </w:tc>
        <w:tc>
          <w:tcPr>
            <w:tcW w:w="3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As of December 31, 2021, total unrecognized stock-based compensation expense for RSUs was $17.5</w:t>
      </w:r>
      <w:r>
        <w:rPr>
          <w:rFonts w:ascii="Times New Roman" w:hAnsi="Times New Roman"/>
          <w:sz w:val="20"/>
        </w:rPr>
        <w:t xml:space="preserve"> </w:t>
      </w:r>
      <w:r>
        <w:rPr>
          <w:rFonts w:ascii="Times New Roman" w:hAnsi="Times New Roman"/>
          <w:b w:val="false"/>
          <w:sz w:val="18"/>
        </w:rPr>
        <w:t>million, which is expected to be recognized over a remaining weighted-average period of approximately 2.2</w:t>
      </w:r>
      <w:r>
        <w:rPr>
          <w:rFonts w:ascii="Times New Roman" w:hAnsi="Times New Roman"/>
          <w:sz w:val="20"/>
        </w:rPr>
        <w:t xml:space="preserve"> </w:t>
      </w:r>
      <w:r>
        <w:rPr>
          <w:rFonts w:ascii="Times New Roman" w:hAnsi="Times New Roman"/>
          <w:b w:val="false"/>
          <w:sz w:val="18"/>
        </w:rPr>
        <w:t>years.</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Stock options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following table summarizes stock option activity under the 2020 Plan for the year ended December 31, 2021 and 2020 (in thousands, except share and per option data and years):</w:t>
      </w:r>
    </w:p>
    <w:p>
      <w:pPr>
        <w:pStyle w:val="TextBody"/>
        <w:spacing w:lineRule="auto" w:line="273" w:before="0" w:after="0"/>
        <w:jc w:val="left"/>
        <w:rPr/>
      </w:pPr>
      <w:bookmarkStart w:id="24" w:name="bkmk_234"/>
      <w:bookmarkEnd w:id="24"/>
      <w:r>
        <w:rPr/>
        <w:t> </w:t>
      </w:r>
    </w:p>
    <w:tbl>
      <w:tblPr>
        <w:tblW w:w="8904" w:type="dxa"/>
        <w:jc w:val="left"/>
        <w:tblInd w:w="0" w:type="dxa"/>
        <w:tblCellMar>
          <w:top w:w="28" w:type="dxa"/>
          <w:left w:w="28" w:type="dxa"/>
          <w:bottom w:w="28" w:type="dxa"/>
          <w:right w:w="28" w:type="dxa"/>
        </w:tblCellMar>
      </w:tblPr>
      <w:tblGrid>
        <w:gridCol w:w="3691"/>
        <w:gridCol w:w="146"/>
        <w:gridCol w:w="146"/>
        <w:gridCol w:w="826"/>
        <w:gridCol w:w="166"/>
        <w:gridCol w:w="146"/>
        <w:gridCol w:w="262"/>
        <w:gridCol w:w="683"/>
        <w:gridCol w:w="146"/>
        <w:gridCol w:w="146"/>
        <w:gridCol w:w="251"/>
        <w:gridCol w:w="725"/>
        <w:gridCol w:w="146"/>
        <w:gridCol w:w="146"/>
        <w:gridCol w:w="196"/>
        <w:gridCol w:w="691"/>
        <w:gridCol w:w="39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Number of</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Weighted -</w:t>
              <w:br/>
              <w:t>average</w:t>
              <w:br/>
              <w:t>exercise</w:t>
              <w:br/>
              <w:t>price per</w:t>
              <w:br/>
              <w:t>option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Weighted -</w:t>
              <w:br/>
              <w:t>average</w:t>
              <w:br/>
              <w:t>remaining</w:t>
              <w:br/>
              <w:t>contractual</w:t>
              <w:br/>
              <w:t>term</w:t>
              <w:br/>
              <w:t>(in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Aggregate</w:t>
              <w:br/>
              <w:t>intrinsic</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1" w:type="dxa"/>
            <w:tcBorders/>
            <w:shd w:fill="auto" w:val="clear"/>
            <w:vAlign w:val="center"/>
          </w:tcPr>
          <w:p>
            <w:pPr>
              <w:pStyle w:val="TableContents"/>
              <w:spacing w:lineRule="auto" w:line="252" w:before="0" w:after="0"/>
              <w:ind w:left="0" w:right="0" w:hanging="0"/>
              <w:jc w:val="left"/>
              <w:rPr/>
            </w:pPr>
            <w:r>
              <w:rPr/>
              <w:t> </w:t>
            </w:r>
          </w:p>
        </w:tc>
        <w:tc>
          <w:tcPr>
            <w:tcW w:w="72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615,106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615,106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9.95</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9,848</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6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2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479,543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37.86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6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(7,747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1" w:type="dxa"/>
            <w:tcBorders/>
            <w:shd w:fill="auto" w:val="clear"/>
            <w:vAlign w:val="center"/>
          </w:tcPr>
          <w:p>
            <w:pPr>
              <w:pStyle w:val="TableContents"/>
              <w:spacing w:lineRule="auto" w:line="252" w:before="0" w:after="0"/>
              <w:ind w:left="0" w:right="0" w:hanging="0"/>
              <w:jc w:val="left"/>
              <w:rPr/>
            </w:pPr>
            <w:r>
              <w:rPr/>
              <w:t> </w:t>
            </w:r>
          </w:p>
        </w:tc>
        <w:tc>
          <w:tcPr>
            <w:tcW w:w="72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182,829</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1,086,902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1" w:type="dxa"/>
            <w:tcBorders/>
            <w:shd w:fill="auto" w:val="clear"/>
            <w:vAlign w:val="center"/>
          </w:tcPr>
          <w:p>
            <w:pPr>
              <w:pStyle w:val="TableContents"/>
              <w:spacing w:lineRule="auto" w:line="252" w:before="0" w:after="0"/>
              <w:ind w:left="0" w:right="0" w:hanging="0"/>
              <w:jc w:val="left"/>
              <w:rPr/>
            </w:pPr>
            <w:r>
              <w:rPr/>
              <w:t> </w:t>
            </w:r>
          </w:p>
        </w:tc>
        <w:tc>
          <w:tcPr>
            <w:tcW w:w="72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991,495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Vested and expected to vest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1,086,902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26.76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1" w:type="dxa"/>
            <w:tcBorders/>
            <w:shd w:fill="auto" w:val="clear"/>
            <w:vAlign w:val="center"/>
          </w:tcPr>
          <w:p>
            <w:pPr>
              <w:pStyle w:val="TableContents"/>
              <w:spacing w:lineRule="auto" w:line="252" w:before="0" w:after="0"/>
              <w:ind w:left="0" w:right="0" w:hanging="0"/>
              <w:jc w:val="left"/>
              <w:rPr/>
            </w:pPr>
            <w:r>
              <w:rPr/>
              <w:t> </w:t>
            </w:r>
          </w:p>
        </w:tc>
        <w:tc>
          <w:tcPr>
            <w:tcW w:w="72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991,495</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6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Exercisable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155,579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2"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83"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1" w:type="dxa"/>
            <w:tcBorders/>
            <w:shd w:fill="auto" w:val="clear"/>
            <w:vAlign w:val="center"/>
          </w:tcPr>
          <w:p>
            <w:pPr>
              <w:pStyle w:val="TableContents"/>
              <w:spacing w:lineRule="auto" w:line="252" w:before="0" w:after="0"/>
              <w:ind w:left="0" w:right="0" w:hanging="0"/>
              <w:jc w:val="left"/>
              <w:rPr/>
            </w:pPr>
            <w:r>
              <w:rPr/>
              <w:t> </w:t>
            </w:r>
          </w:p>
        </w:tc>
        <w:tc>
          <w:tcPr>
            <w:tcW w:w="72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9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247,486</w:t>
            </w:r>
          </w:p>
        </w:tc>
        <w:tc>
          <w:tcPr>
            <w:tcW w:w="3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As of December 31, 2021, total unrecognized stock-based compensation cost for unvested common stock options was $15.0</w:t>
      </w:r>
      <w:r>
        <w:rPr>
          <w:rFonts w:ascii="Times New Roman" w:hAnsi="Times New Roman"/>
          <w:sz w:val="20"/>
        </w:rPr>
        <w:t xml:space="preserve"> </w:t>
      </w:r>
      <w:r>
        <w:rPr>
          <w:rFonts w:ascii="Times New Roman" w:hAnsi="Times New Roman"/>
          <w:b w:val="false"/>
          <w:sz w:val="18"/>
        </w:rPr>
        <w:t>million, which is expected to be recognized over a remaining weighted-average period of approximately 3.1</w:t>
      </w:r>
      <w:r>
        <w:rPr>
          <w:rFonts w:ascii="Times New Roman" w:hAnsi="Times New Roman"/>
          <w:sz w:val="20"/>
        </w:rPr>
        <w:t xml:space="preserve"> </w:t>
      </w:r>
      <w:r>
        <w:rPr>
          <w:rFonts w:ascii="Times New Roman" w:hAnsi="Times New Roman"/>
          <w:b w:val="false"/>
          <w:sz w:val="18"/>
        </w:rPr>
        <w:t>years. The weighted- average grant date fair value of stock options granted during the years ended December 31, 2021</w:t>
      </w:r>
      <w:r>
        <w:rPr>
          <w:rFonts w:ascii="Times New Roman" w:hAnsi="Times New Roman"/>
          <w:sz w:val="20"/>
        </w:rPr>
        <w:t xml:space="preserve"> </w:t>
      </w:r>
      <w:r>
        <w:rPr>
          <w:rFonts w:ascii="Times New Roman" w:hAnsi="Times New Roman"/>
          <w:b w:val="false"/>
          <w:sz w:val="18"/>
        </w:rPr>
        <w:t>and 2020 was $24.61</w:t>
      </w:r>
      <w:r>
        <w:rPr>
          <w:rFonts w:ascii="Times New Roman" w:hAnsi="Times New Roman"/>
          <w:sz w:val="20"/>
        </w:rPr>
        <w:t xml:space="preserve"> </w:t>
      </w:r>
      <w:r>
        <w:rPr>
          <w:rFonts w:ascii="Times New Roman" w:hAnsi="Times New Roman"/>
          <w:b w:val="false"/>
          <w:sz w:val="18"/>
        </w:rPr>
        <w:t>per share and $11.66</w:t>
      </w:r>
      <w:r>
        <w:rPr>
          <w:rFonts w:ascii="Times New Roman" w:hAnsi="Times New Roman"/>
          <w:sz w:val="20"/>
        </w:rPr>
        <w:t xml:space="preserve"> </w:t>
      </w:r>
      <w:r>
        <w:rPr>
          <w:rFonts w:ascii="Times New Roman" w:hAnsi="Times New Roman"/>
          <w:b w:val="false"/>
          <w:sz w:val="18"/>
        </w:rPr>
        <w:t>per share, respectively. The total fair value of options vested during the year ended December 31, 2021 was $1.9</w:t>
      </w:r>
      <w:r>
        <w:rPr>
          <w:rFonts w:ascii="Times New Roman" w:hAnsi="Times New Roman"/>
          <w:sz w:val="20"/>
        </w:rPr>
        <w:t xml:space="preserve"> </w:t>
      </w:r>
      <w:r>
        <w:rPr>
          <w:rFonts w:ascii="Times New Roman" w:hAnsi="Times New Roman"/>
          <w:b w:val="false"/>
          <w:sz w:val="18"/>
        </w:rPr>
        <w:t>million. No</w:t>
      </w:r>
      <w:r>
        <w:rPr>
          <w:rFonts w:ascii="Times New Roman" w:hAnsi="Times New Roman"/>
          <w:sz w:val="20"/>
        </w:rPr>
        <w:t xml:space="preserve"> </w:t>
      </w:r>
      <w:r>
        <w:rPr>
          <w:rFonts w:ascii="Times New Roman" w:hAnsi="Times New Roman"/>
          <w:b w:val="false"/>
          <w:sz w:val="18"/>
        </w:rPr>
        <w:t>options vested during the years ended December 31, 2020 and 2019. Upon option exercise, the Company issues new shares of its common stock.</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assumptions used in the Black-Scholes option pricing model to determine the fair value of stock option grants were as follows:</w:t>
      </w:r>
    </w:p>
    <w:p>
      <w:pPr>
        <w:pStyle w:val="TextBody"/>
        <w:spacing w:lineRule="auto" w:line="273" w:before="0" w:after="0"/>
        <w:jc w:val="left"/>
        <w:rPr/>
      </w:pPr>
      <w:bookmarkStart w:id="25" w:name="bkmk_235"/>
      <w:bookmarkEnd w:id="25"/>
      <w:r>
        <w:rPr/>
        <w:t> </w:t>
      </w:r>
    </w:p>
    <w:tbl>
      <w:tblPr>
        <w:tblW w:w="4945" w:type="dxa"/>
        <w:jc w:val="left"/>
        <w:tblInd w:w="0" w:type="dxa"/>
        <w:tblCellMar>
          <w:top w:w="28" w:type="dxa"/>
          <w:left w:w="28" w:type="dxa"/>
          <w:bottom w:w="28" w:type="dxa"/>
          <w:right w:w="28" w:type="dxa"/>
        </w:tblCellMar>
      </w:tblPr>
      <w:tblGrid>
        <w:gridCol w:w="1816"/>
        <w:gridCol w:w="146"/>
        <w:gridCol w:w="293"/>
        <w:gridCol w:w="847"/>
        <w:gridCol w:w="256"/>
        <w:gridCol w:w="146"/>
        <w:gridCol w:w="293"/>
        <w:gridCol w:w="847"/>
        <w:gridCol w:w="301"/>
      </w:tblGrid>
      <w:tr>
        <w:trPr/>
        <w:tc>
          <w:tcPr>
            <w:tcW w:w="18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18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w:t>
              <w:br/>
              <w:t>2021</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w:t>
              <w:br/>
              <w:t>2020</w:t>
            </w:r>
          </w:p>
        </w:tc>
        <w:tc>
          <w:tcPr>
            <w:tcW w:w="3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8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74.7</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8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74.5</w:t>
            </w:r>
          </w:p>
        </w:tc>
        <w:tc>
          <w:tcPr>
            <w:tcW w:w="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8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8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1.06</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8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0.52</w:t>
            </w:r>
          </w:p>
        </w:tc>
        <w:tc>
          <w:tcPr>
            <w:tcW w:w="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8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Expected 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8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0.0</w:t>
            </w:r>
          </w:p>
        </w:tc>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93" w:type="dxa"/>
            <w:tcBorders/>
            <w:shd w:fill="auto" w:val="clear"/>
            <w:vAlign w:val="center"/>
          </w:tcPr>
          <w:p>
            <w:pPr>
              <w:pStyle w:val="TableContents"/>
              <w:spacing w:lineRule="auto" w:line="252" w:before="0" w:after="0"/>
              <w:ind w:left="0" w:right="0" w:hanging="0"/>
              <w:jc w:val="left"/>
              <w:rPr/>
            </w:pPr>
            <w:r>
              <w:rPr/>
              <w:t> </w:t>
            </w:r>
          </w:p>
        </w:tc>
        <w:tc>
          <w:tcPr>
            <w:tcW w:w="847"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0.0</w:t>
            </w:r>
          </w:p>
        </w:tc>
        <w:tc>
          <w:tcPr>
            <w:tcW w:w="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181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Expected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5.98</w:t>
            </w:r>
            <w:r>
              <w:rPr>
                <w:rFonts w:ascii="Times New Roman" w:hAnsi="Times New Roman"/>
                <w:sz w:val="20"/>
              </w:rPr>
              <w:t> </w:t>
            </w:r>
            <w:r>
              <w:rPr>
                <w:rFonts w:ascii="Times New Roman" w:hAnsi="Times New Roman"/>
                <w:b w:val="false"/>
                <w:sz w:val="18"/>
              </w:rPr>
              <w:t>years</w:t>
            </w:r>
          </w:p>
        </w:tc>
        <w:tc>
          <w:tcPr>
            <w:tcW w:w="25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140" w:type="dxa"/>
            <w:gridSpan w:val="2"/>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Times New Roman" w:hAnsi="Times New Roman"/>
                <w:b w:val="false"/>
                <w:sz w:val="18"/>
              </w:rPr>
              <w:t>6.09</w:t>
            </w:r>
            <w:r>
              <w:rPr>
                <w:rFonts w:ascii="Times New Roman" w:hAnsi="Times New Roman"/>
                <w:sz w:val="20"/>
              </w:rPr>
              <w:t> </w:t>
            </w:r>
            <w:r>
              <w:rPr>
                <w:rFonts w:ascii="Times New Roman" w:hAnsi="Times New Roman"/>
                <w:b w:val="false"/>
                <w:sz w:val="18"/>
              </w:rPr>
              <w:t>years</w:t>
            </w:r>
          </w:p>
        </w:tc>
        <w:tc>
          <w:tcPr>
            <w:tcW w:w="30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i/>
          <w:sz w:val="18"/>
        </w:rPr>
        <w:t>Expected volatility.</w:t>
      </w:r>
      <w:r>
        <w:rPr>
          <w:rFonts w:ascii="Times New Roman" w:hAnsi="Times New Roman"/>
          <w:sz w:val="20"/>
        </w:rPr>
        <w:t xml:space="preserve"> </w:t>
      </w:r>
      <w:r>
        <w:rPr>
          <w:rFonts w:ascii="Times New Roman" w:hAnsi="Times New Roman"/>
          <w:b w:val="false"/>
          <w:sz w:val="18"/>
        </w:rPr>
        <w:t>As the Company’s common stock does not have a significant trading history, the expected volatility assumption is based on volatilities of a peer group of similar companies whose share prices are publicly available. The peer group was developed based on companies in the biotechnology industry.</w:t>
      </w:r>
    </w:p>
    <w:p>
      <w:pPr>
        <w:pStyle w:val="TextBody"/>
        <w:spacing w:lineRule="auto" w:line="273" w:before="216" w:after="0"/>
        <w:jc w:val="left"/>
        <w:rPr>
          <w:rFonts w:ascii="Times New Roman" w:hAnsi="Times New Roman"/>
          <w:sz w:val="20"/>
        </w:rPr>
      </w:pPr>
      <w:r>
        <w:rPr>
          <w:rFonts w:ascii="Times New Roman" w:hAnsi="Times New Roman"/>
          <w:b w:val="false"/>
          <w:i/>
          <w:sz w:val="18"/>
        </w:rPr>
        <w:t>Risk-free interest rate.</w:t>
      </w:r>
      <w:r>
        <w:rPr>
          <w:rFonts w:ascii="Times New Roman" w:hAnsi="Times New Roman"/>
          <w:sz w:val="20"/>
        </w:rPr>
        <w:t xml:space="preserve"> </w:t>
      </w:r>
      <w:r>
        <w:rPr>
          <w:rFonts w:ascii="Times New Roman" w:hAnsi="Times New Roman"/>
          <w:b w:val="false"/>
          <w:sz w:val="18"/>
        </w:rPr>
        <w:t>The Company bases the risk-free interest rate assumption on the U.S. Treasury’s rates for U.S. Treasury zero-coupon bonds with maturities similar to those of the expected term of the award being valued.</w:t>
      </w:r>
    </w:p>
    <w:p>
      <w:pPr>
        <w:pStyle w:val="TextBody"/>
        <w:spacing w:lineRule="auto" w:line="273" w:before="216" w:after="0"/>
        <w:jc w:val="left"/>
        <w:rPr>
          <w:rFonts w:ascii="Times New Roman" w:hAnsi="Times New Roman"/>
          <w:sz w:val="20"/>
        </w:rPr>
      </w:pPr>
      <w:r>
        <w:rPr>
          <w:rFonts w:ascii="Times New Roman" w:hAnsi="Times New Roman"/>
          <w:b w:val="false"/>
          <w:i/>
          <w:sz w:val="18"/>
        </w:rPr>
        <w:t>Expected dividend yield.</w:t>
      </w:r>
      <w:r>
        <w:rPr>
          <w:rFonts w:ascii="Times New Roman" w:hAnsi="Times New Roman"/>
          <w:sz w:val="20"/>
        </w:rPr>
        <w:t xml:space="preserve"> </w:t>
      </w:r>
      <w:r>
        <w:rPr>
          <w:rFonts w:ascii="Times New Roman" w:hAnsi="Times New Roman"/>
          <w:b w:val="false"/>
          <w:sz w:val="18"/>
        </w:rPr>
        <w:t>The Company bases the expected dividend yield assumption on the fact that it has never paid cash dividends and has no present plans to pay cash dividends.</w:t>
      </w:r>
    </w:p>
    <w:p>
      <w:pPr>
        <w:pStyle w:val="TextBody"/>
        <w:spacing w:lineRule="auto" w:line="273" w:before="216" w:after="0"/>
        <w:jc w:val="left"/>
        <w:rPr>
          <w:rFonts w:ascii="Times New Roman" w:hAnsi="Times New Roman"/>
          <w:sz w:val="20"/>
        </w:rPr>
      </w:pPr>
      <w:r>
        <w:rPr>
          <w:rFonts w:ascii="Times New Roman" w:hAnsi="Times New Roman"/>
          <w:b w:val="false"/>
          <w:i/>
          <w:sz w:val="18"/>
        </w:rPr>
        <w:t>Expected term.</w:t>
      </w:r>
      <w:r>
        <w:rPr>
          <w:rFonts w:ascii="Times New Roman" w:hAnsi="Times New Roman"/>
          <w:sz w:val="20"/>
        </w:rPr>
        <w:t xml:space="preserve"> </w:t>
      </w:r>
      <w:r>
        <w:rPr>
          <w:rFonts w:ascii="Times New Roman" w:hAnsi="Times New Roman"/>
          <w:b w:val="false"/>
          <w:sz w:val="18"/>
        </w:rPr>
        <w:t>For employees, the expected term represents the period of time that options are expected to be 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pStyle w:val="TextBody"/>
        <w:spacing w:lineRule="auto" w:line="273" w:before="324" w:after="0"/>
        <w:jc w:val="left"/>
        <w:rPr>
          <w:rFonts w:ascii="Times New Roman" w:hAnsi="Times New Roman"/>
          <w:b/>
          <w:i/>
          <w:sz w:val="18"/>
        </w:rPr>
      </w:pPr>
      <w:r>
        <w:rPr>
          <w:rFonts w:ascii="Times New Roman" w:hAnsi="Times New Roman"/>
          <w:b/>
          <w:i/>
          <w:sz w:val="18"/>
        </w:rPr>
        <w:t>Employee Stock Purchase Plan</w:t>
      </w:r>
    </w:p>
    <w:p>
      <w:pPr>
        <w:pStyle w:val="TextBody"/>
        <w:spacing w:lineRule="auto" w:line="273" w:before="108" w:after="0"/>
        <w:jc w:val="left"/>
        <w:rPr>
          <w:rFonts w:ascii="Times New Roman" w:hAnsi="Times New Roman"/>
          <w:sz w:val="20"/>
        </w:rPr>
      </w:pPr>
      <w:r>
        <w:rPr>
          <w:rFonts w:ascii="Times New Roman" w:hAnsi="Times New Roman"/>
          <w:b w:val="false"/>
          <w:sz w:val="18"/>
        </w:rPr>
        <w:t>In December 2020, the Company’s board of directors and stockholders approved the BioAtla, Inc. Employee Stock Purchase Plan (the “ESPP”). The ESPP permits participants to purchase common stock through payroll deductions of up to 15% of their eligible compensation. As of December 31, 2021 and 2020, a total of 833,993</w:t>
      </w:r>
      <w:r>
        <w:rPr>
          <w:rFonts w:ascii="Times New Roman" w:hAnsi="Times New Roman"/>
          <w:sz w:val="20"/>
        </w:rPr>
        <w:t xml:space="preserve"> </w:t>
      </w:r>
      <w:r>
        <w:rPr>
          <w:rFonts w:ascii="Times New Roman" w:hAnsi="Times New Roman"/>
          <w:b w:val="false"/>
          <w:sz w:val="18"/>
        </w:rPr>
        <w:t>and 464,829</w:t>
      </w:r>
      <w:r>
        <w:rPr>
          <w:rFonts w:ascii="Times New Roman" w:hAnsi="Times New Roman"/>
          <w:sz w:val="20"/>
        </w:rPr>
        <w:t xml:space="preserve"> </w:t>
      </w:r>
      <w:r>
        <w:rPr>
          <w:rFonts w:ascii="Times New Roman" w:hAnsi="Times New Roman"/>
          <w:b w:val="false"/>
          <w:sz w:val="18"/>
        </w:rPr>
        <w:t>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w:t>
      </w:r>
      <w:r>
        <w:rPr>
          <w:rFonts w:ascii="Times New Roman" w:hAnsi="Times New Roman"/>
          <w:sz w:val="20"/>
        </w:rPr>
        <w:t xml:space="preserve"> </w:t>
      </w:r>
      <w:r>
        <w:rPr>
          <w:rFonts w:ascii="Times New Roman" w:hAnsi="Times New Roman"/>
          <w:b w:val="false"/>
          <w:sz w:val="18"/>
        </w:rPr>
        <w:t>common shares or (iii) a number determined by the Company’s board of directors that is less than (i) and (ii). The ESPP plan was amended in September 2021 to change the offering periods to end on May 15th and November 15th of each year beginning January 1, 2022. In February 2021, employees began to enroll in the ESPP and the Company’s first offering period commenced. ESPP purchase transactions occurred on June 30, 2021 and on December 31, 2021. During the year ended December 31, 2021, the Company issued 11,182</w:t>
      </w:r>
      <w:r>
        <w:rPr>
          <w:rFonts w:ascii="Times New Roman" w:hAnsi="Times New Roman"/>
          <w:sz w:val="20"/>
        </w:rPr>
        <w:t xml:space="preserve"> </w:t>
      </w:r>
      <w:r>
        <w:rPr>
          <w:rFonts w:ascii="Times New Roman" w:hAnsi="Times New Roman"/>
          <w:b w:val="false"/>
          <w:sz w:val="18"/>
        </w:rPr>
        <w:t>shares of common stock under the ESPP. As of December 31, 2021, 822,811</w:t>
      </w:r>
      <w:r>
        <w:rPr>
          <w:rFonts w:ascii="Times New Roman" w:hAnsi="Times New Roman"/>
          <w:sz w:val="20"/>
        </w:rPr>
        <w:t xml:space="preserve"> </w:t>
      </w:r>
      <w:r>
        <w:rPr>
          <w:rFonts w:ascii="Times New Roman" w:hAnsi="Times New Roman"/>
          <w:b w:val="false"/>
          <w:sz w:val="18"/>
        </w:rPr>
        <w:t>shares of common stock remained available for issuance under the ESPP. Stock-based compensation expense related to the ESPP for the twelve months ended December 31, 2021 was immaterial.</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Common stock reserved for future issuance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Common stock reserved for future issuance are as follows in common equivalent shares:</w:t>
      </w:r>
    </w:p>
    <w:p>
      <w:pPr>
        <w:pStyle w:val="TextBody"/>
        <w:spacing w:lineRule="auto" w:line="273" w:before="0" w:after="0"/>
        <w:jc w:val="left"/>
        <w:rPr/>
      </w:pPr>
      <w:bookmarkStart w:id="26" w:name="bkmk_237"/>
      <w:bookmarkEnd w:id="26"/>
      <w:r>
        <w:rPr/>
        <w:t> </w:t>
      </w:r>
    </w:p>
    <w:tbl>
      <w:tblPr>
        <w:tblW w:w="8145" w:type="dxa"/>
        <w:jc w:val="left"/>
        <w:tblInd w:w="0" w:type="dxa"/>
        <w:tblCellMar>
          <w:top w:w="28" w:type="dxa"/>
          <w:left w:w="28" w:type="dxa"/>
          <w:bottom w:w="28" w:type="dxa"/>
          <w:right w:w="28" w:type="dxa"/>
        </w:tblCellMar>
      </w:tblPr>
      <w:tblGrid>
        <w:gridCol w:w="5236"/>
        <w:gridCol w:w="146"/>
        <w:gridCol w:w="171"/>
        <w:gridCol w:w="969"/>
        <w:gridCol w:w="146"/>
        <w:gridCol w:w="146"/>
        <w:gridCol w:w="171"/>
        <w:gridCol w:w="969"/>
        <w:gridCol w:w="191"/>
      </w:tblGrid>
      <w:tr>
        <w:trPr/>
        <w:tc>
          <w:tcPr>
            <w:tcW w:w="52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2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b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b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2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Warrants for the purchase of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151,088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717,674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2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Common stock options and restricted stock units issued and outstanding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2,061,948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2,535,143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2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Awards available for future issuance under the 2020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3,211,854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2,404,535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2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Awards available for future issuance under the ESPP</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822,811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shd w:fill="auto" w:val="clear"/>
            <w:vAlign w:val="center"/>
          </w:tcPr>
          <w:p>
            <w:pPr>
              <w:pStyle w:val="TableContents"/>
              <w:spacing w:lineRule="auto" w:line="252" w:before="0" w:after="0"/>
              <w:ind w:left="0" w:right="0" w:hanging="0"/>
              <w:jc w:val="left"/>
              <w:rPr/>
            </w:pPr>
            <w:r>
              <w:rPr/>
              <w:t> </w:t>
            </w:r>
          </w:p>
        </w:tc>
        <w:tc>
          <w:tcPr>
            <w:tcW w:w="969"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464,829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2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common stock reserved for future issuance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96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6,247,701</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969"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6,122,181</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00" w:after="0"/>
        <w:jc w:val="left"/>
        <w:rPr>
          <w:rFonts w:ascii="Times New Roman" w:hAnsi="Times New Roman"/>
          <w:b/>
          <w:sz w:val="18"/>
        </w:rPr>
      </w:pPr>
      <w:r>
        <w:rPr>
          <w:rFonts w:ascii="Times New Roman" w:hAnsi="Times New Roman"/>
          <w:b/>
          <w:sz w:val="18"/>
        </w:rPr>
        <w:t>8. Profits interest incentive plan</w:t>
      </w:r>
    </w:p>
    <w:p>
      <w:pPr>
        <w:pStyle w:val="TextBody"/>
        <w:spacing w:lineRule="auto" w:line="273" w:before="108" w:after="0"/>
        <w:jc w:val="left"/>
        <w:rPr>
          <w:rFonts w:ascii="Times New Roman" w:hAnsi="Times New Roman"/>
          <w:sz w:val="20"/>
        </w:rPr>
      </w:pPr>
      <w:r>
        <w:rPr>
          <w:rFonts w:ascii="Times New Roman" w:hAnsi="Times New Roman"/>
          <w:b w:val="false"/>
          <w:sz w:val="18"/>
        </w:rPr>
        <w:t>Prior to the Corporate Reorganization in July 2020, the Company maintained a Profits Interest Incentive Plan (the “Plan”) for selected employees, consultants and other service providers. In connection with the Corporate Reorganization, Himalaya Parent LLC assumed the Plan and the $1.0</w:t>
      </w:r>
      <w:r>
        <w:rPr>
          <w:rFonts w:ascii="Times New Roman" w:hAnsi="Times New Roman"/>
          <w:sz w:val="20"/>
        </w:rPr>
        <w:t xml:space="preserve"> </w:t>
      </w:r>
      <w:r>
        <w:rPr>
          <w:rFonts w:ascii="Times New Roman" w:hAnsi="Times New Roman"/>
          <w:b w:val="false"/>
          <w:sz w:val="18"/>
        </w:rPr>
        <w:t>million fair value of the liability was reclassified to additional paid-in capital. As of December 31, 2019, the Company had reserved a total of 16,665,977</w:t>
      </w:r>
      <w:r>
        <w:rPr>
          <w:rFonts w:ascii="Times New Roman" w:hAnsi="Times New Roman"/>
          <w:sz w:val="20"/>
        </w:rPr>
        <w:t xml:space="preserve"> </w:t>
      </w:r>
      <w:r>
        <w:rPr>
          <w:rFonts w:ascii="Times New Roman" w:hAnsi="Times New Roman"/>
          <w:b w:val="false"/>
          <w:sz w:val="18"/>
        </w:rPr>
        <w:t>Class B units for issuance under the Plan. The Class B units generally vested over four years, were subject to continued service requirements, and only provide the participants with benefits (in the form of distributions) if the distributions from BioAtla exceed specified threshold values. Generally, upon termination of services, all unvested Class B units were forfeited to the Company and the Company had the right, but not the obligation, to repurchase the vested Class B units within two years at the termination date fair value. The Class B unit repurchase would be settled in cash, at all times at the option of the Company, and the holder did not have the right to put the Class B units to the Company under any condition. Vested Class B units that are neither repurchased by the Company nor forfeited remained subject to the terms of the Company’s operating agreement. The Class B units were not subject to sale, assignment, transfer, pledge, or allowed to be otherwise encumbered or disposed of without prior written consent of the Company. No Class B units had been repurchased through the date of the Corporate Reorganization.</w:t>
      </w:r>
      <w:r>
        <w:rPr>
          <w:rFonts w:ascii="Times New Roman" w:hAnsi="Times New Roman"/>
          <w:sz w:val="20"/>
        </w:rPr>
        <w:t xml:space="preserve">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Activity under the Plan is summarized as follows:</w:t>
      </w:r>
    </w:p>
    <w:p>
      <w:pPr>
        <w:pStyle w:val="TextBody"/>
        <w:spacing w:lineRule="auto" w:line="273" w:before="0" w:after="0"/>
        <w:jc w:val="left"/>
        <w:rPr/>
      </w:pPr>
      <w:r>
        <w:rPr/>
        <w:t> </w:t>
      </w:r>
    </w:p>
    <w:tbl>
      <w:tblPr>
        <w:tblW w:w="6285" w:type="dxa"/>
        <w:jc w:val="left"/>
        <w:tblInd w:w="0" w:type="dxa"/>
        <w:tblCellMar>
          <w:top w:w="28" w:type="dxa"/>
          <w:left w:w="28" w:type="dxa"/>
          <w:bottom w:w="28" w:type="dxa"/>
          <w:right w:w="28" w:type="dxa"/>
        </w:tblCellMar>
      </w:tblPr>
      <w:tblGrid>
        <w:gridCol w:w="4606"/>
        <w:gridCol w:w="146"/>
        <w:gridCol w:w="146"/>
        <w:gridCol w:w="976"/>
        <w:gridCol w:w="411"/>
      </w:tblGrid>
      <w:tr>
        <w:trPr/>
        <w:tc>
          <w:tcPr>
            <w:tcW w:w="4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Outstanding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14,478,949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46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Cancelled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(170,836</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4606"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Assumption of Plan by Himalaya Parent LLC on July 10,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(14,308,113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460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Outstanding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Vesting of Class B units under the Plan is summarized as follows:</w:t>
      </w:r>
    </w:p>
    <w:p>
      <w:pPr>
        <w:pStyle w:val="TextBody"/>
        <w:spacing w:lineRule="auto" w:line="273" w:before="0" w:after="0"/>
        <w:jc w:val="left"/>
        <w:rPr/>
      </w:pPr>
      <w:r>
        <w:rPr/>
        <w:t> </w:t>
      </w:r>
    </w:p>
    <w:tbl>
      <w:tblPr>
        <w:tblW w:w="6480" w:type="dxa"/>
        <w:jc w:val="left"/>
        <w:tblInd w:w="0" w:type="dxa"/>
        <w:tblCellMar>
          <w:top w:w="28" w:type="dxa"/>
          <w:left w:w="28" w:type="dxa"/>
          <w:bottom w:w="28" w:type="dxa"/>
          <w:right w:w="28" w:type="dxa"/>
        </w:tblCellMar>
      </w:tblPr>
      <w:tblGrid>
        <w:gridCol w:w="4891"/>
        <w:gridCol w:w="146"/>
        <w:gridCol w:w="146"/>
        <w:gridCol w:w="886"/>
        <w:gridCol w:w="411"/>
      </w:tblGrid>
      <w:tr>
        <w:trPr/>
        <w:tc>
          <w:tcPr>
            <w:tcW w:w="4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8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Unvested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6,158,328</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48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Cancelled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(170,836</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48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6"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(1,310,807</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48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Assumption of unvested Class B units by Himalaya Parent LLC on</w:t>
              <w:br/>
              <w:t>   July 10,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(4,676,685</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48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Unvested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The Class B units were liability awards pursuant to authoritative guidance, which required the Company to record a liability based on the fair value of the Class B units as of each reporting period. Through the date of the Corporate Reorganization, the fair value of the liability awards was determined based on the Company’s estimated enterprise value, which was allocated based on a hybrid model that, in addition to the option pricing model, considering the Company’s expected IPO. Under the option pricing method, units were valued by creating a series of call options with exercise prices based on the liquidation preferences and conversion terms of each unit class.</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val="false"/>
          <w:sz w:val="18"/>
        </w:rPr>
        <w:t>In connection with the Division, the distribution thresholds that had to be achieved before the Class B unit holders were entitled to distributions were adjusted, resulting in a $0.9</w:t>
      </w:r>
      <w:r>
        <w:rPr>
          <w:rFonts w:ascii="Times New Roman" w:hAnsi="Times New Roman"/>
          <w:sz w:val="20"/>
        </w:rPr>
        <w:t xml:space="preserve"> </w:t>
      </w:r>
      <w:r>
        <w:rPr>
          <w:rFonts w:ascii="Times New Roman" w:hAnsi="Times New Roman"/>
          <w:b w:val="false"/>
          <w:sz w:val="18"/>
        </w:rPr>
        <w:t>million reduction to the aggregate profits interest liability between the Predecessor and the Post-Division LLCs at the date of the Division. The thresholds of the Post-Division Successor were changed in order to reflect the impact of the assets assigned to BioAtla Holdings and Inversagen in the Division. For the year ended December 31, 2019, the profits interest liability decreased $7.4</w:t>
      </w:r>
      <w:r>
        <w:rPr>
          <w:rFonts w:ascii="Times New Roman" w:hAnsi="Times New Roman"/>
          <w:sz w:val="20"/>
        </w:rPr>
        <w:t xml:space="preserve"> </w:t>
      </w:r>
      <w:r>
        <w:rPr>
          <w:rFonts w:ascii="Times New Roman" w:hAnsi="Times New Roman"/>
          <w:b w:val="false"/>
          <w:sz w:val="18"/>
        </w:rPr>
        <w:t>million, including the $0.9 million reduction described above, and $0.8</w:t>
      </w:r>
      <w:r>
        <w:rPr>
          <w:rFonts w:ascii="Times New Roman" w:hAnsi="Times New Roman"/>
          <w:sz w:val="20"/>
        </w:rPr>
        <w:t xml:space="preserve"> </w:t>
      </w:r>
      <w:r>
        <w:rPr>
          <w:rFonts w:ascii="Times New Roman" w:hAnsi="Times New Roman"/>
          <w:b w:val="false"/>
          <w:sz w:val="18"/>
        </w:rPr>
        <w:t>million recognized as additional paid-in capital related to the fair value of vested Class B units assumed by BioAtla Holdings and Inversagen in connection with the Division. In addition, the Company recognized stock-based compensation expense and additional paid-in capital of $0.2</w:t>
      </w:r>
      <w:r>
        <w:rPr>
          <w:rFonts w:ascii="Times New Roman" w:hAnsi="Times New Roman"/>
          <w:sz w:val="20"/>
        </w:rPr>
        <w:t xml:space="preserve"> </w:t>
      </w:r>
      <w:r>
        <w:rPr>
          <w:rFonts w:ascii="Times New Roman" w:hAnsi="Times New Roman"/>
          <w:b w:val="false"/>
          <w:sz w:val="18"/>
        </w:rPr>
        <w:t>million related to the fair value of the unvested Class B units assumed by BioAtla Holdings and Inversagen in connection with the Division since these Class B unit holders were employees of the Post-Division Successor, and were not expected to provide services to BioAtla Holdings or Inversagen.</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following table provides a reconciliation of the profits interest liability (in thousands):</w:t>
      </w:r>
    </w:p>
    <w:p>
      <w:pPr>
        <w:pStyle w:val="TextBody"/>
        <w:spacing w:lineRule="auto" w:line="273" w:before="0" w:after="0"/>
        <w:jc w:val="left"/>
        <w:rPr/>
      </w:pPr>
      <w:r>
        <w:rPr/>
        <w:t> </w:t>
      </w:r>
    </w:p>
    <w:tbl>
      <w:tblPr>
        <w:tblW w:w="9210" w:type="dxa"/>
        <w:jc w:val="left"/>
        <w:tblInd w:w="0" w:type="dxa"/>
        <w:tblCellMar>
          <w:top w:w="28" w:type="dxa"/>
          <w:left w:w="28" w:type="dxa"/>
          <w:bottom w:w="28" w:type="dxa"/>
          <w:right w:w="28" w:type="dxa"/>
        </w:tblCellMar>
      </w:tblPr>
      <w:tblGrid>
        <w:gridCol w:w="8086"/>
        <w:gridCol w:w="146"/>
        <w:gridCol w:w="196"/>
        <w:gridCol w:w="571"/>
        <w:gridCol w:w="211"/>
      </w:tblGrid>
      <w:tr>
        <w:trPr/>
        <w:tc>
          <w:tcPr>
            <w:tcW w:w="8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808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8,592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808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Decrease in fair value of vested liability (Pre-Corporate Reorganization) recognized as decrease to stock-based</w:t>
              <w:br/>
              <w:t>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(7,601</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808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Fair value of vested liability assumed by Himalaya Parent LLC on July 10, 2020 recognized as additional paid-in</w:t>
              <w:br/>
              <w:t>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(991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808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The allocation of equity-based compensation, including $0.7</w:t>
      </w:r>
      <w:r>
        <w:rPr>
          <w:rFonts w:ascii="Times New Roman" w:hAnsi="Times New Roman"/>
          <w:sz w:val="20"/>
        </w:rPr>
        <w:t xml:space="preserve"> </w:t>
      </w:r>
      <w:r>
        <w:rPr>
          <w:rFonts w:ascii="Times New Roman" w:hAnsi="Times New Roman"/>
          <w:b w:val="false"/>
          <w:sz w:val="18"/>
        </w:rPr>
        <w:t>million from Himalaya Parent as a capital contribution during 2020, for all Class B units is as follows (in thousands):</w:t>
      </w:r>
    </w:p>
    <w:p>
      <w:pPr>
        <w:pStyle w:val="TextBody"/>
        <w:spacing w:lineRule="auto" w:line="273" w:before="0" w:after="0"/>
        <w:jc w:val="left"/>
        <w:rPr/>
      </w:pPr>
      <w:r>
        <w:rPr/>
        <w:t> </w:t>
      </w:r>
    </w:p>
    <w:tbl>
      <w:tblPr>
        <w:tblW w:w="4366" w:type="dxa"/>
        <w:jc w:val="left"/>
        <w:tblInd w:w="0" w:type="dxa"/>
        <w:tblCellMar>
          <w:top w:w="28" w:type="dxa"/>
          <w:left w:w="28" w:type="dxa"/>
          <w:bottom w:w="28" w:type="dxa"/>
          <w:right w:w="28" w:type="dxa"/>
        </w:tblCellMar>
      </w:tblPr>
      <w:tblGrid>
        <w:gridCol w:w="2011"/>
        <w:gridCol w:w="157"/>
        <w:gridCol w:w="211"/>
        <w:gridCol w:w="615"/>
        <w:gridCol w:w="178"/>
        <w:gridCol w:w="157"/>
        <w:gridCol w:w="211"/>
        <w:gridCol w:w="615"/>
        <w:gridCol w:w="211"/>
      </w:tblGrid>
      <w:tr>
        <w:trPr/>
        <w:tc>
          <w:tcPr>
            <w:tcW w:w="201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lineRule="auto" w:line="252" w:before="0" w:after="0"/>
              <w:ind w:left="0" w:right="0" w:hanging="0"/>
              <w:jc w:val="center"/>
              <w:rPr/>
            </w:pPr>
            <w:r>
              <w:rPr/>
              <w:t> </w:t>
            </w:r>
          </w:p>
        </w:tc>
        <w:tc>
          <w:tcPr>
            <w:tcW w:w="2144" w:type="dxa"/>
            <w:gridSpan w:val="7"/>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Years ended December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11" w:type="dxa"/>
            <w:tcBorders/>
            <w:shd w:fill="auto" w:val="clear"/>
            <w:vAlign w:val="center"/>
          </w:tcPr>
          <w:p>
            <w:pPr>
              <w:pStyle w:val="TableContents"/>
              <w:spacing w:lineRule="auto" w:line="252" w:before="0" w:after="0"/>
              <w:ind w:left="0" w:right="0" w:hanging="0"/>
              <w:jc w:val="center"/>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2020</w:t>
            </w:r>
          </w:p>
        </w:tc>
        <w:tc>
          <w:tcPr>
            <w:tcW w:w="17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2019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Research and development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(2,993</w:t>
            </w:r>
          </w:p>
        </w:tc>
        <w:tc>
          <w:tcPr>
            <w:tcW w:w="178"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15"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(2,997</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General and administrative</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(3,859</w:t>
            </w:r>
          </w:p>
        </w:tc>
        <w:tc>
          <w:tcPr>
            <w:tcW w:w="17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(3,406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(6,852</w:t>
            </w:r>
          </w:p>
        </w:tc>
        <w:tc>
          <w:tcPr>
            <w:tcW w:w="17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57"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(6,403</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bl>
    <w:p>
      <w:pPr>
        <w:pStyle w:val="TextBody"/>
        <w:spacing w:lineRule="auto" w:line="273" w:before="0" w:after="0"/>
        <w:jc w:val="left"/>
        <w:rPr/>
      </w:pPr>
      <w:r>
        <w:rPr/>
        <w:t> </w:t>
      </w:r>
    </w:p>
    <w:p>
      <w:pPr>
        <w:pStyle w:val="TextBody"/>
        <w:spacing w:lineRule="auto" w:line="273" w:before="100" w:after="0"/>
        <w:jc w:val="left"/>
        <w:rPr>
          <w:rFonts w:ascii="Times New Roman" w:hAnsi="Times New Roman"/>
          <w:b/>
          <w:sz w:val="18"/>
        </w:rPr>
      </w:pPr>
      <w:r>
        <w:rPr>
          <w:rFonts w:ascii="Times New Roman" w:hAnsi="Times New Roman"/>
          <w:b/>
          <w:sz w:val="18"/>
        </w:rPr>
        <w:t>9. Collaboration, license and option agreements</w:t>
      </w:r>
    </w:p>
    <w:p>
      <w:pPr>
        <w:pStyle w:val="TextBody"/>
        <w:spacing w:lineRule="auto" w:line="273" w:before="108" w:after="0"/>
        <w:jc w:val="left"/>
        <w:rPr>
          <w:rFonts w:ascii="Times New Roman" w:hAnsi="Times New Roman"/>
          <w:b/>
          <w:i/>
          <w:sz w:val="18"/>
        </w:rPr>
      </w:pPr>
      <w:r>
        <w:rPr>
          <w:rFonts w:ascii="Times New Roman" w:hAnsi="Times New Roman"/>
          <w:b/>
          <w:i/>
          <w:sz w:val="18"/>
        </w:rPr>
        <w:t>Global Co-Development and Collaboration Agreement with BeiGene</w:t>
      </w:r>
    </w:p>
    <w:p>
      <w:pPr>
        <w:pStyle w:val="TextBody"/>
        <w:spacing w:lineRule="auto" w:line="273" w:before="108" w:after="0"/>
        <w:jc w:val="left"/>
        <w:rPr>
          <w:rFonts w:ascii="Times New Roman" w:hAnsi="Times New Roman"/>
          <w:sz w:val="20"/>
        </w:rPr>
      </w:pPr>
      <w:r>
        <w:rPr>
          <w:rFonts w:ascii="Times New Roman" w:hAnsi="Times New Roman"/>
          <w:b w:val="false"/>
          <w:sz w:val="18"/>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 Global Co-Development and Collaboration agreement in December 2019</w:t>
      </w:r>
      <w:r>
        <w:rPr>
          <w:rFonts w:ascii="Times New Roman" w:hAnsi="Times New Roman"/>
          <w:sz w:val="20"/>
        </w:rPr>
        <w:t xml:space="preserve"> </w:t>
      </w:r>
      <w:r>
        <w:rPr>
          <w:rFonts w:ascii="Times New Roman" w:hAnsi="Times New Roman"/>
          <w:b w:val="false"/>
          <w:sz w:val="18"/>
        </w:rPr>
        <w:t>and in October 2020</w:t>
      </w:r>
      <w:r>
        <w:rPr>
          <w:rFonts w:ascii="Times New Roman" w:hAnsi="Times New Roman"/>
          <w:sz w:val="20"/>
        </w:rPr>
        <w:t xml:space="preserve"> </w:t>
      </w:r>
      <w:r>
        <w:rPr>
          <w:rFonts w:ascii="Times New Roman" w:hAnsi="Times New Roman"/>
          <w:b w:val="false"/>
          <w:sz w:val="18"/>
        </w:rPr>
        <w:t>(the “Amended BeiGene Collaboration”).</w:t>
      </w:r>
    </w:p>
    <w:p>
      <w:pPr>
        <w:pStyle w:val="TextBody"/>
        <w:spacing w:lineRule="auto" w:line="273" w:before="216" w:after="0"/>
        <w:jc w:val="left"/>
        <w:rPr>
          <w:rFonts w:ascii="Times New Roman" w:hAnsi="Times New Roman"/>
          <w:sz w:val="20"/>
        </w:rPr>
      </w:pPr>
      <w:r>
        <w:rPr>
          <w:rFonts w:ascii="Times New Roman" w:hAnsi="Times New Roman"/>
          <w:b w:val="false"/>
          <w:sz w:val="18"/>
        </w:rPr>
        <w:t>Under the BeiGene Collaboration, the Company would co-develop the CAB-CTLA-4 antibody to reach defined early clinical objectives (“POC Milestone”), whereby the Company would perform the development activities and BeiGene would reimburse the Company for a portion of the costs incurred by the Company. Following the POC Milestone, BeiGene would then lead the parties’ joint efforts to develop the product candidate and be responsible for global regulatory filings and commercialization. BeiGene would be responsible for all costs of development, manufacturing and commercialization in China, parts of the Middle East and Asia (excluding Japan), Australia and New Zealand (the “BeiGene Territory”), and the parties would share development and manufacturing costs and commercial profits and losses upon specified terms in the rest of the world that are not part of the BeiGene Territory (the “ROW”).</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In 2019, BeiGene paid the Company an upfront non-refundable payment of $20.0</w:t>
      </w:r>
      <w:r>
        <w:rPr>
          <w:rFonts w:ascii="Times New Roman" w:hAnsi="Times New Roman"/>
          <w:sz w:val="20"/>
        </w:rPr>
        <w:t xml:space="preserve"> </w:t>
      </w:r>
      <w:r>
        <w:rPr>
          <w:rFonts w:ascii="Times New Roman" w:hAnsi="Times New Roman"/>
          <w:b w:val="false"/>
          <w:sz w:val="18"/>
        </w:rPr>
        <w:t>million and paid the Company $5.0</w:t>
      </w:r>
      <w:r>
        <w:rPr>
          <w:rFonts w:ascii="Times New Roman" w:hAnsi="Times New Roman"/>
          <w:sz w:val="20"/>
        </w:rPr>
        <w:t xml:space="preserve"> </w:t>
      </w:r>
      <w:r>
        <w:rPr>
          <w:rFonts w:ascii="Times New Roman" w:hAnsi="Times New Roman"/>
          <w:b w:val="false"/>
          <w:sz w:val="18"/>
        </w:rPr>
        <w:t>million for reimbursement of manufacturing costs. Under the BeiGene Collaboration, the Company was eligible to receive variable consideration for subsequent development and regulatory milestones globally and commercial milestones in the BeiGene Territory and tiered royalties ranging from the mid-single digits to the mid-double digits based on net sales in the BeiGene Territory.</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The Company concluded that the BeiGene Collaboration was a contract with a customer and applied relevant guidance from Topic 606 through reaching the POC milestone as the licenses to intellectual property granted to BeiGene and the obligation to perform research and development services are outputs of the Company’s ongoing activities. The Company identified material promises in the BeiGene Collaboration through POC Milestone, consisting of the licenses described above and the development services. It was determined that the licenses were not distinct from the development services resulting in a single performance obligation.</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In accordance with Topic 606, the Company determined the transaction price of the agreement was limited to the $25.0</w:t>
      </w:r>
      <w:r>
        <w:rPr>
          <w:rFonts w:ascii="Times New Roman" w:hAnsi="Times New Roman"/>
          <w:sz w:val="20"/>
        </w:rPr>
        <w:t xml:space="preserve"> </w:t>
      </w:r>
      <w:r>
        <w:rPr>
          <w:rFonts w:ascii="Times New Roman" w:hAnsi="Times New Roman"/>
          <w:b w:val="false"/>
          <w:sz w:val="18"/>
        </w:rPr>
        <w:t>million received, and excluded the variable consideration of expense reimbursements, milestone payments and royalties as they were fully constrained. The expense reimbursements were included in the transaction price in the reporting period the Company concluded it was probable that inclusion of such amounts in the transaction price would not result in a significant reversal in revenue recognized. As part of the Company’s evaluation of the milestone constraints, the Company determined the achievement of such milestones were contingent upon success of future developments, regulatory approvals and commercial activities which were not within its control and were uncertain. Variable consideration related to royalties would be recognized when the related sales occurred.</w:t>
      </w:r>
    </w:p>
    <w:p>
      <w:pPr>
        <w:pStyle w:val="TextBody"/>
        <w:spacing w:lineRule="auto" w:line="273" w:before="216" w:after="0"/>
        <w:jc w:val="left"/>
        <w:rPr>
          <w:rFonts w:ascii="Times New Roman" w:hAnsi="Times New Roman"/>
          <w:sz w:val="20"/>
        </w:rPr>
      </w:pPr>
      <w:r>
        <w:rPr>
          <w:rFonts w:ascii="Times New Roman" w:hAnsi="Times New Roman"/>
          <w:b w:val="false"/>
          <w:sz w:val="18"/>
        </w:rPr>
        <w:t>Under the terms of the Amended BeiGene Collaboration, BeiGene was generally responsible for developing BA3071 and for global regulatory filings and commercialization. Subject to the terms of the Amended BeiGene Collaboration, BeiGene held an exclusive license with the Company to develop and manufacture the BA3071 candidate globally, and BeiGene was responsible for all costs of development, manufacturing and commercialization globally. The Amended BeiGene Collaboration provided that the Company was eligible to receive tiered royalties on sales worldwide, subsequent development and regulatory milestone payments globally and commercial milestones in the BeiGene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sz w:val="20"/>
        </w:rPr>
      </w:pPr>
      <w:r>
        <w:rPr>
          <w:rFonts w:ascii="Times New Roman" w:hAnsi="Times New Roman"/>
          <w:b w:val="false"/>
          <w:sz w:val="18"/>
        </w:rPr>
        <w:t>territory.</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Under the Amended BeiGene Collaboration, the Company’s amended performance obligation would be satisfied at a point in time determined to be when BeiGene received the know-how and master cell bank for BA3071. Until then BeiGene could not benefit from the ability to further develop and manufacture the BA3071 candidate. Under the original collaboration agreement, the Company recognized revenue over time using an input method based on actual costs incurred compared to estimated total costs expected to be incurred to fulfill its performance obligation to perform development services.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On November 18, 2021, the Company entered into Amendment No. 3 to the Amended BeiGene Collaboration (“Amendment No.3”). Under Amendment No. 3, the Amended BeiGene Collaboration was terminated, subject to survival of certain provisions, and BeiGene handed back rights to know-how and materials received under the Amended BeiGene Collaboration. As a result, the Company will assume responsibility for the global development and commercialization of BA3071. As consideration for Amendment No.3, the Company agreed to pay BeiGene mid-single digit royalties on sales worldwide and on a limited basis will share in any upfront and milestone payments received through a sublicense of BA3071. As part of Amendment No.3, the Company reclassified its remaining $19.8</w:t>
      </w:r>
      <w:r>
        <w:rPr>
          <w:rFonts w:ascii="Times New Roman" w:hAnsi="Times New Roman"/>
          <w:sz w:val="20"/>
        </w:rPr>
        <w:t xml:space="preserve"> </w:t>
      </w:r>
      <w:r>
        <w:rPr>
          <w:rFonts w:ascii="Times New Roman" w:hAnsi="Times New Roman"/>
          <w:b w:val="false"/>
          <w:sz w:val="18"/>
        </w:rPr>
        <w:t>million of deferred revenue as a long-term liability which is expected to settle as licensing payments are made to BeiGene in accordance with the resulting amendment. In the event the license is terminated, the liability will be extinguished with no further payment to BeiGene.</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For the year ended December 31, 2021, the Company did not recognize any revenue related to the collaboration agreement with BeiGene. Collaboration revenue recognized for the years ended December 31, 2020 and 2019 was $0.4</w:t>
      </w:r>
      <w:r>
        <w:rPr>
          <w:rFonts w:ascii="Times New Roman" w:hAnsi="Times New Roman"/>
          <w:sz w:val="20"/>
        </w:rPr>
        <w:t xml:space="preserve"> </w:t>
      </w:r>
      <w:r>
        <w:rPr>
          <w:rFonts w:ascii="Times New Roman" w:hAnsi="Times New Roman"/>
          <w:b w:val="false"/>
          <w:sz w:val="18"/>
        </w:rPr>
        <w:t>million and $5.2</w:t>
      </w:r>
      <w:r>
        <w:rPr>
          <w:rFonts w:ascii="Times New Roman" w:hAnsi="Times New Roman"/>
          <w:sz w:val="20"/>
        </w:rPr>
        <w:t xml:space="preserve"> </w:t>
      </w:r>
      <w:r>
        <w:rPr>
          <w:rFonts w:ascii="Times New Roman" w:hAnsi="Times New Roman"/>
          <w:b w:val="false"/>
          <w:sz w:val="18"/>
        </w:rPr>
        <w:t>million, respectively. As of December 31, 2021 and December 31, 2020, the Company had a $19.8</w:t>
      </w:r>
      <w:r>
        <w:rPr>
          <w:rFonts w:ascii="Times New Roman" w:hAnsi="Times New Roman"/>
          <w:sz w:val="20"/>
        </w:rPr>
        <w:t xml:space="preserve"> </w:t>
      </w:r>
      <w:r>
        <w:rPr>
          <w:rFonts w:ascii="Times New Roman" w:hAnsi="Times New Roman"/>
          <w:b w:val="false"/>
          <w:sz w:val="18"/>
        </w:rPr>
        <w:t>million Liability to Licensor, and $19.8</w:t>
      </w:r>
      <w:r>
        <w:rPr>
          <w:rFonts w:ascii="Times New Roman" w:hAnsi="Times New Roman"/>
          <w:sz w:val="20"/>
        </w:rPr>
        <w:t xml:space="preserve"> </w:t>
      </w:r>
      <w:r>
        <w:rPr>
          <w:rFonts w:ascii="Times New Roman" w:hAnsi="Times New Roman"/>
          <w:b w:val="false"/>
          <w:sz w:val="18"/>
        </w:rPr>
        <w:t>million of deferred revenue which was classified as current, respectively.</w:t>
      </w:r>
      <w:r>
        <w:rPr>
          <w:rFonts w:ascii="Times New Roman" w:hAnsi="Times New Roman"/>
          <w:sz w:val="20"/>
        </w:rPr>
        <w:t xml:space="preserve"> </w:t>
      </w:r>
    </w:p>
    <w:p>
      <w:pPr>
        <w:pStyle w:val="TextBody"/>
        <w:spacing w:lineRule="auto" w:line="273" w:before="324" w:after="0"/>
        <w:jc w:val="left"/>
        <w:rPr>
          <w:rFonts w:ascii="Times New Roman" w:hAnsi="Times New Roman"/>
          <w:b/>
          <w:i/>
          <w:sz w:val="18"/>
        </w:rPr>
      </w:pPr>
      <w:r>
        <w:rPr>
          <w:rFonts w:ascii="Times New Roman" w:hAnsi="Times New Roman"/>
          <w:b/>
          <w:i/>
          <w:sz w:val="18"/>
        </w:rPr>
        <w:t>Service Contracts</w:t>
      </w:r>
    </w:p>
    <w:p>
      <w:pPr>
        <w:pStyle w:val="TextBody"/>
        <w:spacing w:lineRule="auto" w:line="273" w:before="108" w:after="0"/>
        <w:jc w:val="left"/>
        <w:rPr>
          <w:rFonts w:ascii="Times New Roman" w:hAnsi="Times New Roman"/>
          <w:sz w:val="20"/>
        </w:rPr>
      </w:pPr>
      <w:r>
        <w:rPr>
          <w:rFonts w:ascii="Times New Roman" w:hAnsi="Times New Roman"/>
          <w:b w:val="false"/>
          <w:sz w:val="18"/>
        </w:rPr>
        <w:t>Prior to developing its own programs, the Company entered into various fixed price research services contracts. In connection with these service contracts, the Company may receive future milestone payments if certain clinical, regulatory and commercialization milestones are achieved. The Company is also eligible to receive royalties based on certain product sales. The Company recognized revenue of $0.3</w:t>
      </w:r>
      <w:r>
        <w:rPr>
          <w:rFonts w:ascii="Times New Roman" w:hAnsi="Times New Roman"/>
          <w:sz w:val="20"/>
        </w:rPr>
        <w:t xml:space="preserve"> </w:t>
      </w:r>
      <w:r>
        <w:rPr>
          <w:rFonts w:ascii="Times New Roman" w:hAnsi="Times New Roman"/>
          <w:b w:val="false"/>
          <w:sz w:val="18"/>
        </w:rPr>
        <w:t>million for the year ended December 31, 2021, related to the achievement of a clinical milestone on a fixed price service contract.</w:t>
      </w:r>
      <w:r>
        <w:rPr>
          <w:rFonts w:ascii="Times New Roman" w:hAnsi="Times New Roman"/>
          <w:sz w:val="20"/>
        </w:rPr>
        <w:t xml:space="preserve"> </w:t>
      </w:r>
    </w:p>
    <w:p>
      <w:pPr>
        <w:pStyle w:val="TextBody"/>
        <w:spacing w:lineRule="auto" w:line="273" w:before="324" w:after="0"/>
        <w:jc w:val="left"/>
        <w:rPr>
          <w:rFonts w:ascii="Times New Roman" w:hAnsi="Times New Roman"/>
          <w:b/>
          <w:i/>
          <w:sz w:val="18"/>
        </w:rPr>
      </w:pPr>
      <w:r>
        <w:rPr>
          <w:rFonts w:ascii="Times New Roman" w:hAnsi="Times New Roman"/>
          <w:b/>
          <w:i/>
          <w:sz w:val="18"/>
        </w:rPr>
        <w:t>License and Option Agreement with Pfizer, Inc.</w:t>
      </w:r>
    </w:p>
    <w:p>
      <w:pPr>
        <w:pStyle w:val="TextBody"/>
        <w:spacing w:lineRule="auto" w:line="273" w:before="108" w:after="0"/>
        <w:jc w:val="left"/>
        <w:rPr>
          <w:rFonts w:ascii="Times New Roman" w:hAnsi="Times New Roman"/>
          <w:sz w:val="20"/>
        </w:rPr>
      </w:pPr>
      <w:r>
        <w:rPr>
          <w:rFonts w:ascii="Times New Roman" w:hAnsi="Times New Roman"/>
          <w:b w:val="false"/>
          <w:sz w:val="18"/>
        </w:rPr>
        <w:t>The Company was party to a license and option agreement with Pfizer that was terminated in December 2019. Pfizer paid the Company $1.0</w:t>
      </w:r>
      <w:r>
        <w:rPr>
          <w:rFonts w:ascii="Times New Roman" w:hAnsi="Times New Roman"/>
          <w:sz w:val="20"/>
        </w:rPr>
        <w:t xml:space="preserve"> </w:t>
      </w:r>
      <w:r>
        <w:rPr>
          <w:rFonts w:ascii="Times New Roman" w:hAnsi="Times New Roman"/>
          <w:b w:val="false"/>
          <w:sz w:val="18"/>
        </w:rPr>
        <w:t>million in December 2015 upon execution of the agreement. The Company had identified a single deliverable at inception of the agreement, which consisted of the company’s obligation to nominate targets, perform certain preclinical research, efficacy studies and related reports (“research and development services”). These services were prerequisites to Pfizer’s exercise of Pfizer’s substantive options, including the option to obtain exclusive licenses to develop and commercialize a certain number of Antibody Drug Conjugates (“ADC”) CAB antibodies, under the agreement. As such, the Company recognized revenue for the consideration received over the four-year</w:t>
      </w:r>
      <w:r>
        <w:rPr>
          <w:rFonts w:ascii="Times New Roman" w:hAnsi="Times New Roman"/>
          <w:sz w:val="20"/>
        </w:rPr>
        <w:t xml:space="preserve"> </w:t>
      </w:r>
      <w:r>
        <w:rPr>
          <w:rFonts w:ascii="Times New Roman" w:hAnsi="Times New Roman"/>
          <w:b w:val="false"/>
          <w:sz w:val="18"/>
        </w:rPr>
        <w:t>period over which it delivered its research and development services. In connection with the license and option agreement with Pfizer, the Company recognized collaboration revenue of $0.5</w:t>
      </w:r>
      <w:r>
        <w:rPr>
          <w:rFonts w:ascii="Times New Roman" w:hAnsi="Times New Roman"/>
          <w:sz w:val="20"/>
        </w:rPr>
        <w:t xml:space="preserve"> </w:t>
      </w:r>
      <w:r>
        <w:rPr>
          <w:rFonts w:ascii="Times New Roman" w:hAnsi="Times New Roman"/>
          <w:b w:val="false"/>
          <w:sz w:val="18"/>
        </w:rPr>
        <w:t>million for the year ended December 31, 2019.</w:t>
      </w:r>
    </w:p>
    <w:p>
      <w:pPr>
        <w:pStyle w:val="TextBody"/>
        <w:spacing w:lineRule="auto" w:line="273" w:before="324" w:after="0"/>
        <w:jc w:val="left"/>
        <w:rPr>
          <w:rFonts w:ascii="Times New Roman" w:hAnsi="Times New Roman"/>
          <w:b/>
          <w:sz w:val="18"/>
        </w:rPr>
      </w:pPr>
      <w:r>
        <w:rPr>
          <w:rFonts w:ascii="Times New Roman" w:hAnsi="Times New Roman"/>
          <w:b/>
          <w:sz w:val="18"/>
        </w:rPr>
        <w:t>10. Related party transactions</w:t>
      </w:r>
    </w:p>
    <w:p>
      <w:pPr>
        <w:pStyle w:val="TextBody"/>
        <w:spacing w:lineRule="auto" w:line="273" w:before="108" w:after="0"/>
        <w:jc w:val="left"/>
        <w:rPr>
          <w:rFonts w:ascii="Times New Roman" w:hAnsi="Times New Roman"/>
          <w:b/>
          <w:i/>
          <w:sz w:val="18"/>
        </w:rPr>
      </w:pPr>
      <w:r>
        <w:rPr>
          <w:rFonts w:ascii="Times New Roman" w:hAnsi="Times New Roman"/>
          <w:b/>
          <w:i/>
          <w:sz w:val="18"/>
        </w:rPr>
        <w:t>Dr. Jay Short and Carolyn Anderson Short</w:t>
      </w:r>
    </w:p>
    <w:p>
      <w:pPr>
        <w:pStyle w:val="TextBody"/>
        <w:spacing w:lineRule="auto" w:line="273" w:before="108" w:after="0"/>
        <w:jc w:val="left"/>
        <w:rPr>
          <w:rFonts w:ascii="Times New Roman" w:hAnsi="Times New Roman"/>
          <w:sz w:val="20"/>
        </w:rPr>
      </w:pPr>
      <w:r>
        <w:rPr>
          <w:rFonts w:ascii="Times New Roman" w:hAnsi="Times New Roman"/>
          <w:b w:val="false"/>
          <w:sz w:val="18"/>
        </w:rPr>
        <w:t>Dr. Jay Short and Carolyn Anderson Short loaned the Company $1.0</w:t>
      </w:r>
      <w:r>
        <w:rPr>
          <w:rFonts w:ascii="Times New Roman" w:hAnsi="Times New Roman"/>
          <w:sz w:val="20"/>
        </w:rPr>
        <w:t xml:space="preserve"> </w:t>
      </w:r>
      <w:r>
        <w:rPr>
          <w:rFonts w:ascii="Times New Roman" w:hAnsi="Times New Roman"/>
          <w:b w:val="false"/>
          <w:sz w:val="18"/>
        </w:rPr>
        <w:t>million and $0.5</w:t>
      </w:r>
      <w:r>
        <w:rPr>
          <w:rFonts w:ascii="Times New Roman" w:hAnsi="Times New Roman"/>
          <w:sz w:val="20"/>
        </w:rPr>
        <w:t xml:space="preserve"> </w:t>
      </w:r>
      <w:r>
        <w:rPr>
          <w:rFonts w:ascii="Times New Roman" w:hAnsi="Times New Roman"/>
          <w:b w:val="false"/>
          <w:sz w:val="18"/>
        </w:rPr>
        <w:t>million, respectively, under the terms of the 2019 Notes and 2020 Notes described in Note 4 above. For the years ended December 31, 2020 and 2019, the Company recognized interest expense (including amortization of debt discounts) of $0.1</w:t>
      </w:r>
      <w:r>
        <w:rPr>
          <w:rFonts w:ascii="Times New Roman" w:hAnsi="Times New Roman"/>
          <w:sz w:val="20"/>
        </w:rPr>
        <w:t xml:space="preserve"> </w:t>
      </w:r>
      <w:r>
        <w:rPr>
          <w:rFonts w:ascii="Times New Roman" w:hAnsi="Times New Roman"/>
          <w:b w:val="false"/>
          <w:sz w:val="18"/>
        </w:rPr>
        <w:t>million and $32,000, respectively, on outstanding 2019 Notes and 2020 Notes payable to Dr. Jay Short and Carolyn Anderson Short. The 2019 Notes and 2020 Notes payable to Dr. Jay Short and Carolyn Anderson Short were settled in connection with the Corporate Reorganization in July 2020.</w:t>
      </w:r>
    </w:p>
    <w:p>
      <w:pPr>
        <w:pStyle w:val="TextBody"/>
        <w:spacing w:lineRule="auto" w:line="273" w:before="216" w:after="0"/>
        <w:jc w:val="left"/>
        <w:rPr>
          <w:rFonts w:ascii="Times New Roman" w:hAnsi="Times New Roman"/>
          <w:sz w:val="18"/>
        </w:rPr>
      </w:pPr>
      <w:r>
        <w:rPr>
          <w:rFonts w:ascii="Times New Roman" w:hAnsi="Times New Roman"/>
          <w:b w:val="false"/>
          <w:sz w:val="18"/>
        </w:rPr>
        <w:t>On March 18, 2021, the Company and Carolyn Anderson Short, its co-founder and former Chief of Intellectual Property &amp; Strategy, mutually agreed that Ms. Short would depart the Company on May 31, 2021 following an agreed upon transition period. The Transition Agreement provides for the following severance benefits in exchange for a release of claims by Ms. Short: (i) a lump sum payment equal to eighteen (18) months of Ms. Short’s current base salary, (ii) a payment at her targeted bonus rate for 2021, pro-rated to the separation date, and (iii) accelerated full vesting of her equity awards including 7,747</w:t>
      </w:r>
      <w:r>
        <w:rPr>
          <w:rFonts w:ascii="Times New Roman" w:hAnsi="Times New Roman"/>
          <w:sz w:val="18"/>
        </w:rPr>
        <w:t xml:space="preserve"> </w:t>
      </w:r>
      <w:r>
        <w:rPr>
          <w:rFonts w:ascii="Times New Roman" w:hAnsi="Times New Roman"/>
          <w:b w:val="false"/>
          <w:sz w:val="18"/>
        </w:rPr>
        <w:t>stock options and 138,461</w:t>
      </w:r>
      <w:r>
        <w:rPr>
          <w:rFonts w:ascii="Times New Roman" w:hAnsi="Times New Roman"/>
          <w:sz w:val="18"/>
        </w:rPr>
        <w:t xml:space="preserve"> </w:t>
      </w:r>
      <w:r>
        <w:rPr>
          <w:rFonts w:ascii="Times New Roman" w:hAnsi="Times New Roman"/>
          <w:b w:val="false"/>
          <w:sz w:val="18"/>
        </w:rPr>
        <w:t>restricted stock units. The modification of these equity awards resulted in an incremental fair value of $7.0</w:t>
      </w:r>
      <w:r>
        <w:rPr>
          <w:rFonts w:ascii="Times New Roman" w:hAnsi="Times New Roman"/>
          <w:sz w:val="18"/>
        </w:rPr>
        <w:t xml:space="preserve"> </w:t>
      </w:r>
      <w:r>
        <w:rPr>
          <w:rFonts w:ascii="Times New Roman" w:hAnsi="Times New Roman"/>
          <w:b w:val="false"/>
          <w:sz w:val="18"/>
        </w:rPr>
        <w:t>million which was recognized on a straight-line basis over the transition service period. For the twelve months ended December 31, 2021, the Company recognized $1.0</w:t>
      </w:r>
      <w:r>
        <w:rPr>
          <w:rFonts w:ascii="Times New Roman" w:hAnsi="Times New Roman"/>
          <w:sz w:val="18"/>
        </w:rPr>
        <w:t xml:space="preserve"> </w:t>
      </w:r>
      <w:r>
        <w:rPr>
          <w:rFonts w:ascii="Times New Roman" w:hAnsi="Times New Roman"/>
          <w:b w:val="false"/>
          <w:sz w:val="18"/>
        </w:rPr>
        <w:t>million related to the lump sum salary payment and target bonus. The Company also recognized non-cash stock-based compensation charges of $9.4</w:t>
      </w:r>
      <w:r>
        <w:rPr>
          <w:rFonts w:ascii="Times New Roman" w:hAnsi="Times New Roman"/>
          <w:sz w:val="18"/>
        </w:rPr>
        <w:t xml:space="preserve"> </w:t>
      </w:r>
      <w:r>
        <w:rPr>
          <w:rFonts w:ascii="Times New Roman" w:hAnsi="Times New Roman"/>
          <w:b w:val="false"/>
          <w:sz w:val="18"/>
        </w:rPr>
        <w:t>million related to the modified equity awards for the twelve months ended December 31, 2021. No</w:t>
      </w:r>
      <w:r>
        <w:rPr>
          <w:rFonts w:ascii="Times New Roman" w:hAnsi="Times New Roman"/>
          <w:sz w:val="18"/>
        </w:rPr>
        <w:t xml:space="preserve"> </w:t>
      </w:r>
      <w:r>
        <w:rPr>
          <w:rFonts w:ascii="Times New Roman" w:hAnsi="Times New Roman"/>
          <w:b w:val="false"/>
          <w:sz w:val="18"/>
        </w:rPr>
        <w:t>unrecognized stock-based compensation remained as of December 31, 2021. Ms. Short exercised her 7,747</w:t>
      </w:r>
      <w:r>
        <w:rPr>
          <w:rFonts w:ascii="Times New Roman" w:hAnsi="Times New Roman"/>
          <w:sz w:val="18"/>
        </w:rPr>
        <w:t xml:space="preserve"> </w:t>
      </w:r>
      <w:r>
        <w:rPr>
          <w:rFonts w:ascii="Times New Roman" w:hAnsi="Times New Roman"/>
          <w:b w:val="false"/>
          <w:sz w:val="18"/>
        </w:rPr>
        <w:t>stock options in 2021, therefore there are no</w:t>
      </w:r>
      <w:r>
        <w:rPr>
          <w:rFonts w:ascii="Times New Roman" w:hAnsi="Times New Roman"/>
          <w:sz w:val="18"/>
        </w:rPr>
        <w:t xml:space="preserve"> </w:t>
      </w:r>
      <w:r>
        <w:rPr>
          <w:rFonts w:ascii="Times New Roman" w:hAnsi="Times New Roman"/>
          <w:b w:val="false"/>
          <w:sz w:val="18"/>
        </w:rPr>
        <w:t xml:space="preserve">remaining options outstanding related to Ms. Short’s transition agreement as of December 31, 2021. </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b/>
          <w:i/>
          <w:sz w:val="18"/>
        </w:rPr>
      </w:pPr>
      <w:r>
        <w:rPr>
          <w:rFonts w:ascii="Times New Roman" w:hAnsi="Times New Roman"/>
          <w:b/>
          <w:i/>
          <w:sz w:val="18"/>
        </w:rPr>
        <w:t>Inversagen, LLC</w:t>
      </w:r>
    </w:p>
    <w:p>
      <w:pPr>
        <w:pStyle w:val="TextBody"/>
        <w:spacing w:lineRule="auto" w:line="273" w:before="108" w:after="0"/>
        <w:jc w:val="left"/>
        <w:rPr>
          <w:rFonts w:ascii="Times New Roman" w:hAnsi="Times New Roman"/>
          <w:sz w:val="20"/>
        </w:rPr>
      </w:pPr>
      <w:r>
        <w:rPr>
          <w:rFonts w:ascii="Times New Roman" w:hAnsi="Times New Roman"/>
          <w:b w:val="false"/>
          <w:sz w:val="18"/>
        </w:rPr>
        <w:t>Inversagen was formed in conjunction with the LLC Division. On March 15, 2019, the Company entered into an Exclusive License Agreement with Inversagen (the “Inversagen License”). Under the terms of the agreement, Inversagen acquired the rights to CAB-antibodies for the field of diseases associated with aging, outside of cancer, and an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10 years</w:t>
      </w:r>
      <w:r>
        <w:rPr>
          <w:rFonts w:ascii="Times New Roman" w:hAnsi="Times New Roman"/>
          <w:sz w:val="20"/>
        </w:rPr>
        <w:t xml:space="preserve"> </w:t>
      </w:r>
      <w:r>
        <w:rPr>
          <w:rFonts w:ascii="Times New Roman" w:hAnsi="Times New Roman"/>
          <w:b w:val="false"/>
          <w:sz w:val="18"/>
        </w:rPr>
        <w:t>to acquire the immuno-oncology antibody in return for royalty payments in the low-single digits during the applicable royalty term. No</w:t>
      </w:r>
      <w:r>
        <w:rPr>
          <w:rFonts w:ascii="Times New Roman" w:hAnsi="Times New Roman"/>
          <w:sz w:val="20"/>
        </w:rPr>
        <w:t xml:space="preserve"> </w:t>
      </w:r>
      <w:r>
        <w:rPr>
          <w:rFonts w:ascii="Times New Roman" w:hAnsi="Times New Roman"/>
          <w:b w:val="false"/>
          <w:sz w:val="18"/>
        </w:rPr>
        <w:t>payments have been made to date.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Inversagen has only nominal assets and liabilities and is a VIE as the entity lacks sufficient equity to finance its activities without additional subordinated financial support. The Company does not consolidate Inversagen as it is not the primary beneficiary;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Inversagen is currently inactive, and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2021 and 2020.</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Inversagen is a related party of the Company. Dr. Jay Short and his spouse, Carolyn Anderson Short, serve as managers of Inversagen.</w:t>
      </w:r>
    </w:p>
    <w:p>
      <w:pPr>
        <w:pStyle w:val="TextBody"/>
        <w:spacing w:lineRule="auto" w:line="273" w:before="324" w:after="0"/>
        <w:jc w:val="left"/>
        <w:rPr>
          <w:rFonts w:ascii="Times New Roman" w:hAnsi="Times New Roman"/>
          <w:b/>
          <w:i/>
          <w:sz w:val="18"/>
        </w:rPr>
      </w:pPr>
      <w:r>
        <w:rPr>
          <w:rFonts w:ascii="Times New Roman" w:hAnsi="Times New Roman"/>
          <w:b/>
          <w:i/>
          <w:sz w:val="18"/>
        </w:rPr>
        <w:t>BioAtla Holdings, LLC</w:t>
      </w:r>
    </w:p>
    <w:p>
      <w:pPr>
        <w:pStyle w:val="TextBody"/>
        <w:spacing w:lineRule="auto" w:line="273" w:before="108" w:after="0"/>
        <w:jc w:val="left"/>
        <w:rPr>
          <w:rFonts w:ascii="Times New Roman" w:hAnsi="Times New Roman"/>
          <w:sz w:val="20"/>
        </w:rPr>
      </w:pPr>
      <w:r>
        <w:rPr>
          <w:rFonts w:ascii="Times New Roman" w:hAnsi="Times New Roman"/>
          <w:b w:val="false"/>
          <w:sz w:val="18"/>
        </w:rPr>
        <w:t>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10</w:t>
      </w:r>
      <w:r>
        <w:rPr>
          <w:rFonts w:ascii="Times New Roman" w:hAnsi="Times New Roman"/>
          <w:sz w:val="20"/>
        </w:rPr>
        <w:t xml:space="preserve"> </w:t>
      </w:r>
      <w:r>
        <w:rPr>
          <w:rFonts w:ascii="Times New Roman" w:hAnsi="Times New Roman"/>
          <w:b w:val="false"/>
          <w:sz w:val="18"/>
        </w:rPr>
        <w:t>years to acquire the ACT Preparations and ACT Treatments in return for royalty payments in the low-single digits during the applicable royalty term. The Company has not exercised its option and no payments have been made to date under these agreements.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addition, effective January 1, 2020, the Company entered into a Royalty Sharing Agreement whereby the Company agreed to share with BioAtla Holdings 50% of the royalties it receives under the Amended and Restated EXUMA License defined and described in Note 12 below.</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 Company. The Company does not have any assets or liabilities associated with its variable interests in BioAtla Holdings at December 31, 2021 and 2020.</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BioAtla Holdings is a related party of the Company. Dr. Jay Short and his spouse, Carolyn Anderson Short, serve as managers of BioAtla Holdings.</w:t>
      </w:r>
    </w:p>
    <w:p>
      <w:pPr>
        <w:pStyle w:val="TextBody"/>
        <w:spacing w:lineRule="auto" w:line="273" w:before="324" w:after="0"/>
        <w:jc w:val="left"/>
        <w:rPr>
          <w:rFonts w:ascii="Times New Roman" w:hAnsi="Times New Roman"/>
          <w:b/>
          <w:i/>
          <w:sz w:val="18"/>
        </w:rPr>
      </w:pPr>
      <w:r>
        <w:rPr>
          <w:rFonts w:ascii="Times New Roman" w:hAnsi="Times New Roman"/>
          <w:b/>
          <w:i/>
          <w:sz w:val="18"/>
        </w:rPr>
        <w:t>Himalaya Therapeutics SEZC</w:t>
      </w:r>
    </w:p>
    <w:p>
      <w:pPr>
        <w:pStyle w:val="TextBody"/>
        <w:spacing w:lineRule="auto" w:line="273" w:before="108" w:after="0"/>
        <w:jc w:val="left"/>
        <w:rPr>
          <w:rFonts w:ascii="Times New Roman" w:hAnsi="Times New Roman"/>
          <w:sz w:val="20"/>
        </w:rPr>
      </w:pPr>
      <w:r>
        <w:rPr>
          <w:rFonts w:ascii="Times New Roman" w:hAnsi="Times New Roman"/>
          <w:b w:val="false"/>
          <w:sz w:val="18"/>
        </w:rPr>
        <w:t>Prior to the Corporate Reorganization, Himalaya Therapeutics SEZC met the definition of a VIE under ASC 810-10, as the entity did not have enough equity to finance its activities without additional subordinated financial support. The Company consolidated Himalaya Therapeutics SEZC as the primary beneficiary, as it had (i) the power to direct activities of a VIE that most significantly impact the VIE’s economic performance and (ii) the right to receive benefits from the VIE that could potentially be significant to the VIE, resulting from its control of the board of directors, and voting control of the entity via a voting agreement among its shareholders, and its equity holdings. The Company was not obligated to provide financial support to Himalaya Therapeutics SEZC. Himalaya Therapeutics SEZC’s creditors had no recourse in the general credit of the Company. Himalaya Therapeutics SEZC held intellectual property related to certain CAB Antibodies under an Exclusive Rights</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Agreement with the Company dated December 20, 2018. As of December 31, 2019, Himalaya Therapeutics SEZC had no material operations, did not have any employees and the carrying value of its assets and liabilities was nominal.</w:t>
      </w:r>
    </w:p>
    <w:p>
      <w:pPr>
        <w:pStyle w:val="TextBody"/>
        <w:spacing w:lineRule="auto" w:line="273" w:before="216" w:after="0"/>
        <w:jc w:val="left"/>
        <w:rPr>
          <w:rFonts w:ascii="Times New Roman" w:hAnsi="Times New Roman"/>
          <w:sz w:val="20"/>
        </w:rPr>
      </w:pPr>
      <w:r>
        <w:rPr>
          <w:rFonts w:ascii="Times New Roman" w:hAnsi="Times New Roman"/>
          <w:b w:val="false"/>
          <w:sz w:val="18"/>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global rights to a CAB-HER2-bispecific-antibody and global co-development rights with us to an IL-22 non-CAB-antibody. Payments to the Company may include upfront payments, milestone payments and double digit royalties, which represent a variable interest held by the Company, but no</w:t>
      </w:r>
      <w:r>
        <w:rPr>
          <w:rFonts w:ascii="Times New Roman" w:hAnsi="Times New Roman"/>
          <w:sz w:val="20"/>
        </w:rPr>
        <w:t xml:space="preserve"> </w:t>
      </w:r>
      <w:r>
        <w:rPr>
          <w:rFonts w:ascii="Times New Roman" w:hAnsi="Times New Roman"/>
          <w:b w:val="false"/>
          <w:sz w:val="18"/>
        </w:rPr>
        <w:t>payments have been made to the Company to date.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As part of the Corporate Reorganization, Himalaya Therapeutics SEZC was distributed to Himalaya Parent LLC at the carrying value of its assets and liabilities, which were nominal, and no gain or loss was recorded on the transaction in the Company’s financial statements for the year ended December 31, 2020. Himalaya Therapeutics SEZC continues to be a variable interest entity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2020 associated with its variable interest in Himalaya Therapeutics SEZC, and has no exposure to Himalaya Therapeutics SEZC losses. The Company does not have a variable interest in Himalaya Parent LLC.</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Himalaya Therapeutics SEZC is a related party whose controlling shareholder is Himalaya Parent LLC. Dr. Jay Short and his spouse, Carolyn Anderson Short, serve as directors of Himalaya Therapeutics SEZC, and Carolyn Anderson Short serves as an officer of such entity.</w:t>
      </w:r>
    </w:p>
    <w:p>
      <w:pPr>
        <w:pStyle w:val="TextBody"/>
        <w:spacing w:lineRule="auto" w:line="273" w:before="324" w:after="0"/>
        <w:jc w:val="left"/>
        <w:rPr>
          <w:rFonts w:ascii="Times New Roman" w:hAnsi="Times New Roman"/>
          <w:b/>
          <w:i/>
          <w:sz w:val="18"/>
        </w:rPr>
      </w:pPr>
      <w:r>
        <w:rPr>
          <w:rFonts w:ascii="Times New Roman" w:hAnsi="Times New Roman"/>
          <w:b/>
          <w:i/>
          <w:sz w:val="18"/>
        </w:rPr>
        <w:t>Himalaya Parent LLC</w:t>
      </w:r>
    </w:p>
    <w:p>
      <w:pPr>
        <w:pStyle w:val="TextBody"/>
        <w:spacing w:lineRule="auto" w:line="273" w:before="108" w:after="0"/>
        <w:jc w:val="left"/>
        <w:rPr>
          <w:rFonts w:ascii="Times New Roman" w:hAnsi="Times New Roman"/>
          <w:sz w:val="20"/>
        </w:rPr>
      </w:pPr>
      <w:r>
        <w:rPr>
          <w:rFonts w:ascii="Times New Roman" w:hAnsi="Times New Roman"/>
          <w:b w:val="false"/>
          <w:sz w:val="18"/>
        </w:rPr>
        <w:t>In connection with the Corporate Reorganization, Himalaya Parent assumed the Company’s profits interest plan, including equity awards to employees of the Company. For the years ended December 31, 2021</w:t>
      </w:r>
      <w:r>
        <w:rPr>
          <w:rFonts w:ascii="Times New Roman" w:hAnsi="Times New Roman"/>
          <w:sz w:val="20"/>
        </w:rPr>
        <w:t xml:space="preserve"> </w:t>
      </w:r>
      <w:r>
        <w:rPr>
          <w:rFonts w:ascii="Times New Roman" w:hAnsi="Times New Roman"/>
          <w:b w:val="false"/>
          <w:sz w:val="18"/>
        </w:rPr>
        <w:t>and 2020, the Company recognized $0</w:t>
      </w:r>
      <w:r>
        <w:rPr>
          <w:rFonts w:ascii="Times New Roman" w:hAnsi="Times New Roman"/>
          <w:sz w:val="20"/>
        </w:rPr>
        <w:t xml:space="preserve"> </w:t>
      </w:r>
      <w:r>
        <w:rPr>
          <w:rFonts w:ascii="Times New Roman" w:hAnsi="Times New Roman"/>
          <w:b w:val="false"/>
          <w:sz w:val="18"/>
        </w:rPr>
        <w:t>and $0.7</w:t>
      </w:r>
      <w:r>
        <w:rPr>
          <w:rFonts w:ascii="Times New Roman" w:hAnsi="Times New Roman"/>
          <w:sz w:val="20"/>
        </w:rPr>
        <w:t xml:space="preserve"> </w:t>
      </w:r>
      <w:r>
        <w:rPr>
          <w:rFonts w:ascii="Times New Roman" w:hAnsi="Times New Roman"/>
          <w:b w:val="false"/>
          <w:sz w:val="18"/>
        </w:rPr>
        <w:t>million, respectively, of compensation cost and a related capital adjustment in connection with the assumed profits interest plan. Dr. Jay Short and his spouse, Carolyn Anderson Short, serve as managers of Himalaya Parent LLC.</w:t>
      </w:r>
    </w:p>
    <w:p>
      <w:pPr>
        <w:pStyle w:val="TextBody"/>
        <w:spacing w:lineRule="auto" w:line="273" w:before="324" w:after="0"/>
        <w:jc w:val="left"/>
        <w:rPr>
          <w:rFonts w:ascii="Times New Roman" w:hAnsi="Times New Roman"/>
          <w:b/>
          <w:i/>
          <w:sz w:val="18"/>
        </w:rPr>
      </w:pPr>
      <w:r>
        <w:rPr>
          <w:rFonts w:ascii="Times New Roman" w:hAnsi="Times New Roman"/>
          <w:b/>
          <w:i/>
          <w:sz w:val="18"/>
        </w:rPr>
        <w:t>EXUMA Biotech Corp. and subsidiary</w:t>
      </w:r>
    </w:p>
    <w:p>
      <w:pPr>
        <w:pStyle w:val="TextBody"/>
        <w:spacing w:lineRule="auto" w:line="273" w:before="108" w:after="0"/>
        <w:jc w:val="left"/>
        <w:rPr>
          <w:rFonts w:ascii="Times New Roman" w:hAnsi="Times New Roman"/>
          <w:sz w:val="20"/>
        </w:rPr>
      </w:pPr>
      <w:r>
        <w:rPr>
          <w:rFonts w:ascii="Times New Roman" w:hAnsi="Times New Roman"/>
          <w:b w:val="false"/>
          <w:sz w:val="18"/>
        </w:rPr>
        <w:t>As of December 31, 2019, the Company and EXUMA are no longer related parties since none of the Post-Division LLCs own any common or preferred stock of EXUMA and have no ongoing contractual relationships other than the license agreement described below (see Note 12). The Company was a named party to a lease where a subsidiary of EXUMA was the primary tenant. The EXUMA subsidiary paid the landlord directly for payments due under the lease and was reimbursed by the Company for its share of the payments. For the year ended December 31, 2019, the Company expensed $15,000</w:t>
      </w:r>
      <w:r>
        <w:rPr>
          <w:rFonts w:ascii="Times New Roman" w:hAnsi="Times New Roman"/>
          <w:sz w:val="20"/>
        </w:rPr>
        <w:t xml:space="preserve"> </w:t>
      </w:r>
      <w:r>
        <w:rPr>
          <w:rFonts w:ascii="Times New Roman" w:hAnsi="Times New Roman"/>
          <w:b w:val="false"/>
          <w:sz w:val="18"/>
        </w:rPr>
        <w:t>for its share of payments due under the lease. In addition, the Company expensed $10,000</w:t>
      </w:r>
      <w:r>
        <w:rPr>
          <w:rFonts w:ascii="Times New Roman" w:hAnsi="Times New Roman"/>
          <w:sz w:val="20"/>
        </w:rPr>
        <w:t xml:space="preserve"> </w:t>
      </w:r>
      <w:r>
        <w:rPr>
          <w:rFonts w:ascii="Times New Roman" w:hAnsi="Times New Roman"/>
          <w:b w:val="false"/>
          <w:sz w:val="18"/>
        </w:rPr>
        <w:t>related to a November 2019 amendment of the license agreement described in Note 12.</w:t>
      </w:r>
    </w:p>
    <w:p>
      <w:pPr>
        <w:pStyle w:val="TextBody"/>
        <w:spacing w:lineRule="auto" w:line="273" w:before="324" w:after="0"/>
        <w:jc w:val="left"/>
        <w:rPr>
          <w:rFonts w:ascii="Times New Roman" w:hAnsi="Times New Roman"/>
          <w:b/>
          <w:i/>
          <w:sz w:val="18"/>
        </w:rPr>
      </w:pPr>
      <w:r>
        <w:rPr>
          <w:rFonts w:ascii="Times New Roman" w:hAnsi="Times New Roman"/>
          <w:b/>
          <w:i/>
          <w:sz w:val="18"/>
        </w:rPr>
        <w:t>Biotech Investment Group, LLC</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Prior to the Corporate Reorganization, Biotech Investment Group, LLC (“BIG”), was a principal owner, related party of the Company and affiliated with BioDuro, LLC (“BioDuro”) and Biotech Investment Group II LLC (“BIG II”). Subsequent to the Corporate Reorganization, BIG is no longer a principal owner and, as a result, neither BIG nor its affiliates are related parties of the Company.</w:t>
      </w:r>
    </w:p>
    <w:p>
      <w:pPr>
        <w:pStyle w:val="TextBody"/>
        <w:spacing w:lineRule="auto" w:line="273" w:before="324" w:after="0"/>
        <w:jc w:val="left"/>
        <w:rPr>
          <w:rFonts w:ascii="Times New Roman" w:hAnsi="Times New Roman"/>
          <w:b/>
          <w:i/>
          <w:sz w:val="18"/>
        </w:rPr>
      </w:pPr>
      <w:r>
        <w:rPr>
          <w:rFonts w:ascii="Times New Roman" w:hAnsi="Times New Roman"/>
          <w:b/>
          <w:i/>
          <w:sz w:val="18"/>
        </w:rPr>
        <w:t>BioDuro-Sundia</w:t>
      </w:r>
    </w:p>
    <w:p>
      <w:pPr>
        <w:pStyle w:val="TextBody"/>
        <w:spacing w:lineRule="auto" w:line="273" w:before="108" w:after="0"/>
        <w:jc w:val="left"/>
        <w:rPr>
          <w:rFonts w:ascii="Times New Roman" w:hAnsi="Times New Roman"/>
          <w:sz w:val="20"/>
        </w:rPr>
      </w:pPr>
      <w:r>
        <w:rPr>
          <w:rFonts w:ascii="Times New Roman" w:hAnsi="Times New Roman"/>
          <w:b w:val="false"/>
          <w:sz w:val="18"/>
        </w:rPr>
        <w:t>BioDuro-Sundia is a contract research organization that provides services to the Company. For the year ended December 31, 2019, the Company incurred expenses of $1.9</w:t>
      </w:r>
      <w:r>
        <w:rPr>
          <w:rFonts w:ascii="Times New Roman" w:hAnsi="Times New Roman"/>
          <w:sz w:val="20"/>
        </w:rPr>
        <w:t xml:space="preserve"> </w:t>
      </w:r>
      <w:r>
        <w:rPr>
          <w:rFonts w:ascii="Times New Roman" w:hAnsi="Times New Roman"/>
          <w:b w:val="false"/>
          <w:sz w:val="18"/>
        </w:rPr>
        <w:t>million in connection with services provided by BioDuro-Sundia. During 2019, an affiliate of BIG sold a majority interest in BioDuro-Sundia to an unaffiliated entity. Effective January 1, 2020, BioDuro-Sundia is no longer considered a related party of the Company.</w:t>
      </w:r>
    </w:p>
    <w:p>
      <w:pPr>
        <w:pStyle w:val="TextBody"/>
        <w:spacing w:lineRule="auto" w:line="273" w:before="324" w:after="0"/>
        <w:jc w:val="left"/>
        <w:rPr>
          <w:rFonts w:ascii="Times New Roman" w:hAnsi="Times New Roman"/>
          <w:b/>
          <w:i/>
          <w:sz w:val="18"/>
        </w:rPr>
      </w:pPr>
      <w:r>
        <w:rPr>
          <w:rFonts w:ascii="Times New Roman" w:hAnsi="Times New Roman"/>
          <w:b/>
          <w:i/>
          <w:sz w:val="18"/>
        </w:rPr>
        <w:t>Biotech Investment Group II LLC</w:t>
      </w:r>
    </w:p>
    <w:p>
      <w:pPr>
        <w:pStyle w:val="TextBody"/>
        <w:spacing w:lineRule="auto" w:line="273" w:before="108" w:after="0"/>
        <w:jc w:val="left"/>
        <w:rPr>
          <w:rFonts w:ascii="Times New Roman" w:hAnsi="Times New Roman"/>
          <w:sz w:val="20"/>
        </w:rPr>
      </w:pPr>
      <w:r>
        <w:rPr>
          <w:rFonts w:ascii="Times New Roman" w:hAnsi="Times New Roman"/>
          <w:b w:val="false"/>
          <w:sz w:val="18"/>
        </w:rPr>
        <w:t>BIG II loaned the Company $0.5</w:t>
      </w:r>
      <w:r>
        <w:rPr>
          <w:rFonts w:ascii="Times New Roman" w:hAnsi="Times New Roman"/>
          <w:sz w:val="20"/>
        </w:rPr>
        <w:t xml:space="preserve"> </w:t>
      </w:r>
      <w:r>
        <w:rPr>
          <w:rFonts w:ascii="Times New Roman" w:hAnsi="Times New Roman"/>
          <w:b w:val="false"/>
          <w:sz w:val="18"/>
        </w:rPr>
        <w:t>million under the terms of the 2019 Notes described in Note 4 above. For the years ended December 31, 2020 and 2019, the Company recognized interest expense (including amortization of debt discounts) of $42,000</w:t>
      </w:r>
      <w:r>
        <w:rPr>
          <w:rFonts w:ascii="Times New Roman" w:hAnsi="Times New Roman"/>
          <w:sz w:val="20"/>
        </w:rPr>
        <w:t xml:space="preserve"> </w:t>
      </w:r>
      <w:r>
        <w:rPr>
          <w:rFonts w:ascii="Times New Roman" w:hAnsi="Times New Roman"/>
          <w:b w:val="false"/>
          <w:sz w:val="18"/>
        </w:rPr>
        <w:t>and $20,000, respectively on outstanding 2019 Notes payable to BIG II. The 2019 Notes payable to BIG II were settled in connection with the Corporate Reorganization in July 2020.</w:t>
      </w:r>
    </w:p>
    <w:p>
      <w:pPr>
        <w:pStyle w:val="TextBody"/>
        <w:spacing w:lineRule="auto" w:line="273" w:before="324" w:after="0"/>
        <w:jc w:val="left"/>
        <w:rPr>
          <w:rFonts w:ascii="Times New Roman" w:hAnsi="Times New Roman"/>
          <w:b/>
          <w:i/>
          <w:sz w:val="18"/>
        </w:rPr>
      </w:pPr>
      <w:r>
        <w:rPr>
          <w:rFonts w:ascii="Times New Roman" w:hAnsi="Times New Roman"/>
          <w:b/>
          <w:i/>
          <w:sz w:val="18"/>
        </w:rPr>
        <w:t>Private Placement of Common Stock</w:t>
      </w:r>
    </w:p>
    <w:p>
      <w:pPr>
        <w:pStyle w:val="TextBody"/>
        <w:spacing w:lineRule="auto" w:line="273" w:before="108" w:after="0"/>
        <w:jc w:val="left"/>
        <w:rPr>
          <w:rFonts w:ascii="Times New Roman" w:hAnsi="Times New Roman"/>
          <w:sz w:val="20"/>
        </w:rPr>
      </w:pPr>
      <w:r>
        <w:rPr>
          <w:rFonts w:ascii="Times New Roman" w:hAnsi="Times New Roman"/>
          <w:b w:val="false"/>
          <w:sz w:val="18"/>
        </w:rPr>
        <w:t>As part of the 2021 Private Placement, the Company issued 625,000</w:t>
      </w:r>
      <w:r>
        <w:rPr>
          <w:rFonts w:ascii="Times New Roman" w:hAnsi="Times New Roman"/>
          <w:sz w:val="20"/>
        </w:rPr>
        <w:t xml:space="preserve"> </w:t>
      </w:r>
      <w:r>
        <w:rPr>
          <w:rFonts w:ascii="Times New Roman" w:hAnsi="Times New Roman"/>
          <w:b w:val="false"/>
          <w:sz w:val="18"/>
        </w:rPr>
        <w:t>shares of common stock for total net proceeds of $17.5</w:t>
      </w:r>
      <w:r>
        <w:rPr>
          <w:rFonts w:ascii="Times New Roman" w:hAnsi="Times New Roman"/>
          <w:sz w:val="20"/>
        </w:rPr>
        <w:t xml:space="preserve"> </w:t>
      </w:r>
      <w:r>
        <w:rPr>
          <w:rFonts w:ascii="Times New Roman" w:hAnsi="Times New Roman"/>
          <w:b w:val="false"/>
          <w:sz w:val="18"/>
        </w:rPr>
        <w:t>million to certain stockholders considered to be related parties.</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119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left"/>
        <w:rPr>
          <w:rFonts w:ascii="Times New Roman" w:hAnsi="Times New Roman"/>
          <w:b/>
          <w:sz w:val="18"/>
        </w:rPr>
      </w:pPr>
      <w:r>
        <w:rPr>
          <w:rFonts w:ascii="Times New Roman" w:hAnsi="Times New Roman"/>
          <w:b/>
          <w:sz w:val="18"/>
        </w:rPr>
        <w:t>11. 401(k) plan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spacing w:lineRule="auto" w:line="273" w:before="0" w:after="0"/>
        <w:jc w:val="left"/>
        <w:rPr/>
      </w:pPr>
      <w:r>
        <w:rPr/>
        <w:t> </w:t>
      </w:r>
    </w:p>
    <w:p>
      <w:pPr>
        <w:pStyle w:val="TextBody"/>
        <w:spacing w:lineRule="auto" w:line="273" w:before="324" w:after="0"/>
        <w:jc w:val="left"/>
        <w:rPr>
          <w:rFonts w:ascii="Times New Roman" w:hAnsi="Times New Roman"/>
          <w:b/>
          <w:sz w:val="18"/>
        </w:rPr>
      </w:pPr>
      <w:r>
        <w:rPr>
          <w:rFonts w:ascii="Times New Roman" w:hAnsi="Times New Roman"/>
          <w:b/>
          <w:sz w:val="18"/>
        </w:rPr>
        <w:t>12. EXUMA Biotech Corp.</w:t>
      </w:r>
    </w:p>
    <w:p>
      <w:pPr>
        <w:pStyle w:val="TextBody"/>
        <w:spacing w:lineRule="auto" w:line="273" w:before="108" w:after="0"/>
        <w:jc w:val="left"/>
        <w:rPr>
          <w:rFonts w:ascii="Times New Roman" w:hAnsi="Times New Roman"/>
          <w:b w:val="false"/>
          <w:i/>
          <w:sz w:val="18"/>
        </w:rPr>
      </w:pPr>
      <w:r>
        <w:rPr>
          <w:rFonts w:ascii="Times New Roman" w:hAnsi="Times New Roman"/>
          <w:b w:val="false"/>
          <w:i/>
          <w:sz w:val="18"/>
        </w:rPr>
        <w:t>Exclusive License Agreement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Under an Exclusive License Agreement entered into in May 2016, the Company granted EXUMA and its affiliates an exclusive, worldwide, sublicensable license under certain patents and know-how controlled by the Company to develop, manufacture and commercialize Adoptive Cellular Therapy (“ACT”) preparations and treatments for cancer. EXUMA’s rights under the agreement exclude the right to grant sublicenses to third parties to discover, develop or manufacture any CAB ACT or any component of the Company’s CAB ACT technology, except as used in or incorporated into EXUMA’s ACTs for cancer. The license to EXUMA is royalty bearing.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EXUMA granted the Company an exclusive, worldwide, royalty free, fully paid-up, sublicensable license under certain patents and know-how controlled by EXUMA and EXUMA’s interest in technology jointly developed under the agreement to develop, manufacture and commercialize non-ACT CAB products for any indication.</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EXUMA is obligated to pay the Company during the royalty term, on a product-by-product basis and country-by-country basis, mid-single digit royalties based on annual net sales of certain EXUMA ACT products, subject to certain adjustments. The term during which EXUMA is obligated to pay royalties under the agreement with respect to any particular product in any particular country, will begin on the first commercial sale of such product in such country and will end on the date of expiration of the last-to-expire of certain product-related patent rights in such country. All royalties to be paid under the agreement are subject to certain adjustments. Future royalties will be recognized when earned.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Unless earlier terminated, the agreement continues in effect so long as EXUMA or any of its affiliates, licensees or sublicensees are developing or commercializing any EXUMA products in the ACT field or the Company or any of its affiliates, licensees or sublicensees are developing or commercializing any CAB products for any indication outside the ACT field. The agreement may be terminated only by the mutual written agreement of the parties.</w:t>
      </w:r>
    </w:p>
    <w:p>
      <w:pPr>
        <w:pStyle w:val="TextBody"/>
        <w:spacing w:lineRule="auto" w:line="273" w:before="216" w:after="0"/>
        <w:jc w:val="left"/>
        <w:rPr>
          <w:rFonts w:ascii="Times New Roman" w:hAnsi="Times New Roman"/>
          <w:sz w:val="20"/>
        </w:rPr>
      </w:pPr>
      <w:r>
        <w:rPr>
          <w:rFonts w:ascii="Times New Roman" w:hAnsi="Times New Roman"/>
          <w:b w:val="false"/>
          <w:sz w:val="18"/>
        </w:rPr>
        <w:t>In connection with the Exclusive License Agreement, the Pre-Division Predecessor received common and preferred stock of EXUMA. The preferred stock was accounted for as a cost method investment and the common stock was accounted for as an equity method investment. Both the cost method investment and equity method investment had initial carrying values of zero</w:t>
      </w:r>
      <w:r>
        <w:rPr>
          <w:rFonts w:ascii="Times New Roman" w:hAnsi="Times New Roman"/>
          <w:sz w:val="20"/>
        </w:rPr>
        <w:t xml:space="preserve"> </w:t>
      </w:r>
      <w:r>
        <w:rPr>
          <w:rFonts w:ascii="Times New Roman" w:hAnsi="Times New Roman"/>
          <w:b w:val="false"/>
          <w:sz w:val="18"/>
        </w:rPr>
        <w:t>and neither resulted in adjustments to the consolidated statements of operations for the years ended December 31, 2019. These holdings of EXUMA common and preferred stock were retained by BioAtla Holdings in connection with the LLC Division.</w:t>
        <w:br/>
      </w:r>
      <w:r>
        <w:rPr>
          <w:rFonts w:ascii="Times New Roman" w:hAnsi="Times New Roman"/>
          <w:sz w:val="20"/>
        </w:rPr>
        <w:t> </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In November 2019, the Company entered into an Amended and Restated Exclusive License Agreement with EXUMA (the “Amended and Restated EXUMA License”). The Amended and Restated EXUMA License curtailed the rights to certain CAB intellectual property previously licensed to EXUMA in exchange for a one-time, non-refundable, non-creditable license fee of $10,000. More specifically, the Amended and Restated EXUMA License limits CAB ACT products to four specified targets, and BioAtla is no longer obligated to provide new targets to EXUMA. The Amended and Restated EXUMA License does not change EXUMA’s obligation to pay BioAtla royalties on licensed products. In connection with the Amended and Restated EXUMA License, BioAtla Holdings sold its EXUMA common and preferred holdings back to EXUMA for consideration of $25,000. The Company concluded that the Amended and Restated EXUMA License was priced at fair value and was not influenced by the pricing of the contemporaneous related party stock sale.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EXUMA is a VIE, and the Company has a variable interest in EXUMA due to its right to receive royalties during the royalty term under the Amended and Restated EXUMA License. As of December 31, 2021 and 2020, the Company has determined it is not the primary beneficiary of EXUMA and, as such, the Company does not consolidate EXUMA. The Company has no equity ownership in EXUMA, no representation on the EXUMA board of directors, and the Amended and Restated EXUMA License does not provide the Company with the ability to make decisions regarding the execution of business strategy that most significantly impact the economic performance of EXUMA. The Company has not funded and has no commitment to fund EXUMA’s losses, and has no exposure to loss as a result of its Amended and Restated EXUMA License. The Company’s financial statements do not include any assets or liabilities related to the Amended and Restated EXUMA License at December 31, 2021 and 2020.</w:t>
      </w:r>
    </w:p>
    <w:p>
      <w:pPr>
        <w:pStyle w:val="TextBody"/>
        <w:spacing w:lineRule="auto" w:line="273" w:before="324" w:after="0"/>
        <w:jc w:val="left"/>
        <w:rPr>
          <w:rFonts w:ascii="Times New Roman" w:hAnsi="Times New Roman"/>
          <w:b/>
          <w:sz w:val="18"/>
        </w:rPr>
      </w:pPr>
      <w:r>
        <w:rPr>
          <w:rFonts w:ascii="Times New Roman" w:hAnsi="Times New Roman"/>
          <w:b/>
          <w:sz w:val="18"/>
        </w:rPr>
        <w:t>13. Income taxes</w:t>
      </w:r>
    </w:p>
    <w:p>
      <w:pPr>
        <w:pStyle w:val="TextBody"/>
        <w:spacing w:lineRule="auto" w:line="273" w:before="108" w:after="0"/>
        <w:jc w:val="left"/>
        <w:rPr>
          <w:rFonts w:ascii="Times New Roman" w:hAnsi="Times New Roman"/>
          <w:sz w:val="20"/>
        </w:rPr>
      </w:pPr>
      <w:r>
        <w:rPr>
          <w:rFonts w:ascii="Times New Roman" w:hAnsi="Times New Roman"/>
          <w:b w:val="false"/>
          <w:sz w:val="18"/>
        </w:rPr>
        <w:t>Historically, the Company had conducted its U.S. operations through a pass through entity that filed its income tax returns as a partnership for federal and state income tax purposes. As a result, the Company was not subject to U.S. federal or state income taxes as the related tax consequences were reported by its individual members. In July 2020, the Company changed its status from a limited liability company to a corporation, and accordingly, the Company became taxable at the entity level for U.S. federal and state tax purposes.</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120</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A reconciliation of income tax expense computed at the U.S. federal statutory income tax rate to the Company’s income tax expense is as follows (in thousands):</w:t>
      </w:r>
    </w:p>
    <w:p>
      <w:pPr>
        <w:pStyle w:val="TextBody"/>
        <w:spacing w:lineRule="auto" w:line="273" w:before="0" w:after="0"/>
        <w:jc w:val="left"/>
        <w:rPr/>
      </w:pPr>
      <w:r>
        <w:rPr/>
        <w:t> </w:t>
      </w:r>
    </w:p>
    <w:tbl>
      <w:tblPr>
        <w:tblW w:w="6685" w:type="dxa"/>
        <w:jc w:val="left"/>
        <w:tblInd w:w="0" w:type="dxa"/>
        <w:tblCellMar>
          <w:top w:w="28" w:type="dxa"/>
          <w:left w:w="28" w:type="dxa"/>
          <w:bottom w:w="28" w:type="dxa"/>
          <w:right w:w="28" w:type="dxa"/>
        </w:tblCellMar>
      </w:tblPr>
      <w:tblGrid>
        <w:gridCol w:w="3736"/>
        <w:gridCol w:w="146"/>
        <w:gridCol w:w="260"/>
        <w:gridCol w:w="880"/>
        <w:gridCol w:w="166"/>
        <w:gridCol w:w="146"/>
        <w:gridCol w:w="280"/>
        <w:gridCol w:w="860"/>
        <w:gridCol w:w="211"/>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w:t>
              <w:br/>
              <w:t>2021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Year ended</w:t>
              <w:br/>
              <w:t>December 31,</w:t>
              <w:br/>
              <w:t>2020</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Tax computed at the federal statutory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(20,034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(7,529</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Deferred impact of conversion to C Corporation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(2,131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(6,708</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Partnership income not subject to tax</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1,837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Nondeductible executive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(1,021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Research and development and orphan drug credits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(3,091</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(807</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Uncertain tax positions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197</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Other,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793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shd w:fill="auto" w:val="clear"/>
            <w:vAlign w:val="center"/>
          </w:tcPr>
          <w:p>
            <w:pPr>
              <w:pStyle w:val="TableContents"/>
              <w:spacing w:lineRule="auto" w:line="252" w:before="0" w:after="0"/>
              <w:ind w:left="0" w:right="0" w:hanging="0"/>
              <w:jc w:val="left"/>
              <w:rPr/>
            </w:pPr>
            <w:r>
              <w:rPr/>
              <w:t> </w:t>
            </w:r>
          </w:p>
        </w:tc>
        <w:tc>
          <w:tcPr>
            <w:tcW w:w="86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242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Valuation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20,582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12,768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Income tax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The Company’s net deferred tax assets (liabilities) are as follows (in thousands):</w:t>
      </w:r>
    </w:p>
    <w:p>
      <w:pPr>
        <w:pStyle w:val="TextBody"/>
        <w:spacing w:lineRule="auto" w:line="273" w:before="0" w:after="0"/>
        <w:jc w:val="left"/>
        <w:rPr/>
      </w:pPr>
      <w:r>
        <w:rPr/>
        <w:t> </w:t>
      </w:r>
    </w:p>
    <w:tbl>
      <w:tblPr>
        <w:tblW w:w="5640" w:type="dxa"/>
        <w:jc w:val="left"/>
        <w:tblInd w:w="0" w:type="dxa"/>
        <w:tblCellMar>
          <w:top w:w="28" w:type="dxa"/>
          <w:left w:w="28" w:type="dxa"/>
          <w:bottom w:w="28" w:type="dxa"/>
          <w:right w:w="28" w:type="dxa"/>
        </w:tblCellMar>
      </w:tblPr>
      <w:tblGrid>
        <w:gridCol w:w="2491"/>
        <w:gridCol w:w="146"/>
        <w:gridCol w:w="260"/>
        <w:gridCol w:w="880"/>
        <w:gridCol w:w="166"/>
        <w:gridCol w:w="146"/>
        <w:gridCol w:w="260"/>
        <w:gridCol w:w="880"/>
        <w:gridCol w:w="41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b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8"/>
              </w:rPr>
            </w:pPr>
            <w:r>
              <w:rPr>
                <w:rFonts w:ascii="Times New Roman" w:hAnsi="Times New Roman"/>
                <w:b/>
                <w:sz w:val="18"/>
              </w:rPr>
              <w:t>December 31,</w:t>
              <w:br/>
              <w:t>2020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Net operating loss carryforwards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21,935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5,607</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Guaranteed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1,702</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Liability to licensor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4,159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4,159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Goodwill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Deferred 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504</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1,128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Accrued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485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585</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Research credit carryforwards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2,945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610</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Stock-based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438</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0</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Gross 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34,800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13,605</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Less valuation allowance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(33,351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(12,768</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4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837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0"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Fixed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(756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(837</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18"/>
              </w:rPr>
            </w:pPr>
            <w:r>
              <w:rPr>
                <w:rFonts w:ascii="Times New Roman" w:hAnsi="Times New Roman"/>
                <w:b w:val="false"/>
                <w:sz w:val="18"/>
              </w:rPr>
              <w:t>)</w:t>
            </w:r>
          </w:p>
        </w:tc>
      </w:tr>
      <w:tr>
        <w:trPr/>
        <w:tc>
          <w:tcPr>
            <w:tcW w:w="249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(693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4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Total 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(1,449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(837</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r>
      <w:tr>
        <w:trPr/>
        <w:tc>
          <w:tcPr>
            <w:tcW w:w="249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Net deferred tax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A valuation allowance of approximately $33.4</w:t>
      </w:r>
      <w:r>
        <w:rPr>
          <w:rFonts w:ascii="Times New Roman" w:hAnsi="Times New Roman"/>
          <w:sz w:val="20"/>
        </w:rPr>
        <w:t xml:space="preserve"> </w:t>
      </w:r>
      <w:r>
        <w:rPr>
          <w:rFonts w:ascii="Times New Roman" w:hAnsi="Times New Roman"/>
          <w:b w:val="false"/>
          <w:sz w:val="18"/>
        </w:rPr>
        <w:t>million as of December 31, 2021</w:t>
      </w:r>
      <w:r>
        <w:rPr>
          <w:rFonts w:ascii="Times New Roman" w:hAnsi="Times New Roman"/>
          <w:sz w:val="20"/>
        </w:rPr>
        <w:t xml:space="preserve"> </w:t>
      </w:r>
      <w:r>
        <w:rPr>
          <w:rFonts w:ascii="Times New Roman" w:hAnsi="Times New Roman"/>
          <w:b w:val="false"/>
          <w:sz w:val="18"/>
        </w:rPr>
        <w:t>has been established to offset the deferred tax assets as the Company has determined that it is not more likely than not that these assets will be realized. The valuation allowance increased by approximately $20.6</w:t>
      </w:r>
      <w:r>
        <w:rPr>
          <w:rFonts w:ascii="Times New Roman" w:hAnsi="Times New Roman"/>
          <w:sz w:val="20"/>
        </w:rPr>
        <w:t xml:space="preserve"> </w:t>
      </w:r>
      <w:r>
        <w:rPr>
          <w:rFonts w:ascii="Times New Roman" w:hAnsi="Times New Roman"/>
          <w:b w:val="false"/>
          <w:sz w:val="18"/>
        </w:rPr>
        <w:t>million during 2021.</w:t>
      </w:r>
    </w:p>
    <w:p>
      <w:pPr>
        <w:pStyle w:val="TextBody"/>
        <w:spacing w:lineRule="auto" w:line="273" w:before="216" w:after="0"/>
        <w:jc w:val="left"/>
        <w:rPr>
          <w:rFonts w:ascii="Times New Roman" w:hAnsi="Times New Roman"/>
          <w:sz w:val="20"/>
        </w:rPr>
      </w:pPr>
      <w:r>
        <w:rPr>
          <w:rFonts w:ascii="Times New Roman" w:hAnsi="Times New Roman"/>
          <w:b w:val="false"/>
          <w:sz w:val="18"/>
        </w:rPr>
        <w:t>At December 31, 2021, the Company had federal net operating loss carryforwards of approximately $104.5</w:t>
      </w:r>
      <w:r>
        <w:rPr>
          <w:rFonts w:ascii="Times New Roman" w:hAnsi="Times New Roman"/>
          <w:sz w:val="20"/>
        </w:rPr>
        <w:t xml:space="preserve"> </w:t>
      </w:r>
      <w:r>
        <w:rPr>
          <w:rFonts w:ascii="Times New Roman" w:hAnsi="Times New Roman"/>
          <w:b w:val="false"/>
          <w:sz w:val="18"/>
        </w:rPr>
        <w:t>million. The federal net operating losses can be carried forward indefinitely, subject to an 80% limitation against taxable income.</w:t>
      </w:r>
    </w:p>
    <w:p>
      <w:pPr>
        <w:pStyle w:val="TextBody"/>
        <w:spacing w:lineRule="auto" w:line="273" w:before="216" w:after="0"/>
        <w:jc w:val="left"/>
        <w:rPr>
          <w:rFonts w:ascii="Times New Roman" w:hAnsi="Times New Roman"/>
          <w:sz w:val="20"/>
        </w:rPr>
      </w:pPr>
      <w:r>
        <w:rPr>
          <w:rFonts w:ascii="Times New Roman" w:hAnsi="Times New Roman"/>
          <w:b w:val="false"/>
          <w:sz w:val="18"/>
        </w:rPr>
        <w:t>At December 31, 2021, the Company had federal and California research and development credit carryforwards of approximately $1.9</w:t>
      </w:r>
      <w:r>
        <w:rPr>
          <w:rFonts w:ascii="Times New Roman" w:hAnsi="Times New Roman"/>
          <w:sz w:val="20"/>
        </w:rPr>
        <w:t xml:space="preserve"> </w:t>
      </w:r>
      <w:r>
        <w:rPr>
          <w:rFonts w:ascii="Times New Roman" w:hAnsi="Times New Roman"/>
          <w:b w:val="false"/>
          <w:sz w:val="18"/>
        </w:rPr>
        <w:t>million and $1.2</w:t>
      </w:r>
      <w:r>
        <w:rPr>
          <w:rFonts w:ascii="Times New Roman" w:hAnsi="Times New Roman"/>
          <w:sz w:val="20"/>
        </w:rPr>
        <w:t xml:space="preserve"> </w:t>
      </w:r>
      <w:r>
        <w:rPr>
          <w:rFonts w:ascii="Times New Roman" w:hAnsi="Times New Roman"/>
          <w:b w:val="false"/>
          <w:sz w:val="18"/>
        </w:rPr>
        <w:t>million, respectively. The federal credit carryforwards will begin to expire in 2040, unless previously utilized. The California credits will carry forward indefinitely.</w:t>
      </w:r>
    </w:p>
    <w:p>
      <w:pPr>
        <w:pStyle w:val="TextBody"/>
        <w:spacing w:lineRule="auto" w:line="273" w:before="216" w:after="0"/>
        <w:jc w:val="left"/>
        <w:rPr>
          <w:rFonts w:ascii="Times New Roman" w:hAnsi="Times New Roman"/>
          <w:sz w:val="20"/>
        </w:rPr>
      </w:pPr>
      <w:r>
        <w:rPr>
          <w:rFonts w:ascii="Times New Roman" w:hAnsi="Times New Roman"/>
          <w:b w:val="false"/>
          <w:sz w:val="18"/>
        </w:rPr>
        <w:t>At December 31, 2021, the Company also had federal orphan drug credit carryforwards of approximately $1.0</w:t>
      </w:r>
      <w:r>
        <w:rPr>
          <w:rFonts w:ascii="Times New Roman" w:hAnsi="Times New Roman"/>
          <w:sz w:val="20"/>
        </w:rPr>
        <w:t xml:space="preserve"> </w:t>
      </w:r>
      <w:r>
        <w:rPr>
          <w:rFonts w:ascii="Times New Roman" w:hAnsi="Times New Roman"/>
          <w:b w:val="false"/>
          <w:sz w:val="18"/>
        </w:rPr>
        <w:t>million. The orphan drug credit carryforwards will begin to expire in 2041, unless previously utilized.</w:t>
      </w:r>
    </w:p>
    <w:p>
      <w:pPr>
        <w:pStyle w:val="TextBody"/>
        <w:spacing w:lineRule="auto" w:line="273" w:before="216" w:after="0"/>
        <w:jc w:val="left"/>
        <w:rPr>
          <w:rFonts w:ascii="Times New Roman" w:hAnsi="Times New Roman"/>
          <w:sz w:val="20"/>
        </w:rPr>
      </w:pPr>
      <w:r>
        <w:rPr>
          <w:rFonts w:ascii="Times New Roman" w:hAnsi="Times New Roman"/>
          <w:b w:val="false"/>
          <w:sz w:val="18"/>
        </w:rPr>
        <w:t>Pursuant to Internal Revenue Code (“IRC”) Sections 382 and 383, annual use of the Company’s net operating loss carryforwards may be limited in the event a cumulative change in ownership of more than 50% occurs within a three-year period.</w:t>
      </w:r>
      <w:r>
        <w:rPr>
          <w:rFonts w:ascii="Times New Roman" w:hAnsi="Times New Roman"/>
          <w:sz w:val="20"/>
        </w:rPr>
        <w:t xml:space="preserve"> </w:t>
      </w:r>
      <w:r>
        <w:rPr>
          <w:rFonts w:ascii="Times New Roman" w:hAnsi="Times New Roman"/>
          <w:b w:val="false"/>
          <w:sz w:val="18"/>
        </w:rPr>
        <w:t>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121</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6" w:after="0"/>
        <w:jc w:val="left"/>
        <w:rPr>
          <w:rFonts w:ascii="Times New Roman" w:hAnsi="Times New Roman"/>
          <w:b w:val="false"/>
          <w:sz w:val="18"/>
        </w:rPr>
      </w:pPr>
      <w:r>
        <w:rPr>
          <w:rFonts w:ascii="Times New Roman" w:hAnsi="Times New Roman"/>
          <w:b w:val="false"/>
          <w:sz w:val="18"/>
        </w:rPr>
        <w:t>On March 27, 2020, the Coronavirus Aid, Relief, and Economic Security Act (“CARES” Act) was enacted in response to the COVID-19 pandemic. The CARES Act, among other things, permits net operating loss carryovers and carrybacks to offset 100% of taxable income for taxable years beginning before 2021. In addition, the CARES Act allows net operating losses incurred in 2018, 2019, and 2020 to be carried back to each of the five preceding taxable years to generate a refund of previously paid income taxes. As the Company operated as a partnership during the carryback period, net operating loss carrybacks will not be allowed. Due to the Company’s history of net operating losses, other provisions of the CARES Act are not expected to have a material impact on the Company’s financial statements.</w:t>
      </w:r>
    </w:p>
    <w:p>
      <w:pPr>
        <w:pStyle w:val="TextBody"/>
        <w:spacing w:lineRule="auto" w:line="273" w:before="216" w:after="0"/>
        <w:jc w:val="left"/>
        <w:rPr>
          <w:rFonts w:ascii="Times New Roman" w:hAnsi="Times New Roman"/>
          <w:sz w:val="20"/>
        </w:rPr>
      </w:pPr>
      <w:r>
        <w:rPr>
          <w:rFonts w:ascii="Times New Roman" w:hAnsi="Times New Roman"/>
          <w:b w:val="false"/>
          <w:sz w:val="18"/>
        </w:rPr>
        <w:t>Pursuant to the Paycheck Protection Program (the “PPP”) of the CARES Act, the Company received a PPP loan in the amount of $0.7</w:t>
      </w:r>
      <w:r>
        <w:rPr>
          <w:rFonts w:ascii="Times New Roman" w:hAnsi="Times New Roman"/>
          <w:sz w:val="20"/>
        </w:rPr>
        <w:t xml:space="preserve"> </w:t>
      </w:r>
      <w:r>
        <w:rPr>
          <w:rFonts w:ascii="Times New Roman" w:hAnsi="Times New Roman"/>
          <w:b w:val="false"/>
          <w:sz w:val="18"/>
        </w:rPr>
        <w:t>million. In 2021, the Company received forgiveness of the PPP loan. The loan forgiveness income is not considered taxable for Federal or state income tax purposes. In accordance with the Consolidated Appropriations Act, 2021 (CAA) enacted on December 27, 2020, certain qualified expenses used with the funds of the PPP Loan are fully deductible for Federal income tax purposes; however, California does not conform to this aspect of the CAA.</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Under the FASB's accounting guidance related to income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provides guidance on derecognition, classification, interest and penalties, accounting in interim period, disclosure and transition. The Company regularly evaluates the likelihood of recognizing the benefit for income tax positions taken in various federal and state filings by considering all relevant facts, circumstances, and information available.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following table summarizes the reconciliation of the unrecognized tax benefits activity during the year ended December 31, 2021 (in thousands):</w:t>
      </w:r>
    </w:p>
    <w:p>
      <w:pPr>
        <w:pStyle w:val="TextBody"/>
        <w:spacing w:lineRule="auto" w:line="273" w:before="0" w:after="0"/>
        <w:jc w:val="left"/>
        <w:rPr/>
      </w:pPr>
      <w:r>
        <w:rPr/>
        <w:t> </w:t>
      </w:r>
    </w:p>
    <w:tbl>
      <w:tblPr>
        <w:tblW w:w="4545" w:type="dxa"/>
        <w:jc w:val="left"/>
        <w:tblInd w:w="0" w:type="dxa"/>
        <w:tblCellMar>
          <w:top w:w="28" w:type="dxa"/>
          <w:left w:w="28" w:type="dxa"/>
          <w:bottom w:w="28" w:type="dxa"/>
          <w:right w:w="28" w:type="dxa"/>
        </w:tblCellMar>
      </w:tblPr>
      <w:tblGrid>
        <w:gridCol w:w="3301"/>
        <w:gridCol w:w="146"/>
        <w:gridCol w:w="196"/>
        <w:gridCol w:w="511"/>
        <w:gridCol w:w="391"/>
      </w:tblGrid>
      <w:tr>
        <w:trPr/>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as of December 31, 2019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30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Gross increase – current-period tax positions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210</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as of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11"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210</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301" w:type="dxa"/>
            <w:tcBorders/>
            <w:shd w:fill="auto" w:val="clear"/>
            <w:vAlign w:val="center"/>
          </w:tcPr>
          <w:p>
            <w:pPr>
              <w:pStyle w:val="TableContents"/>
              <w:spacing w:lineRule="auto" w:line="252" w:before="0" w:after="0"/>
              <w:ind w:left="200" w:right="0" w:hanging="0"/>
              <w:jc w:val="left"/>
              <w:rPr>
                <w:rFonts w:ascii="Times New Roman" w:hAnsi="Times New Roman"/>
                <w:b w:val="false"/>
                <w:sz w:val="18"/>
              </w:rPr>
            </w:pPr>
            <w:r>
              <w:rPr>
                <w:rFonts w:ascii="Times New Roman" w:hAnsi="Times New Roman"/>
                <w:b w:val="false"/>
                <w:sz w:val="18"/>
              </w:rPr>
              <w:t>Gross increase – current-period tax positions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801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Balance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1,011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16" w:after="0"/>
        <w:jc w:val="left"/>
        <w:rPr>
          <w:rFonts w:ascii="Times New Roman" w:hAnsi="Times New Roman"/>
          <w:sz w:val="20"/>
        </w:rPr>
      </w:pPr>
      <w:r>
        <w:rPr>
          <w:rFonts w:ascii="Times New Roman" w:hAnsi="Times New Roman"/>
          <w:b w:val="false"/>
          <w:sz w:val="18"/>
        </w:rPr>
        <w:t>As of December 31, 2021, the Company had gross unrecognized tax benefits of approximately $1.0</w:t>
      </w:r>
      <w:r>
        <w:rPr>
          <w:rFonts w:ascii="Times New Roman" w:hAnsi="Times New Roman"/>
          <w:sz w:val="20"/>
        </w:rPr>
        <w:t xml:space="preserve"> </w:t>
      </w:r>
      <w:r>
        <w:rPr>
          <w:rFonts w:ascii="Times New Roman" w:hAnsi="Times New Roman"/>
          <w:b w:val="false"/>
          <w:sz w:val="18"/>
        </w:rPr>
        <w:t>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consolidated balance sheet and has not recognized interest or penalties in the consolidated statements of net and comprehensive income for the year ended December 31, 2021. The Company does not anticipate a significant change to its liability for unrecognized tax benefits within the next twelve months.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The Company is subject to taxation in the United States and various state jurisdictions. The Company is subject to examination by tax authorities in those jurisdictions since 2018 and 2017, respectively, and forward. However, any adjustment made for the period prior to the conversion to C Corporation in July 2020 would be passed through to the Company's former members. Post-conversion to C Corporation, to the extent allowed by law, the taxing authorities may have the right to examine periods where NOLs and research and development credits were generated and carried forward, and make adjustments to the amount of the NOL and research credits carryforward amount. The Company is not currently under examination by any jurisdiction.</w:t>
      </w:r>
    </w:p>
    <w:p>
      <w:pPr>
        <w:pStyle w:val="TextBody"/>
        <w:spacing w:lineRule="auto" w:line="273" w:before="324" w:after="0"/>
        <w:jc w:val="left"/>
        <w:rPr>
          <w:rFonts w:ascii="Times New Roman" w:hAnsi="Times New Roman"/>
          <w:b/>
          <w:sz w:val="18"/>
        </w:rPr>
      </w:pPr>
      <w:r>
        <w:rPr>
          <w:rFonts w:ascii="Times New Roman" w:hAnsi="Times New Roman"/>
          <w:b/>
          <w:sz w:val="18"/>
        </w:rPr>
        <w:t>14. Subsequent events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 has completed an evaluation of all subsequent events through February 28, 2022 for the financial statements as of and for the year ended December 31, 2021 to ensure these consolidated financial statements include appropriate disclosure of events both recognized in the consolidated financial statements and events which occurred but were not recognized in the consolidated financial statements. Except as described below or elsewhere in these consolidated financial statements, the Company has concluded that no subsequent event has occurred that requires disclosure.</w:t>
      </w:r>
    </w:p>
    <w:p>
      <w:pPr>
        <w:pStyle w:val="TextBody"/>
        <w:spacing w:lineRule="auto" w:line="273" w:before="216" w:after="0"/>
        <w:jc w:val="left"/>
        <w:rPr>
          <w:rFonts w:ascii="Times New Roman" w:hAnsi="Times New Roman"/>
          <w:sz w:val="20"/>
        </w:rPr>
      </w:pPr>
      <w:r>
        <w:rPr>
          <w:rFonts w:ascii="Times New Roman" w:hAnsi="Times New Roman"/>
          <w:b w:val="false"/>
          <w:sz w:val="18"/>
        </w:rPr>
        <w:t>On January 5, 2022, BioAtla and Bristol-Myers Squibb Company (“BMS”) entered into a clinical trial collaboration and supply agreement (the “BMS Agreement”). Under the terms of the BMS Agreement, BioAtla and BMS will collaborate on clinical trials of separate combination therapies using two of BioAtla’s Conditionally Active Biologic Antibody Drug Conjugates, BA3011 and BA3021, each in combination with Opdivo® (nivolumab), BMS’ proprietary anti-PD-1 monoclonal antibody product. The Company will serve as the study sponsor of the scheduled studies and will be responsible for costs associated with the trial execution. BMS will provide Opdivo® clinical drug supply at no cost for the combination study trials. After the completion of the combination therapy trials, the Company is obligated to provide BMS with a final report of the data resulting from the trial. There was no impact to the Company's financial results for the year ended December 31, 2021 as a result of this agreement.</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122</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0" w:after="0"/>
        <w:jc w:val="left"/>
        <w:rPr>
          <w:rFonts w:ascii="Times New Roman" w:hAnsi="Times New Roman"/>
          <w:b/>
          <w:sz w:val="18"/>
        </w:rPr>
      </w:pPr>
      <w:bookmarkStart w:id="27" w:name="item_9_changes_in_and_disagreements"/>
      <w:bookmarkEnd w:id="27"/>
      <w:r>
        <w:rPr>
          <w:rFonts w:ascii="Times New Roman" w:hAnsi="Times New Roman"/>
          <w:b/>
          <w:sz w:val="18"/>
        </w:rPr>
        <w:t>ITEM 9. Changes in and Disagreements with Accountants on Accounting and Financial Disclosure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None.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28" w:name="item_9a_controls_and_procedures"/>
      <w:bookmarkEnd w:id="28"/>
      <w:r>
        <w:rPr>
          <w:rFonts w:ascii="Times New Roman" w:hAnsi="Times New Roman"/>
          <w:b/>
          <w:sz w:val="18"/>
        </w:rPr>
        <w:t>ITEM 9A. Controls and Procedures</w:t>
      </w:r>
    </w:p>
    <w:p>
      <w:pPr>
        <w:pStyle w:val="TextBody"/>
        <w:spacing w:lineRule="auto" w:line="273" w:before="108" w:after="0"/>
        <w:jc w:val="left"/>
        <w:rPr>
          <w:rFonts w:ascii="Times New Roman" w:hAnsi="Times New Roman"/>
          <w:b/>
          <w:sz w:val="18"/>
        </w:rPr>
      </w:pPr>
      <w:r>
        <w:rPr>
          <w:rFonts w:ascii="Times New Roman" w:hAnsi="Times New Roman"/>
          <w:b/>
          <w:sz w:val="18"/>
        </w:rPr>
        <w:t>Evaluation of Disclosure Controls and Procedures.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required by Rules 13a-15(b) and 15d-15(b) of the Exchange Act, our management with the participation of our Chief Executive Officer and our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our Chief Financial Officer concluded that, as of such date, our disclosure controls and procedures were effective at the reasonable assurance level.</w:t>
      </w:r>
    </w:p>
    <w:p>
      <w:pPr>
        <w:pStyle w:val="TextBody"/>
        <w:spacing w:lineRule="auto" w:line="273" w:before="324" w:after="0"/>
        <w:jc w:val="left"/>
        <w:rPr>
          <w:rFonts w:ascii="Times New Roman" w:hAnsi="Times New Roman"/>
          <w:b/>
          <w:sz w:val="18"/>
        </w:rPr>
      </w:pPr>
      <w:r>
        <w:rPr>
          <w:rFonts w:ascii="Times New Roman" w:hAnsi="Times New Roman"/>
          <w:b/>
          <w:sz w:val="18"/>
        </w:rPr>
        <w:t>Management’s Report on Internal Control over Financial Reporting.</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2021, to provide reasonable assurance regarding the reliability of financial reporting and the preparation of financial statements in accordance with GAAP. Our independent registered public accounting firm, Ernst &amp; Young LLP, has issued an audit report with respect to our internal control over financial reporting, which is included herein.</w:t>
      </w:r>
    </w:p>
    <w:p>
      <w:pPr>
        <w:pStyle w:val="TextBody"/>
        <w:spacing w:lineRule="auto" w:line="273" w:before="324" w:after="0"/>
        <w:jc w:val="left"/>
        <w:rPr>
          <w:rFonts w:ascii="Times New Roman" w:hAnsi="Times New Roman"/>
          <w:b/>
          <w:sz w:val="18"/>
        </w:rPr>
      </w:pPr>
      <w:r>
        <w:rPr>
          <w:rFonts w:ascii="Times New Roman" w:hAnsi="Times New Roman"/>
          <w:b/>
          <w:sz w:val="18"/>
        </w:rPr>
        <w:t>Changes in Internal Control over Financial Reporting.</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Under the supervision and with the participation of our management, including our Chief Executive Officer and Chief Financial Officer, we conducted an evaluation of any changes in our internal control over financial reporting (as such term is defined in Rules 13a-15(d) and 15d-15(d) under the Exchange Act) that occurred during our most recently completed fiscal quarter. Based on that evaluation, our principal executive officers and principal financial officer concluded that there has not been any material change in our internal control over financial reporting during the fourth quarter of fiscal 2021 that materially affected, or is reasonably likely to materially affect, our internal control over financial reporting. We are continually monitoring and assessing the COVID-19 situation on our internal controls to understand the potential impact on their design and operating effectiveness.</w:t>
      </w:r>
    </w:p>
    <w:p>
      <w:pPr>
        <w:pStyle w:val="TextBody"/>
        <w:spacing w:lineRule="auto" w:line="273" w:before="324" w:after="0"/>
        <w:jc w:val="left"/>
        <w:rPr>
          <w:rFonts w:ascii="Times New Roman" w:hAnsi="Times New Roman"/>
          <w:b/>
          <w:sz w:val="18"/>
        </w:rPr>
      </w:pPr>
      <w:r>
        <w:rPr>
          <w:rFonts w:ascii="Times New Roman" w:hAnsi="Times New Roman"/>
          <w:b/>
          <w:sz w:val="18"/>
        </w:rPr>
        <w:t>Limitations on Effectiveness of Controls and Procedures and Internal Control over Financial Reporting</w:t>
      </w:r>
    </w:p>
    <w:p>
      <w:pPr>
        <w:pStyle w:val="TextBody"/>
        <w:spacing w:lineRule="auto" w:line="273" w:before="108" w:after="0"/>
        <w:jc w:val="left"/>
        <w:rPr>
          <w:rFonts w:ascii="Times New Roman" w:hAnsi="Times New Roman"/>
          <w:sz w:val="20"/>
        </w:rPr>
      </w:pPr>
      <w:r>
        <w:rPr>
          <w:rFonts w:ascii="Times New Roman" w:hAnsi="Times New Roman"/>
          <w:b w:val="false"/>
          <w:sz w:val="18"/>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br/>
      </w:r>
      <w:r>
        <w:rPr>
          <w:rFonts w:ascii="Times New Roman" w:hAnsi="Times New Roman"/>
          <w:sz w:val="20"/>
        </w:rPr>
        <w:t> </w:t>
      </w:r>
    </w:p>
    <w:p>
      <w:pPr>
        <w:pStyle w:val="TextBody"/>
        <w:spacing w:lineRule="auto" w:line="273" w:before="216" w:after="0"/>
        <w:jc w:val="left"/>
        <w:rPr>
          <w:rFonts w:ascii="Times New Roman" w:hAnsi="Times New Roman"/>
          <w:sz w:val="20"/>
        </w:rPr>
      </w:pPr>
      <w:r>
        <w:rPr>
          <w:rFonts w:ascii="Times New Roman" w:hAnsi="Times New Roman"/>
          <w:b w:val="false"/>
          <w:sz w:val="18"/>
        </w:rPr>
        <w:t>See Management’s Report on Internal Control over Financial Reporting above and the Report of Independent Registered Public Accounting Firm on our internal control over financial reporting herein.</w:t>
      </w:r>
      <w:r>
        <w:rPr>
          <w:rFonts w:ascii="Times New Roman" w:hAnsi="Times New Roman"/>
          <w:sz w:val="20"/>
        </w:rPr>
        <w:t xml:space="preserve"> </w:t>
      </w:r>
    </w:p>
    <w:p>
      <w:pPr>
        <w:pStyle w:val="TextBody"/>
        <w:spacing w:lineRule="auto" w:line="273" w:before="216" w:after="0"/>
        <w:jc w:val="left"/>
        <w:rPr>
          <w:rFonts w:ascii="Times New Roman" w:hAnsi="Times New Roman"/>
          <w:sz w:val="20"/>
        </w:rPr>
      </w:pPr>
      <w:r>
        <w:rPr>
          <w:rFonts w:ascii="Times New Roman" w:hAnsi="Times New Roman"/>
          <w:b w:val="false"/>
          <w:sz w:val="18"/>
        </w:rPr>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123</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center"/>
        <w:rPr>
          <w:rFonts w:ascii="Times New Roman" w:hAnsi="Times New Roman"/>
          <w:b/>
          <w:sz w:val="18"/>
        </w:rPr>
      </w:pPr>
      <w:r>
        <w:rPr>
          <w:rFonts w:ascii="Times New Roman" w:hAnsi="Times New Roman"/>
          <w:b/>
          <w:sz w:val="18"/>
        </w:rPr>
        <w:t>Report of Independent Registered Public Accounting Firm</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To the Stockholders and the Board of Directors of BioAtla, Inc.</w:t>
      </w:r>
    </w:p>
    <w:p>
      <w:pPr>
        <w:pStyle w:val="TextBody"/>
        <w:spacing w:lineRule="auto" w:line="273" w:before="216" w:after="0"/>
        <w:jc w:val="left"/>
        <w:rPr>
          <w:rFonts w:ascii="Times New Roman" w:hAnsi="Times New Roman"/>
          <w:b/>
          <w:sz w:val="18"/>
        </w:rPr>
      </w:pPr>
      <w:r>
        <w:rPr>
          <w:rFonts w:ascii="Times New Roman" w:hAnsi="Times New Roman"/>
          <w:b/>
          <w:sz w:val="18"/>
        </w:rPr>
        <w:t>Opinion on Internal Control over Financial Reporting</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have audited BioAtla, Inc.’s internal control over financial reporting as of December 31, 2021, based on criteria established in Internal Control—Integrated Framework issued by the Committee of Sponsoring Organizations of the Treadway Commission (2013 framework) (the COSO criteria). In our opinion, BioAtla, Inc. (the Company) maintained, in all material respects, effective internal control over financial reporting as of December 31, 2021, based on the COSO criteria.</w:t>
      </w:r>
    </w:p>
    <w:p>
      <w:pPr>
        <w:pStyle w:val="TextBody"/>
        <w:spacing w:lineRule="auto" w:line="273" w:before="108" w:after="0"/>
        <w:jc w:val="left"/>
        <w:rPr>
          <w:rFonts w:ascii="Times New Roman" w:hAnsi="Times New Roman"/>
          <w:sz w:val="20"/>
        </w:rPr>
      </w:pPr>
      <w:r>
        <w:rPr>
          <w:rFonts w:ascii="Times New Roman" w:hAnsi="Times New Roman"/>
          <w:b w:val="false"/>
          <w:sz w:val="18"/>
        </w:rPr>
        <w:t>We also have audited, in accordance with the standards of the Public Company Accounting Oversight Board (United States) (PCAOB), the consolidated balance sheets of BioAtla, Inc. as of December 31, 2021 and 2020, the related consolidated statements of operations and comprehensive loss, convertible preferred stock and stockholders’/members’ equity (deficit) and cash flows for each of the three years in the period ended December 31, 2021, and the related notes</w:t>
      </w:r>
      <w:r>
        <w:rPr>
          <w:rFonts w:ascii="Times New Roman" w:hAnsi="Times New Roman"/>
          <w:sz w:val="20"/>
        </w:rPr>
        <w:t xml:space="preserve"> </w:t>
      </w:r>
      <w:r>
        <w:rPr>
          <w:rFonts w:ascii="Times New Roman" w:hAnsi="Times New Roman"/>
          <w:b w:val="false"/>
          <w:sz w:val="18"/>
        </w:rPr>
        <w:t>and our report dated February 28, 2022 expressed an unqualified opinion thereon.</w:t>
      </w:r>
    </w:p>
    <w:p>
      <w:pPr>
        <w:pStyle w:val="TextBody"/>
        <w:spacing w:lineRule="auto" w:line="273" w:before="216" w:after="0"/>
        <w:jc w:val="left"/>
        <w:rPr>
          <w:rFonts w:ascii="Times New Roman" w:hAnsi="Times New Roman"/>
          <w:b/>
          <w:sz w:val="18"/>
        </w:rPr>
      </w:pPr>
      <w:r>
        <w:rPr>
          <w:rFonts w:ascii="Times New Roman" w:hAnsi="Times New Roman"/>
          <w:b/>
          <w:sz w:val="18"/>
        </w:rPr>
        <w:t>Basis for Opinion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73" w:before="216" w:after="0"/>
        <w:jc w:val="left"/>
        <w:rPr>
          <w:rFonts w:ascii="Times New Roman" w:hAnsi="Times New Roman"/>
          <w:b/>
          <w:sz w:val="18"/>
        </w:rPr>
      </w:pPr>
      <w:r>
        <w:rPr>
          <w:rFonts w:ascii="Times New Roman" w:hAnsi="Times New Roman"/>
          <w:b/>
          <w:sz w:val="18"/>
        </w:rPr>
        <w:t>Definition and Limitations of Internal Control over Financial Reporting</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73" w:before="216" w:after="0"/>
        <w:jc w:val="left"/>
        <w:rPr>
          <w:rFonts w:ascii="Times New Roman" w:hAnsi="Times New Roman"/>
          <w:sz w:val="20"/>
        </w:rPr>
      </w:pPr>
      <w:r>
        <w:rPr>
          <w:rFonts w:ascii="Times New Roman" w:hAnsi="Times New Roman"/>
          <w:b/>
          <w:sz w:val="18"/>
        </w:rPr>
        <w:t xml:space="preserve">/s/ </w:t>
      </w:r>
      <w:r>
        <w:rPr>
          <w:rFonts w:ascii="Times New Roman" w:hAnsi="Times New Roman"/>
          <w:b w:val="false"/>
          <w:sz w:val="18"/>
        </w:rPr>
        <w:t>Ernst &amp; Young LLP</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San Diego, California</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February 28, 2022</w:t>
      </w:r>
    </w:p>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124</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324" w:after="0"/>
        <w:jc w:val="left"/>
        <w:rPr>
          <w:rFonts w:ascii="Times New Roman" w:hAnsi="Times New Roman"/>
          <w:sz w:val="20"/>
        </w:rPr>
      </w:pPr>
      <w:bookmarkStart w:id="29" w:name="item_9b_other_information"/>
      <w:bookmarkEnd w:id="29"/>
      <w:r>
        <w:rPr>
          <w:rFonts w:ascii="Times New Roman" w:hAnsi="Times New Roman"/>
          <w:b/>
          <w:sz w:val="18"/>
        </w:rPr>
        <w:t>ITEM 9B. Other</w:t>
      </w:r>
      <w:r>
        <w:rPr>
          <w:rFonts w:ascii="Times New Roman" w:hAnsi="Times New Roman"/>
          <w:sz w:val="20"/>
        </w:rPr>
        <w:t xml:space="preserve"> </w:t>
      </w:r>
      <w:r>
        <w:rPr>
          <w:rFonts w:ascii="Times New Roman" w:hAnsi="Times New Roman"/>
          <w:b/>
          <w:sz w:val="18"/>
        </w:rPr>
        <w:t>Information</w:t>
      </w:r>
    </w:p>
    <w:p>
      <w:pPr>
        <w:pStyle w:val="TextBody"/>
        <w:spacing w:lineRule="auto" w:line="273" w:before="108" w:after="0"/>
        <w:jc w:val="left"/>
        <w:rPr>
          <w:rFonts w:ascii="Times New Roman" w:hAnsi="Times New Roman"/>
          <w:sz w:val="20"/>
        </w:rPr>
      </w:pPr>
      <w:r>
        <w:rPr>
          <w:rFonts w:ascii="Times New Roman" w:hAnsi="Times New Roman"/>
          <w:b w:val="false"/>
          <w:sz w:val="18"/>
        </w:rPr>
        <w:t>None.</w:t>
      </w:r>
      <w:r>
        <w:rPr>
          <w:rFonts w:ascii="Times New Roman" w:hAnsi="Times New Roman"/>
          <w:sz w:val="20"/>
        </w:rPr>
        <w:t xml:space="preserve"> </w:t>
      </w:r>
    </w:p>
    <w:p>
      <w:pPr>
        <w:pStyle w:val="TextBody"/>
        <w:spacing w:lineRule="auto" w:line="273" w:before="324" w:after="0"/>
        <w:jc w:val="left"/>
        <w:rPr>
          <w:rFonts w:ascii="Times New Roman" w:hAnsi="Times New Roman"/>
          <w:b/>
          <w:sz w:val="18"/>
        </w:rPr>
      </w:pPr>
      <w:r>
        <w:rPr>
          <w:rFonts w:ascii="Times New Roman" w:hAnsi="Times New Roman"/>
          <w:b/>
          <w:sz w:val="18"/>
        </w:rPr>
        <w:t>ITEM 9C. Disclosure Regarding Foreign Jurisdictions that Prevent Inspections</w:t>
      </w:r>
    </w:p>
    <w:p>
      <w:pPr>
        <w:pStyle w:val="TextBody"/>
        <w:spacing w:lineRule="auto" w:line="273" w:before="108" w:after="0"/>
        <w:jc w:val="left"/>
        <w:rPr>
          <w:rFonts w:ascii="Times New Roman" w:hAnsi="Times New Roman"/>
          <w:sz w:val="20"/>
        </w:rPr>
      </w:pPr>
      <w:r>
        <w:rPr>
          <w:rFonts w:ascii="Times New Roman" w:hAnsi="Times New Roman"/>
          <w:b w:val="false"/>
          <w:sz w:val="18"/>
        </w:rPr>
        <w:t>Not applicable.</w:t>
      </w:r>
      <w:r>
        <w:rPr>
          <w:rFonts w:ascii="Times New Roman" w:hAnsi="Times New Roman"/>
          <w:sz w:val="20"/>
        </w:rPr>
        <w:t xml:space="preserve">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125</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210" w:after="0"/>
        <w:jc w:val="center"/>
        <w:rPr>
          <w:rFonts w:ascii="Times New Roman" w:hAnsi="Times New Roman"/>
          <w:b/>
          <w:sz w:val="18"/>
        </w:rPr>
      </w:pPr>
      <w:bookmarkStart w:id="30" w:name="part_iii"/>
      <w:bookmarkEnd w:id="30"/>
      <w:r>
        <w:rPr>
          <w:rFonts w:ascii="Times New Roman" w:hAnsi="Times New Roman"/>
          <w:b/>
          <w:sz w:val="18"/>
        </w:rPr>
        <w:t>PART III</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18"/>
        </w:rPr>
      </w:pPr>
      <w:bookmarkStart w:id="31" w:name="item_10"/>
      <w:bookmarkEnd w:id="31"/>
      <w:r>
        <w:rPr>
          <w:rFonts w:ascii="Times New Roman" w:hAnsi="Times New Roman"/>
          <w:b/>
          <w:sz w:val="18"/>
        </w:rPr>
        <w:t>ITEM 10. Directors, Executive Officers and Corporate Governance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Except to the extent provided below, the information required by this Item 10 will be included in our Proxy Statement to be filed with the SEC and is incorporated herein by reference.</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We have adopted a Code of Business Conduct and Ethics that applies to all officers, directors and employees, including our principal executive officer, principal financial officer, principal accounting officer or controller, or person performing similar functions. A current copy of the Code of Business Conduct and Ethics is available on the Corporate Governance section of our website at www.bioatla.com.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32" w:name="item_11"/>
      <w:bookmarkEnd w:id="32"/>
      <w:r>
        <w:rPr>
          <w:rFonts w:ascii="Times New Roman" w:hAnsi="Times New Roman"/>
          <w:b/>
          <w:sz w:val="18"/>
        </w:rPr>
        <w:t>ITEM 11. Executive Compensation</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information required by this Item 11 will be included in our Proxy Statement to be filed with the SEC and is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33" w:name="item_12"/>
      <w:bookmarkEnd w:id="33"/>
      <w:r>
        <w:rPr>
          <w:rFonts w:ascii="Times New Roman" w:hAnsi="Times New Roman"/>
          <w:b/>
          <w:sz w:val="18"/>
        </w:rPr>
        <w:t>ITEM 12. Security Ownership of Certain Beneficial Owners and Management and Related Stockholder Matters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information required by this Item 12 will be included in our Proxy Statement to be filed with the SEC and is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34" w:name="item_13"/>
      <w:bookmarkEnd w:id="34"/>
      <w:r>
        <w:rPr>
          <w:rFonts w:ascii="Times New Roman" w:hAnsi="Times New Roman"/>
          <w:b/>
          <w:sz w:val="18"/>
        </w:rPr>
        <w:t>ITEM 13. Certain Relationships and Related Party Transactions, and Director Independence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information required by this Item 13 will be included in our Proxy Statement to be filed with the SEC and is incorporated herein by reference.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bookmarkStart w:id="35" w:name="item_14"/>
      <w:bookmarkEnd w:id="35"/>
      <w:r>
        <w:rPr>
          <w:rFonts w:ascii="Times New Roman" w:hAnsi="Times New Roman"/>
          <w:b/>
          <w:sz w:val="18"/>
        </w:rPr>
        <w:t>ITEM 14. Principal Accountant Fees and Services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information required by this Item 14 will be included in our Proxy Statement to be filed with the SEC and is incorporated herein by reference.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126</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center"/>
        <w:rPr>
          <w:rFonts w:ascii="Times New Roman" w:hAnsi="Times New Roman"/>
          <w:b/>
          <w:sz w:val="18"/>
        </w:rPr>
      </w:pPr>
      <w:bookmarkStart w:id="36" w:name="part_iv"/>
      <w:bookmarkEnd w:id="36"/>
      <w:r>
        <w:rPr>
          <w:rFonts w:ascii="Times New Roman" w:hAnsi="Times New Roman"/>
          <w:b/>
          <w:sz w:val="18"/>
        </w:rPr>
        <w:t>PART IV</w:t>
      </w:r>
    </w:p>
    <w:p>
      <w:pPr>
        <w:pStyle w:val="TextBody"/>
        <w:spacing w:lineRule="auto" w:line="273" w:before="320" w:after="0"/>
        <w:jc w:val="left"/>
        <w:rPr>
          <w:rFonts w:ascii="Times New Roman" w:hAnsi="Times New Roman"/>
          <w:b/>
          <w:sz w:val="18"/>
        </w:rPr>
      </w:pPr>
      <w:bookmarkStart w:id="37" w:name="item_15_exhibits_and_financial"/>
      <w:bookmarkEnd w:id="37"/>
      <w:r>
        <w:rPr>
          <w:rFonts w:ascii="Times New Roman" w:hAnsi="Times New Roman"/>
          <w:b/>
          <w:sz w:val="18"/>
        </w:rPr>
        <w:t>ITEM 15. Exhibits and Financial Statement Schedules</w:t>
      </w:r>
    </w:p>
    <w:p>
      <w:pPr>
        <w:pStyle w:val="TextBody"/>
        <w:spacing w:lineRule="auto" w:line="273" w:before="108" w:after="0"/>
        <w:jc w:val="left"/>
        <w:rPr>
          <w:rFonts w:ascii="Times New Roman" w:hAnsi="Times New Roman"/>
          <w:b/>
          <w:sz w:val="18"/>
        </w:rPr>
      </w:pPr>
      <w:r>
        <w:rPr>
          <w:rFonts w:ascii="Times New Roman" w:hAnsi="Times New Roman"/>
          <w:b/>
          <w:sz w:val="18"/>
        </w:rPr>
        <w:t>(a) Documents files as part of this Annual Report on Form 10-K:</w:t>
      </w:r>
    </w:p>
    <w:p>
      <w:pPr>
        <w:pStyle w:val="TextBody"/>
        <w:spacing w:lineRule="auto" w:line="273" w:before="108" w:after="0"/>
        <w:jc w:val="left"/>
        <w:rPr>
          <w:rFonts w:ascii="Times New Roman" w:hAnsi="Times New Roman"/>
          <w:b/>
          <w:sz w:val="18"/>
        </w:rPr>
      </w:pPr>
      <w:r>
        <w:rPr>
          <w:rFonts w:ascii="Times New Roman" w:hAnsi="Times New Roman"/>
          <w:b/>
          <w:sz w:val="18"/>
        </w:rPr>
        <w:t>(1) Financial Statements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response to this portion of Item 15 is set forth under Item 8 hereof.</w:t>
      </w:r>
    </w:p>
    <w:p>
      <w:pPr>
        <w:pStyle w:val="TextBody"/>
        <w:spacing w:lineRule="auto" w:line="273" w:before="108" w:after="0"/>
        <w:jc w:val="left"/>
        <w:rPr>
          <w:rFonts w:ascii="Times New Roman" w:hAnsi="Times New Roman"/>
          <w:b/>
          <w:sz w:val="18"/>
        </w:rPr>
      </w:pPr>
      <w:r>
        <w:rPr>
          <w:rFonts w:ascii="Times New Roman" w:hAnsi="Times New Roman"/>
          <w:b/>
          <w:sz w:val="18"/>
        </w:rPr>
        <w:t>(2) Financial Statement Schedules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All financial statement schedules have been omitted because they are not applicable, not required, or the information required is shown in the consolidated financial statements or the notes thereto.</w:t>
      </w:r>
    </w:p>
    <w:p>
      <w:pPr>
        <w:pStyle w:val="TextBody"/>
        <w:spacing w:lineRule="auto" w:line="273" w:before="108" w:after="0"/>
        <w:jc w:val="left"/>
        <w:rPr>
          <w:rFonts w:ascii="Times New Roman" w:hAnsi="Times New Roman"/>
          <w:b/>
          <w:sz w:val="18"/>
        </w:rPr>
      </w:pPr>
      <w:r>
        <w:rPr>
          <w:rFonts w:ascii="Times New Roman" w:hAnsi="Times New Roman"/>
          <w:b/>
          <w:sz w:val="18"/>
        </w:rPr>
        <w:t>(3) Exhibits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spacing w:lineRule="auto" w:line="273" w:before="320" w:after="0"/>
        <w:jc w:val="left"/>
        <w:rPr>
          <w:rFonts w:ascii="Times New Roman" w:hAnsi="Times New Roman"/>
          <w:b/>
          <w:sz w:val="18"/>
        </w:rPr>
      </w:pPr>
      <w:bookmarkStart w:id="38" w:name="item_16_form_10_k_summary"/>
      <w:bookmarkEnd w:id="38"/>
      <w:r>
        <w:rPr>
          <w:rFonts w:ascii="Times New Roman" w:hAnsi="Times New Roman"/>
          <w:b/>
          <w:sz w:val="18"/>
        </w:rPr>
        <w:t>ITEM 16. Form 10-K Summary</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None.</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127</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left"/>
        <w:rPr>
          <w:rFonts w:ascii="Times New Roman" w:hAnsi="Times New Roman"/>
          <w:b/>
          <w:sz w:val="18"/>
        </w:rPr>
      </w:pPr>
      <w:r>
        <w:rPr>
          <w:rFonts w:ascii="Times New Roman" w:hAnsi="Times New Roman"/>
          <w:b/>
          <w:sz w:val="18"/>
        </w:rPr>
        <w:t>Exhibit Index</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597"/>
        <w:gridCol w:w="146"/>
        <w:gridCol w:w="5367"/>
        <w:gridCol w:w="146"/>
        <w:gridCol w:w="450"/>
        <w:gridCol w:w="146"/>
        <w:gridCol w:w="727"/>
        <w:gridCol w:w="146"/>
        <w:gridCol w:w="556"/>
        <w:gridCol w:w="146"/>
        <w:gridCol w:w="652"/>
        <w:gridCol w:w="146"/>
        <w:gridCol w:w="980"/>
      </w:tblGrid>
      <w:tr>
        <w:trPr/>
        <w:tc>
          <w:tcPr>
            <w:tcW w:w="5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r>
      <w:tr>
        <w:trPr/>
        <w:tc>
          <w:tcPr>
            <w:tcW w:w="5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w:t>
            </w:r>
          </w:p>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36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 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4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File No.</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w:t>
            </w:r>
          </w:p>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Filing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Filed/Furnished Herewith</w:t>
            </w:r>
          </w:p>
        </w:tc>
      </w:tr>
      <w:tr>
        <w:trPr/>
        <w:tc>
          <w:tcPr>
            <w:tcW w:w="597" w:type="dxa"/>
            <w:tcBorders/>
            <w:shd w:fill="auto" w:val="clear"/>
            <w:vAlign w:val="center"/>
          </w:tcPr>
          <w:p>
            <w:pPr>
              <w:pStyle w:val="TableContents"/>
              <w:spacing w:lineRule="auto" w:line="252" w:before="110" w:after="110"/>
              <w:ind w:left="0" w:right="0" w:hanging="0"/>
              <w:jc w:val="left"/>
              <w:rPr/>
            </w:pPr>
            <w:r>
              <w:rPr/>
              <w:t>  </w:t>
            </w:r>
            <w:r>
              <w:rPr>
                <w:rFonts w:ascii="Times New Roman" w:hAnsi="Times New Roman"/>
                <w:b w:val="false"/>
                <w:sz w:val="18"/>
              </w:rPr>
              <w:t>3.1</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5367" w:type="dxa"/>
            <w:tcBorders/>
            <w:shd w:fill="auto" w:val="clear"/>
            <w:vAlign w:val="center"/>
          </w:tcPr>
          <w:p>
            <w:pPr>
              <w:pStyle w:val="TableContents"/>
              <w:spacing w:lineRule="auto" w:line="252" w:before="110" w:after="110"/>
              <w:ind w:left="0" w:right="0" w:hanging="0"/>
              <w:jc w:val="left"/>
              <w:rPr/>
            </w:pPr>
            <w:hyperlink r:id="rId22">
              <w:r>
                <w:rPr>
                  <w:rStyle w:val="InternetLink"/>
                  <w:rFonts w:ascii="Times New Roman" w:hAnsi="Times New Roman"/>
                  <w:b w:val="false"/>
                  <w:sz w:val="18"/>
                  <w:u w:val="single"/>
                </w:rPr>
                <w:t>Amended and Restated Certificate of Incorporation of BioAtla, Inc.</w:t>
              </w:r>
            </w:hyperlink>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450" w:type="dxa"/>
            <w:tcBorders/>
            <w:shd w:fill="auto" w:val="clear"/>
            <w:vAlign w:val="center"/>
          </w:tcPr>
          <w:p>
            <w:pPr>
              <w:pStyle w:val="TableContents"/>
              <w:spacing w:lineRule="auto" w:line="252" w:before="110" w:after="110"/>
              <w:ind w:left="0" w:right="0" w:hanging="0"/>
              <w:jc w:val="left"/>
              <w:rPr>
                <w:rFonts w:ascii="Times New Roman" w:hAnsi="Times New Roman"/>
                <w:b w:val="false"/>
                <w:sz w:val="18"/>
              </w:rPr>
            </w:pPr>
            <w:r>
              <w:rPr>
                <w:rFonts w:ascii="Times New Roman" w:hAnsi="Times New Roman"/>
                <w:b w:val="false"/>
                <w:sz w:val="18"/>
              </w:rPr>
              <w:t>8-K</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727" w:type="dxa"/>
            <w:tcBorders/>
            <w:shd w:fill="auto" w:val="clear"/>
            <w:vAlign w:val="center"/>
          </w:tcPr>
          <w:p>
            <w:pPr>
              <w:pStyle w:val="TableContents"/>
              <w:spacing w:lineRule="auto" w:line="252" w:before="110" w:after="110"/>
              <w:ind w:left="0" w:right="0" w:hanging="0"/>
              <w:jc w:val="left"/>
              <w:rPr>
                <w:rFonts w:ascii="Times New Roman" w:hAnsi="Times New Roman"/>
                <w:b w:val="false"/>
                <w:sz w:val="18"/>
              </w:rPr>
            </w:pPr>
            <w:r>
              <w:rPr>
                <w:rFonts w:ascii="Times New Roman" w:hAnsi="Times New Roman"/>
                <w:b w:val="false"/>
                <w:sz w:val="18"/>
              </w:rPr>
              <w:t>001-39787</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556" w:type="dxa"/>
            <w:tcBorders/>
            <w:shd w:fill="auto" w:val="clear"/>
            <w:vAlign w:val="center"/>
          </w:tcPr>
          <w:p>
            <w:pPr>
              <w:pStyle w:val="TableContents"/>
              <w:spacing w:lineRule="auto" w:line="252" w:before="110" w:after="110"/>
              <w:ind w:left="0" w:right="0" w:hanging="0"/>
              <w:jc w:val="left"/>
              <w:rPr>
                <w:rFonts w:ascii="Times New Roman" w:hAnsi="Times New Roman"/>
                <w:b w:val="false"/>
                <w:sz w:val="18"/>
              </w:rPr>
            </w:pPr>
            <w:r>
              <w:rPr>
                <w:rFonts w:ascii="Times New Roman" w:hAnsi="Times New Roman"/>
                <w:b w:val="false"/>
                <w:sz w:val="18"/>
              </w:rPr>
              <w:t>3.1</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652" w:type="dxa"/>
            <w:tcBorders/>
            <w:shd w:fill="auto" w:val="clear"/>
            <w:vAlign w:val="center"/>
          </w:tcPr>
          <w:p>
            <w:pPr>
              <w:pStyle w:val="TableContents"/>
              <w:spacing w:lineRule="auto" w:line="252" w:before="110" w:after="110"/>
              <w:ind w:left="0" w:right="0" w:hanging="0"/>
              <w:jc w:val="left"/>
              <w:rPr>
                <w:rFonts w:ascii="Times New Roman" w:hAnsi="Times New Roman"/>
                <w:b w:val="false"/>
                <w:sz w:val="18"/>
              </w:rPr>
            </w:pPr>
            <w:r>
              <w:rPr>
                <w:rFonts w:ascii="Times New Roman" w:hAnsi="Times New Roman"/>
                <w:b w:val="false"/>
                <w:sz w:val="18"/>
              </w:rPr>
              <w:t>12-18-20</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980" w:type="dxa"/>
            <w:tcBorders/>
            <w:shd w:fill="auto" w:val="clear"/>
            <w:vAlign w:val="center"/>
          </w:tcPr>
          <w:p>
            <w:pPr>
              <w:pStyle w:val="TableContents"/>
              <w:spacing w:lineRule="auto" w:line="252" w:before="11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pPr>
            <w:r>
              <w:rPr/>
              <w:t>  </w:t>
            </w:r>
            <w:r>
              <w:rPr>
                <w:rFonts w:ascii="Times New Roman" w:hAnsi="Times New Roman"/>
                <w:b w:val="false"/>
                <w:sz w:val="18"/>
              </w:rPr>
              <w:t>3.2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23">
              <w:r>
                <w:rPr>
                  <w:rStyle w:val="InternetLink"/>
                  <w:rFonts w:ascii="Times New Roman" w:hAnsi="Times New Roman"/>
                  <w:b w:val="false"/>
                  <w:sz w:val="18"/>
                  <w:u w:val="single"/>
                </w:rPr>
                <w:t>Amended and Restated Bylaws of BioAtla, Inc.</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8-K</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001-39787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12-18-20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pPr>
            <w:r>
              <w:rPr/>
              <w:t>  </w:t>
            </w:r>
            <w:r>
              <w:rPr>
                <w:rFonts w:ascii="Times New Roman" w:hAnsi="Times New Roman"/>
                <w:b w:val="false"/>
                <w:sz w:val="18"/>
              </w:rPr>
              <w:t>4.1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24">
              <w:r>
                <w:rPr>
                  <w:rStyle w:val="InternetLink"/>
                  <w:rFonts w:ascii="Times New Roman" w:hAnsi="Times New Roman"/>
                  <w:b w:val="false"/>
                  <w:sz w:val="18"/>
                  <w:u w:val="single"/>
                </w:rPr>
                <w:t>Specimen Common Stock Certificate evidencing the shares of common stock</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4.1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pPr>
            <w:r>
              <w:rPr/>
              <w:t>  </w:t>
            </w:r>
            <w:r>
              <w:rPr>
                <w:rFonts w:ascii="Times New Roman" w:hAnsi="Times New Roman"/>
                <w:b w:val="false"/>
                <w:sz w:val="18"/>
              </w:rPr>
              <w:t>4.2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25">
              <w:r>
                <w:rPr>
                  <w:rStyle w:val="InternetLink"/>
                  <w:rFonts w:ascii="Times New Roman" w:hAnsi="Times New Roman"/>
                  <w:b w:val="false"/>
                  <w:sz w:val="18"/>
                  <w:u w:val="single"/>
                </w:rPr>
                <w:t>Investors’ Rights Agreement, dated July 13, 2020</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4.2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pPr>
            <w:r>
              <w:rPr/>
              <w:t>  </w:t>
            </w:r>
            <w:r>
              <w:rPr>
                <w:rFonts w:ascii="Times New Roman" w:hAnsi="Times New Roman"/>
                <w:b w:val="false"/>
                <w:sz w:val="18"/>
              </w:rPr>
              <w:t>4.3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w:anchor="bcab-ex4_3.htm">
              <w:r>
                <w:rPr>
                  <w:rStyle w:val="InternetLink"/>
                  <w:rFonts w:ascii="Times New Roman" w:hAnsi="Times New Roman"/>
                  <w:b w:val="false"/>
                  <w:sz w:val="18"/>
                  <w:u w:val="single"/>
                </w:rPr>
                <w:t>Description of Securities</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26">
              <w:r>
                <w:rPr>
                  <w:rStyle w:val="InternetLink"/>
                  <w:rFonts w:ascii="Times New Roman" w:hAnsi="Times New Roman"/>
                  <w:b w:val="false"/>
                  <w:sz w:val="18"/>
                  <w:u w:val="single"/>
                </w:rPr>
                <w:t>2020 Equity Incentive Plan</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27">
              <w:r>
                <w:rPr>
                  <w:rStyle w:val="InternetLink"/>
                  <w:rFonts w:ascii="Times New Roman" w:hAnsi="Times New Roman"/>
                  <w:b w:val="false"/>
                  <w:sz w:val="18"/>
                  <w:u w:val="single"/>
                </w:rPr>
                <w:t>Amendment No. 1 to 2020 Equity Incentive Plan</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S-8</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333-251520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99.2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12-18-20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28">
              <w:r>
                <w:rPr>
                  <w:rStyle w:val="InternetLink"/>
                  <w:rFonts w:ascii="Times New Roman" w:hAnsi="Times New Roman"/>
                  <w:b w:val="false"/>
                  <w:sz w:val="18"/>
                  <w:u w:val="single"/>
                </w:rPr>
                <w:t>Form of Restricted Stock Agreement</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10.4+</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29">
              <w:r>
                <w:rPr>
                  <w:rStyle w:val="InternetLink"/>
                  <w:rFonts w:ascii="Times New Roman" w:hAnsi="Times New Roman"/>
                  <w:b w:val="false"/>
                  <w:sz w:val="18"/>
                  <w:u w:val="single"/>
                </w:rPr>
                <w:t>2020 Employee Stock Purchase Plan</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10.5*</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0">
              <w:r>
                <w:rPr>
                  <w:rStyle w:val="InternetLink"/>
                  <w:rFonts w:ascii="Times New Roman" w:hAnsi="Times New Roman"/>
                  <w:b w:val="false"/>
                  <w:sz w:val="18"/>
                  <w:u w:val="single"/>
                </w:rPr>
                <w:t>Exclusive License Agreement with Himalaya SEZC, dated January 1, 2020</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10.4</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10.6*</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1">
              <w:r>
                <w:rPr>
                  <w:rStyle w:val="InternetLink"/>
                  <w:rFonts w:ascii="Times New Roman" w:hAnsi="Times New Roman"/>
                  <w:b w:val="false"/>
                  <w:sz w:val="18"/>
                  <w:u w:val="single"/>
                </w:rPr>
                <w:t>Exclusive License Agreement with Inversagen LLC, dated March 15, 2019, as amended by First Amendment to Exclusive License Agreement, dated July 7, 2020</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10.5</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2">
              <w:r>
                <w:rPr>
                  <w:rStyle w:val="InternetLink"/>
                  <w:rFonts w:ascii="Times New Roman" w:hAnsi="Times New Roman"/>
                  <w:b w:val="false"/>
                  <w:sz w:val="18"/>
                  <w:u w:val="single"/>
                </w:rPr>
                <w:t>Exclusive License Agreement with BioAtla Holdings LLC, dated January 1, 2020, as amended by First Amendment to Exclusive License agreement, dated July 7, 2020</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10.6</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10.8*</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3">
              <w:r>
                <w:rPr>
                  <w:rStyle w:val="InternetLink"/>
                  <w:rFonts w:ascii="Times New Roman" w:hAnsi="Times New Roman"/>
                  <w:b w:val="false"/>
                  <w:sz w:val="18"/>
                  <w:u w:val="single"/>
                </w:rPr>
                <w:t>Amended and Restated Exclusive License Agreement with EXUMA Biotech Corp. (formerly F1 Oncology, Inc.), dated November 22, 2019</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10.9*</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4">
              <w:r>
                <w:rPr>
                  <w:rStyle w:val="InternetLink"/>
                  <w:rFonts w:ascii="Times New Roman" w:hAnsi="Times New Roman"/>
                  <w:b w:val="false"/>
                  <w:sz w:val="18"/>
                  <w:u w:val="single"/>
                </w:rPr>
                <w:t>Global Co-Development and Collaboration Agreement with BeiGene, Ltd. and BeiGene Switzerland GmbH, dated April 8, 2019, as amended by First Amendment, dated December 24, 2019 and as amended by Second Amendment, October 5, 2020</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10.8</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5">
              <w:r>
                <w:rPr>
                  <w:rStyle w:val="InternetLink"/>
                  <w:rFonts w:ascii="Times New Roman" w:hAnsi="Times New Roman"/>
                  <w:b w:val="false"/>
                  <w:sz w:val="18"/>
                  <w:u w:val="single"/>
                </w:rPr>
                <w:t>Cell Line License Agreement with Life Technologies Corporation, dated June 28, 2018</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10.9</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6">
              <w:r>
                <w:rPr>
                  <w:rStyle w:val="InternetLink"/>
                  <w:rFonts w:ascii="Times New Roman" w:hAnsi="Times New Roman"/>
                  <w:b w:val="false"/>
                  <w:sz w:val="18"/>
                  <w:u w:val="single"/>
                </w:rPr>
                <w:t>Royalty Sharing Agreement with BioAtla Holdings, LLC, dated January 1, 2020</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7">
              <w:r>
                <w:rPr>
                  <w:rStyle w:val="InternetLink"/>
                  <w:rFonts w:ascii="Times New Roman" w:hAnsi="Times New Roman"/>
                  <w:b w:val="false"/>
                  <w:sz w:val="18"/>
                  <w:u w:val="single"/>
                </w:rPr>
                <w:t>Employment Letter Agreement between BioAtla, LLC and Jay Short, as amended by the Letter Amendment dated October 1, 2011</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8">
              <w:r>
                <w:rPr>
                  <w:rStyle w:val="InternetLink"/>
                  <w:rFonts w:ascii="Times New Roman" w:hAnsi="Times New Roman"/>
                  <w:b w:val="false"/>
                  <w:sz w:val="18"/>
                  <w:u w:val="single"/>
                </w:rPr>
                <w:t>Offer Letter between BioAtla, LLC and Carolyn Short, dated November 30, 2015</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10.14+</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39">
              <w:r>
                <w:rPr>
                  <w:rStyle w:val="InternetLink"/>
                  <w:rFonts w:ascii="Times New Roman" w:hAnsi="Times New Roman"/>
                  <w:b w:val="false"/>
                  <w:sz w:val="18"/>
                  <w:u w:val="single"/>
                </w:rPr>
                <w:t>Severance Agreement between BioAtla, LLC and Jay Short, dated July 1, 2018</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10.15+</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40">
              <w:r>
                <w:rPr>
                  <w:rStyle w:val="InternetLink"/>
                  <w:rFonts w:ascii="Times New Roman" w:hAnsi="Times New Roman"/>
                  <w:b w:val="false"/>
                  <w:sz w:val="18"/>
                  <w:u w:val="single"/>
                </w:rPr>
                <w:t>Offer Letter between BioAtla, LLC and Scott Smith, dated August 2, 2018</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10.14</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10.16+</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41">
              <w:r>
                <w:rPr>
                  <w:rStyle w:val="InternetLink"/>
                  <w:rFonts w:ascii="Times New Roman" w:hAnsi="Times New Roman"/>
                  <w:b w:val="false"/>
                  <w:sz w:val="18"/>
                  <w:u w:val="single"/>
                </w:rPr>
                <w:t>Letter Agreement between BioAtla, LLC and Scott Smith, dated August 3, 2018</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10.15</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42">
              <w:r>
                <w:rPr>
                  <w:rStyle w:val="InternetLink"/>
                  <w:rFonts w:ascii="Times New Roman" w:hAnsi="Times New Roman"/>
                  <w:b w:val="false"/>
                  <w:sz w:val="18"/>
                  <w:u w:val="single"/>
                </w:rPr>
                <w:t>Severance Agreement between BioAtla, LLC and Scott Smith, dated August 20, 2018</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10.16</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10.18+</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r:id="rId43">
              <w:r>
                <w:rPr>
                  <w:rStyle w:val="InternetLink"/>
                  <w:rFonts w:ascii="Times New Roman" w:hAnsi="Times New Roman"/>
                  <w:b w:val="false"/>
                  <w:sz w:val="18"/>
                  <w:u w:val="single"/>
                </w:rPr>
                <w:t>Severance Agreement between BioAtla, LLC and Carolyn Short, as amended by the Amended Severance Agreement between BioAtla, LLC and Carolyn Short, dated April 1, 2020</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pPr>
            <w:r>
              <w:rPr/>
              <w:t> </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10.19+</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w:anchor="bcab-ex10_19.htm">
              <w:r>
                <w:rPr>
                  <w:rStyle w:val="InternetLink"/>
                  <w:rFonts w:ascii="Times New Roman" w:hAnsi="Times New Roman"/>
                  <w:b w:val="false"/>
                  <w:sz w:val="18"/>
                  <w:u w:val="single"/>
                </w:rPr>
                <w:t>Offer Letter between BioAtla, LLC and Richard Waldron, dated October 23, 2013</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59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367" w:type="dxa"/>
            <w:tcBorders/>
            <w:shd w:fill="auto" w:val="clear"/>
            <w:vAlign w:val="center"/>
          </w:tcPr>
          <w:p>
            <w:pPr>
              <w:pStyle w:val="TableContents"/>
              <w:spacing w:lineRule="auto" w:line="252" w:before="0" w:after="110"/>
              <w:ind w:left="0" w:right="0" w:hanging="0"/>
              <w:jc w:val="left"/>
              <w:rPr/>
            </w:pPr>
            <w:hyperlink w:anchor="bcab-ex10_20.htm">
              <w:r>
                <w:rPr>
                  <w:rStyle w:val="InternetLink"/>
                  <w:rFonts w:ascii="Times New Roman" w:hAnsi="Times New Roman"/>
                  <w:b w:val="false"/>
                  <w:sz w:val="18"/>
                  <w:u w:val="single"/>
                </w:rPr>
                <w:t>Severance Agreement between BioAtla, LLC and Richard Waldron, dated July 1, 2018</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50"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27"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52"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980"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bl>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128</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tbl>
      <w:tblPr>
        <w:tblW w:w="10205" w:type="dxa"/>
        <w:jc w:val="left"/>
        <w:tblInd w:w="0" w:type="dxa"/>
        <w:tblCellMar>
          <w:top w:w="28" w:type="dxa"/>
          <w:left w:w="28" w:type="dxa"/>
          <w:bottom w:w="28" w:type="dxa"/>
          <w:right w:w="28" w:type="dxa"/>
        </w:tblCellMar>
      </w:tblPr>
      <w:tblGrid>
        <w:gridCol w:w="657"/>
        <w:gridCol w:w="146"/>
        <w:gridCol w:w="5145"/>
        <w:gridCol w:w="146"/>
        <w:gridCol w:w="461"/>
        <w:gridCol w:w="146"/>
        <w:gridCol w:w="758"/>
        <w:gridCol w:w="146"/>
        <w:gridCol w:w="556"/>
        <w:gridCol w:w="146"/>
        <w:gridCol w:w="688"/>
        <w:gridCol w:w="146"/>
        <w:gridCol w:w="1064"/>
      </w:tblGrid>
      <w:tr>
        <w:trPr/>
        <w:tc>
          <w:tcPr>
            <w:tcW w:w="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r>
      <w:tr>
        <w:trPr/>
        <w:tc>
          <w:tcPr>
            <w:tcW w:w="6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w:t>
            </w:r>
          </w:p>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110"/>
              <w:ind w:left="0" w:right="0" w:hanging="0"/>
              <w:jc w:val="center"/>
              <w:rPr/>
            </w:pPr>
            <w:r>
              <w:rPr/>
              <w:t> </w:t>
            </w:r>
          </w:p>
        </w:tc>
        <w:tc>
          <w:tcPr>
            <w:tcW w:w="514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 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110"/>
              <w:ind w:left="0" w:right="0" w:hanging="0"/>
              <w:jc w:val="center"/>
              <w:rPr/>
            </w:pPr>
            <w:r>
              <w:rPr/>
              <w:t> </w:t>
            </w:r>
          </w:p>
        </w:tc>
        <w:tc>
          <w:tcPr>
            <w:tcW w:w="4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Form</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110"/>
              <w:ind w:left="0" w:right="0" w:hanging="0"/>
              <w:jc w:val="center"/>
              <w:rPr/>
            </w:pPr>
            <w:r>
              <w:rPr/>
              <w:t> </w:t>
            </w:r>
          </w:p>
        </w:tc>
        <w:tc>
          <w:tcPr>
            <w:tcW w:w="75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File No.</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110"/>
              <w:ind w:left="0" w:right="0" w:hanging="0"/>
              <w:jc w:val="center"/>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110"/>
              <w:ind w:left="0" w:right="0" w:hanging="0"/>
              <w:jc w:val="center"/>
              <w:rPr/>
            </w:pPr>
            <w:r>
              <w:rPr/>
              <w:t> </w:t>
            </w:r>
          </w:p>
        </w:tc>
        <w:tc>
          <w:tcPr>
            <w:tcW w:w="6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Exhibit</w:t>
            </w:r>
          </w:p>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Filing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110"/>
              <w:ind w:left="0" w:right="0" w:hanging="0"/>
              <w:jc w:val="center"/>
              <w:rPr/>
            </w:pPr>
            <w:r>
              <w:rPr/>
              <w:t> </w:t>
            </w:r>
          </w:p>
        </w:tc>
        <w:tc>
          <w:tcPr>
            <w:tcW w:w="10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Filed/Furnished Herewith</w:t>
            </w:r>
          </w:p>
        </w:tc>
      </w:tr>
      <w:tr>
        <w:trPr/>
        <w:tc>
          <w:tcPr>
            <w:tcW w:w="657" w:type="dxa"/>
            <w:tcBorders/>
            <w:shd w:fill="auto" w:val="clear"/>
            <w:vAlign w:val="center"/>
          </w:tcPr>
          <w:p>
            <w:pPr>
              <w:pStyle w:val="TableContents"/>
              <w:spacing w:lineRule="auto" w:line="252" w:before="110" w:after="110"/>
              <w:ind w:left="0" w:right="0" w:hanging="0"/>
              <w:jc w:val="left"/>
              <w:rPr>
                <w:rFonts w:ascii="Times New Roman" w:hAnsi="Times New Roman"/>
                <w:b w:val="false"/>
                <w:sz w:val="18"/>
              </w:rPr>
            </w:pPr>
            <w:r>
              <w:rPr>
                <w:rFonts w:ascii="Times New Roman" w:hAnsi="Times New Roman"/>
                <w:b w:val="false"/>
                <w:sz w:val="18"/>
              </w:rPr>
              <w:t>10.21+</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5145" w:type="dxa"/>
            <w:tcBorders/>
            <w:shd w:fill="auto" w:val="clear"/>
            <w:vAlign w:val="center"/>
          </w:tcPr>
          <w:p>
            <w:pPr>
              <w:pStyle w:val="TableContents"/>
              <w:spacing w:lineRule="auto" w:line="252" w:before="110" w:after="110"/>
              <w:ind w:left="0" w:right="0" w:hanging="0"/>
              <w:jc w:val="left"/>
              <w:rPr/>
            </w:pPr>
            <w:hyperlink w:anchor="bcab-ex10_21.htm">
              <w:r>
                <w:rPr>
                  <w:rStyle w:val="InternetLink"/>
                  <w:rFonts w:ascii="Times New Roman" w:hAnsi="Times New Roman"/>
                  <w:b w:val="false"/>
                  <w:sz w:val="18"/>
                  <w:u w:val="single"/>
                </w:rPr>
                <w:t>Offer Letter between BioAtla, LLC and Eric Sievers, dated June 17, 2019</w:t>
              </w:r>
            </w:hyperlink>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461" w:type="dxa"/>
            <w:tcBorders/>
            <w:shd w:fill="auto" w:val="clear"/>
            <w:vAlign w:val="center"/>
          </w:tcPr>
          <w:p>
            <w:pPr>
              <w:pStyle w:val="TableContents"/>
              <w:spacing w:lineRule="auto" w:line="252" w:before="110" w:after="110"/>
              <w:ind w:left="0" w:right="0" w:hanging="0"/>
              <w:jc w:val="left"/>
              <w:rPr/>
            </w:pPr>
            <w:r>
              <w:rPr/>
              <w:t> </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758" w:type="dxa"/>
            <w:tcBorders/>
            <w:shd w:fill="auto" w:val="clear"/>
            <w:vAlign w:val="center"/>
          </w:tcPr>
          <w:p>
            <w:pPr>
              <w:pStyle w:val="TableContents"/>
              <w:spacing w:lineRule="auto" w:line="252" w:before="110" w:after="110"/>
              <w:ind w:left="0" w:right="0" w:hanging="0"/>
              <w:jc w:val="left"/>
              <w:rPr/>
            </w:pPr>
            <w:r>
              <w:rPr/>
              <w:t> </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556" w:type="dxa"/>
            <w:tcBorders/>
            <w:shd w:fill="auto" w:val="clear"/>
            <w:vAlign w:val="center"/>
          </w:tcPr>
          <w:p>
            <w:pPr>
              <w:pStyle w:val="TableContents"/>
              <w:spacing w:lineRule="auto" w:line="252" w:before="110" w:after="110"/>
              <w:ind w:left="0" w:right="0" w:hanging="0"/>
              <w:jc w:val="left"/>
              <w:rPr/>
            </w:pPr>
            <w:r>
              <w:rPr/>
              <w:t> </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688" w:type="dxa"/>
            <w:tcBorders/>
            <w:shd w:fill="auto" w:val="clear"/>
            <w:vAlign w:val="center"/>
          </w:tcPr>
          <w:p>
            <w:pPr>
              <w:pStyle w:val="TableContents"/>
              <w:spacing w:lineRule="auto" w:line="252" w:before="110" w:after="110"/>
              <w:ind w:left="0" w:right="0" w:hanging="0"/>
              <w:jc w:val="left"/>
              <w:rPr/>
            </w:pPr>
            <w:r>
              <w:rPr/>
              <w:t> </w:t>
            </w:r>
          </w:p>
        </w:tc>
        <w:tc>
          <w:tcPr>
            <w:tcW w:w="146" w:type="dxa"/>
            <w:tcBorders/>
            <w:shd w:fill="auto" w:val="clear"/>
            <w:vAlign w:val="center"/>
          </w:tcPr>
          <w:p>
            <w:pPr>
              <w:pStyle w:val="TableContents"/>
              <w:spacing w:lineRule="auto" w:line="252" w:before="110" w:after="110"/>
              <w:ind w:left="0" w:right="0" w:hanging="0"/>
              <w:jc w:val="left"/>
              <w:rPr/>
            </w:pPr>
            <w:r>
              <w:rPr/>
              <w:t> </w:t>
            </w:r>
          </w:p>
        </w:tc>
        <w:tc>
          <w:tcPr>
            <w:tcW w:w="1064" w:type="dxa"/>
            <w:tcBorders/>
            <w:shd w:fill="auto" w:val="clear"/>
            <w:vAlign w:val="center"/>
          </w:tcPr>
          <w:p>
            <w:pPr>
              <w:pStyle w:val="TableContents"/>
              <w:spacing w:lineRule="auto" w:line="252" w:before="11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10_22.htm">
              <w:r>
                <w:rPr>
                  <w:rStyle w:val="InternetLink"/>
                  <w:rFonts w:ascii="Times New Roman" w:hAnsi="Times New Roman"/>
                  <w:b w:val="false"/>
                  <w:sz w:val="18"/>
                  <w:u w:val="single"/>
                </w:rPr>
                <w:t>Offer Letter between BioAtla, LLC and Christian Vasquez, dated October 22, 2015</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r:id="rId44">
              <w:r>
                <w:rPr>
                  <w:rStyle w:val="InternetLink"/>
                  <w:rFonts w:ascii="Times New Roman" w:hAnsi="Times New Roman"/>
                  <w:b w:val="false"/>
                  <w:sz w:val="18"/>
                  <w:u w:val="single"/>
                </w:rPr>
                <w:t>Form of Indemnification Agreement between the Registrant and each of its executive officers</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10.18</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pPr>
            <w:r>
              <w:rPr/>
              <w:t> </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10.24</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r:id="rId45">
              <w:r>
                <w:rPr>
                  <w:rStyle w:val="InternetLink"/>
                  <w:rFonts w:ascii="Times New Roman" w:hAnsi="Times New Roman"/>
                  <w:b w:val="false"/>
                  <w:sz w:val="18"/>
                  <w:u w:val="single"/>
                </w:rPr>
                <w:t>Lease Agreement with HCP Torreyana, LLC, dated June 2, 2017, as amended by First Amendment to Lease, dated January 16, 2019</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10.19</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12-08-20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pPr>
            <w:r>
              <w:rPr/>
              <w:t> </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10.25</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r:id="rId46">
              <w:r>
                <w:rPr>
                  <w:rStyle w:val="InternetLink"/>
                  <w:rFonts w:ascii="Times New Roman" w:hAnsi="Times New Roman"/>
                  <w:b w:val="false"/>
                  <w:sz w:val="18"/>
                  <w:u w:val="single"/>
                </w:rPr>
                <w:t>Payment Protection Program Promissory Note dated April 22, 2020, by and between BioAtla, LLC and City National Bank.</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333-250093</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11-13-2020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pPr>
            <w:r>
              <w:rPr/>
              <w:t> </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10.26</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10_26.htm">
              <w:r>
                <w:rPr>
                  <w:rStyle w:val="InternetLink"/>
                  <w:rFonts w:ascii="Times New Roman" w:hAnsi="Times New Roman"/>
                  <w:b w:val="false"/>
                  <w:sz w:val="18"/>
                  <w:u w:val="single"/>
                </w:rPr>
                <w:t>Amendment No. 2 to 2020 Equity Incentive Plan</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10_27.htm">
              <w:r>
                <w:rPr>
                  <w:rStyle w:val="InternetLink"/>
                  <w:rFonts w:ascii="Times New Roman" w:hAnsi="Times New Roman"/>
                  <w:b w:val="false"/>
                  <w:sz w:val="18"/>
                  <w:u w:val="single"/>
                </w:rPr>
                <w:t>Amendment No. 1 to Employee Share Purchase Plan</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10.28*</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10_28.htm">
              <w:r>
                <w:rPr>
                  <w:rStyle w:val="InternetLink"/>
                  <w:rFonts w:ascii="Times New Roman" w:hAnsi="Times New Roman"/>
                  <w:b w:val="false"/>
                  <w:sz w:val="18"/>
                  <w:u w:val="single"/>
                </w:rPr>
                <w:t>Amendment No. 3 to Global Co-Development and Collaboration Agreement between BioAtla, Inc. and BeiGene, Ltd</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10.29+</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r:id="rId47">
              <w:r>
                <w:rPr>
                  <w:rStyle w:val="InternetLink"/>
                  <w:rFonts w:ascii="Times New Roman" w:hAnsi="Times New Roman"/>
                  <w:b w:val="false"/>
                  <w:sz w:val="18"/>
                  <w:u w:val="single"/>
                </w:rPr>
                <w:t>Form of Non-Employee Director Stock Option Agreement</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10-Q</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001-39787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11-15-2021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pPr>
            <w:r>
              <w:rPr/>
              <w:t> </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10.30+</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r:id="rId48">
              <w:r>
                <w:rPr>
                  <w:rStyle w:val="InternetLink"/>
                  <w:rFonts w:ascii="Times New Roman" w:hAnsi="Times New Roman"/>
                  <w:b w:val="false"/>
                  <w:sz w:val="18"/>
                  <w:u w:val="single"/>
                </w:rPr>
                <w:t>Form of Employee Stock Option Agreement</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10-Q</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001-39787</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11-15-2021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pPr>
            <w:r>
              <w:rPr/>
              <w:t> </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10.31+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10_31.htm">
              <w:r>
                <w:rPr>
                  <w:rStyle w:val="InternetLink"/>
                  <w:rFonts w:ascii="Times New Roman" w:hAnsi="Times New Roman"/>
                  <w:b w:val="false"/>
                  <w:sz w:val="18"/>
                  <w:u w:val="single"/>
                </w:rPr>
                <w:t>BioAtla Director Compensation Policy</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23.1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23_1.htm">
              <w:r>
                <w:rPr>
                  <w:rStyle w:val="InternetLink"/>
                  <w:rFonts w:ascii="Times New Roman" w:hAnsi="Times New Roman"/>
                  <w:b w:val="false"/>
                  <w:sz w:val="18"/>
                  <w:u w:val="single"/>
                </w:rPr>
                <w:t>Consent of Independent Registered Public Accounting Firm</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24.1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signatures">
              <w:r>
                <w:rPr>
                  <w:rStyle w:val="InternetLink"/>
                  <w:rFonts w:ascii="Times New Roman" w:hAnsi="Times New Roman"/>
                  <w:b w:val="false"/>
                  <w:sz w:val="18"/>
                  <w:u w:val="single"/>
                </w:rPr>
                <w:t>Power of Attorney (included on signature page)</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31.1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31_1.htm">
              <w:r>
                <w:rPr>
                  <w:rStyle w:val="InternetLink"/>
                  <w:rFonts w:ascii="Times New Roman" w:hAnsi="Times New Roman"/>
                  <w:b w:val="false"/>
                  <w:sz w:val="18"/>
                  <w:u w:val="single"/>
                </w:rPr>
                <w:t>Certification of Chief Executive Officer pursuant to Rule 13a-14(a) and 15d-14(a), as adopted pursuant to Section 302 of the Sarbanes-Oxley Act of 2002.</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31.2</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31_2.htm">
              <w:r>
                <w:rPr>
                  <w:rStyle w:val="InternetLink"/>
                  <w:rFonts w:ascii="Times New Roman" w:hAnsi="Times New Roman"/>
                  <w:b w:val="false"/>
                  <w:sz w:val="18"/>
                  <w:u w:val="single"/>
                </w:rPr>
                <w:t>Certification of Chief Financial Officer pursuant to Rule 13a-14(a) and 15d-14(a), as adopted pursuant to Section 302 of the Sarbanes-Oxley Act of 2002.</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32.1</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pPr>
            <w:hyperlink w:anchor="bcab-ex32_1.htm">
              <w:r>
                <w:rPr>
                  <w:rStyle w:val="InternetLink"/>
                  <w:rFonts w:ascii="Times New Roman" w:hAnsi="Times New Roman"/>
                  <w:b w:val="false"/>
                  <w:sz w:val="18"/>
                  <w:u w:val="single"/>
                </w:rPr>
                <w:t>Certification of Chief Executive Officer and Chief Financial Officer pursuant to 18.U.S.C. Section 1350, as adopted pursuant to Section 906 of the Sarbanes Oxley Act of 2002.</w:t>
              </w:r>
            </w:hyperlink>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101.INS</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rFonts w:ascii="Times New Roman" w:hAnsi="Times New Roman"/>
                <w:sz w:val="18"/>
              </w:rPr>
            </w:pPr>
            <w:r>
              <w:rPr>
                <w:rFonts w:ascii="Times New Roman" w:hAnsi="Times New Roman"/>
                <w:b w:val="false"/>
                <w:sz w:val="18"/>
              </w:rPr>
              <w:t>Inline XBRL Instance Document - the instance document does not appear in the Interactive Data File because its XBRL tags are embedded within the Inline XBRL document.</w:t>
            </w:r>
            <w:r>
              <w:rPr>
                <w:rFonts w:ascii="Times New Roman" w:hAnsi="Times New Roman"/>
                <w:sz w:val="18"/>
              </w:rPr>
              <w:t xml:space="preserve">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101.SCH</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Inline XBRL Taxonomy Extension Schema Document</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101.CAL</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Inline XBRL Taxonomy Extension Calculation Linkbase Document</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101.DEF</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Inline XBRL Taxonomy Extension Definition Linkbase Document</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101.LAB</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Inline XBRL Taxonomy Extension Label Linkbase Document</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101.PRE</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145" w:type="dxa"/>
            <w:tcBorders/>
            <w:shd w:fill="auto" w:val="clear"/>
            <w:vAlign w:val="center"/>
          </w:tcPr>
          <w:p>
            <w:pPr>
              <w:pStyle w:val="TableContents"/>
              <w:spacing w:lineRule="auto" w:line="252" w:before="0" w:after="110"/>
              <w:ind w:left="0" w:right="0" w:hanging="0"/>
              <w:jc w:val="left"/>
              <w:rPr>
                <w:rFonts w:ascii="Times New Roman" w:hAnsi="Times New Roman"/>
                <w:b w:val="false"/>
                <w:sz w:val="18"/>
              </w:rPr>
            </w:pPr>
            <w:r>
              <w:rPr>
                <w:rFonts w:ascii="Times New Roman" w:hAnsi="Times New Roman"/>
                <w:b w:val="false"/>
                <w:sz w:val="18"/>
              </w:rPr>
              <w:t>Inline XBRL Taxonomy Extension Presentation Linkbase Document</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461"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75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556"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688" w:type="dxa"/>
            <w:tcBorders/>
            <w:shd w:fill="auto" w:val="clear"/>
            <w:vAlign w:val="center"/>
          </w:tcPr>
          <w:p>
            <w:pPr>
              <w:pStyle w:val="TableContents"/>
              <w:spacing w:lineRule="auto" w:line="252" w:before="0" w:after="110"/>
              <w:ind w:left="0" w:right="0" w:hanging="0"/>
              <w:jc w:val="left"/>
              <w:rPr/>
            </w:pPr>
            <w:r>
              <w:rPr/>
              <w:t> </w:t>
            </w:r>
          </w:p>
        </w:tc>
        <w:tc>
          <w:tcPr>
            <w:tcW w:w="146" w:type="dxa"/>
            <w:tcBorders/>
            <w:shd w:fill="auto" w:val="clear"/>
            <w:vAlign w:val="center"/>
          </w:tcPr>
          <w:p>
            <w:pPr>
              <w:pStyle w:val="TableContents"/>
              <w:spacing w:lineRule="auto" w:line="252" w:before="0" w:after="110"/>
              <w:ind w:left="0" w:right="0" w:hanging="0"/>
              <w:jc w:val="left"/>
              <w:rPr/>
            </w:pPr>
            <w:r>
              <w:rPr/>
              <w:t> </w:t>
            </w:r>
          </w:p>
        </w:tc>
        <w:tc>
          <w:tcPr>
            <w:tcW w:w="1064" w:type="dxa"/>
            <w:tcBorders/>
            <w:shd w:fill="auto" w:val="clear"/>
            <w:vAlign w:val="center"/>
          </w:tcPr>
          <w:p>
            <w:pPr>
              <w:pStyle w:val="TableContents"/>
              <w:spacing w:lineRule="auto" w:line="252" w:before="0" w:after="110"/>
              <w:ind w:left="0" w:right="0" w:hanging="0"/>
              <w:jc w:val="right"/>
              <w:rPr>
                <w:rFonts w:ascii="Times New Roman" w:hAnsi="Times New Roman"/>
                <w:b w:val="false"/>
                <w:sz w:val="18"/>
              </w:rPr>
            </w:pPr>
            <w:r>
              <w:rPr>
                <w:rFonts w:ascii="Times New Roman" w:hAnsi="Times New Roman"/>
                <w:b w:val="false"/>
                <w:sz w:val="18"/>
              </w:rPr>
              <w:t>X</w:t>
            </w:r>
          </w:p>
        </w:tc>
      </w:tr>
      <w:tr>
        <w:trPr/>
        <w:tc>
          <w:tcPr>
            <w:tcW w:w="657"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104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45"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Cover Page Interactive Data File (formatted in iXBRL and contained in Exhibit 101)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58"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88"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4" w:type="dxa"/>
            <w:tcBorders/>
            <w:shd w:fill="auto" w:val="clear"/>
            <w:vAlign w:val="center"/>
          </w:tcPr>
          <w:p>
            <w:pPr>
              <w:pStyle w:val="TableContents"/>
              <w:spacing w:lineRule="auto" w:line="252" w:before="0" w:after="0"/>
              <w:ind w:left="0" w:right="0" w:hanging="0"/>
              <w:jc w:val="right"/>
              <w:rPr>
                <w:rFonts w:ascii="Times New Roman" w:hAnsi="Times New Roman"/>
                <w:b w:val="false"/>
                <w:sz w:val="18"/>
              </w:rPr>
            </w:pPr>
            <w:r>
              <w:rPr>
                <w:rFonts w:ascii="Times New Roman" w:hAnsi="Times New Roman"/>
                <w:b w:val="false"/>
                <w:sz w:val="18"/>
              </w:rPr>
              <w:t>X</w:t>
            </w:r>
          </w:p>
        </w:tc>
      </w:tr>
    </w:tbl>
    <w:p>
      <w:pPr>
        <w:pStyle w:val="TextBody"/>
        <w:spacing w:lineRule="auto" w:line="273" w:before="0" w:after="0"/>
        <w:jc w:val="left"/>
        <w:rPr/>
      </w:pPr>
      <w:r>
        <w:rPr/>
        <w:t> </w:t>
      </w:r>
    </w:p>
    <w:tbl>
      <w:tblPr>
        <w:tblW w:w="7607" w:type="dxa"/>
        <w:jc w:val="left"/>
        <w:tblInd w:w="0" w:type="dxa"/>
        <w:tblCellMar>
          <w:top w:w="28" w:type="dxa"/>
          <w:left w:w="28" w:type="dxa"/>
          <w:bottom w:w="28" w:type="dxa"/>
          <w:right w:w="28" w:type="dxa"/>
        </w:tblCellMar>
      </w:tblPr>
      <w:tblGrid>
        <w:gridCol w:w="256"/>
        <w:gridCol w:w="7351"/>
      </w:tblGrid>
      <w:tr>
        <w:trPr/>
        <w:tc>
          <w:tcPr>
            <w:tcW w:w="256" w:type="dxa"/>
            <w:tcBorders/>
            <w:shd w:fill="auto" w:val="clear"/>
            <w:vAlign w:val="center"/>
          </w:tcPr>
          <w:p>
            <w:pPr>
              <w:pStyle w:val="TableContents"/>
              <w:spacing w:before="0" w:after="283"/>
              <w:rPr>
                <w:sz w:val="4"/>
                <w:szCs w:val="4"/>
              </w:rPr>
            </w:pPr>
            <w:r>
              <w:rPr>
                <w:sz w:val="4"/>
                <w:szCs w:val="4"/>
              </w:rPr>
            </w:r>
          </w:p>
        </w:tc>
        <w:tc>
          <w:tcPr>
            <w:tcW w:w="7351" w:type="dxa"/>
            <w:tcBorders/>
            <w:shd w:fill="auto" w:val="clear"/>
            <w:vAlign w:val="center"/>
          </w:tcPr>
          <w:p>
            <w:pPr>
              <w:pStyle w:val="TableContents"/>
              <w:spacing w:before="0" w:after="283"/>
              <w:rPr>
                <w:sz w:val="4"/>
                <w:szCs w:val="4"/>
              </w:rPr>
            </w:pPr>
            <w:r>
              <w:rPr>
                <w:sz w:val="4"/>
                <w:szCs w:val="4"/>
              </w:rPr>
            </w:r>
          </w:p>
        </w:tc>
      </w:tr>
      <w:tr>
        <w:trPr/>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3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Furnished and not filed.</w:t>
            </w:r>
          </w:p>
        </w:tc>
      </w:tr>
      <w:tr>
        <w:trPr/>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3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Indicates management contract or compensatory plan.</w:t>
            </w:r>
          </w:p>
        </w:tc>
      </w:tr>
      <w:tr>
        <w:trPr/>
        <w:tc>
          <w:tcPr>
            <w:tcW w:w="25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w:t>
            </w:r>
          </w:p>
        </w:tc>
        <w:tc>
          <w:tcPr>
            <w:tcW w:w="735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Portions of this exhibit have been redacted in accordance with Item 601(b)(10)(iv) of Regulation S-K.</w:t>
            </w:r>
          </w:p>
        </w:tc>
      </w:tr>
    </w:tbl>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129</w:t>
      </w:r>
    </w:p>
    <w:p>
      <w:pPr>
        <w:pStyle w:val="HorizontalLine"/>
        <w:rPr/>
      </w:pPr>
      <w:r>
        <w:rPr/>
      </w:r>
    </w:p>
    <w:p>
      <w:pPr>
        <w:pStyle w:val="TextBody"/>
        <w:spacing w:lineRule="auto" w:line="273" w:before="0" w:after="180"/>
        <w:jc w:val="left"/>
        <w:rPr/>
      </w:pPr>
      <w:hyperlink w:anchor="toc">
        <w:r>
          <w:rPr>
            <w:rStyle w:val="InternetLink"/>
            <w:rFonts w:ascii="Times New Roman" w:hAnsi="Times New Roman"/>
            <w:b/>
            <w:sz w:val="18"/>
            <w:u w:val="single"/>
          </w:rPr>
          <w:t>Table of Contents</w:t>
        </w:r>
      </w:hyperlink>
    </w:p>
    <w:p>
      <w:pPr>
        <w:pStyle w:val="TextBody"/>
        <w:spacing w:lineRule="auto" w:line="273" w:before="0" w:after="0"/>
        <w:jc w:val="center"/>
        <w:rPr>
          <w:rFonts w:ascii="Times New Roman" w:hAnsi="Times New Roman"/>
          <w:b/>
          <w:sz w:val="18"/>
        </w:rPr>
      </w:pPr>
      <w:bookmarkStart w:id="39" w:name="signatures"/>
      <w:bookmarkEnd w:id="39"/>
      <w:r>
        <w:rPr>
          <w:rFonts w:ascii="Times New Roman" w:hAnsi="Times New Roman"/>
          <w:b/>
          <w:sz w:val="18"/>
        </w:rPr>
        <w:t>SIGNATURES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Pursuant to the requirements of Section 13 or 15(d) of the Securities Exchange Act of 1934, the Registrant has duly caused this report to be signed on its behalf by the undersigned, thereunto duly authorized.</w:t>
      </w:r>
    </w:p>
    <w:p>
      <w:pPr>
        <w:pStyle w:val="TextBody"/>
        <w:spacing w:lineRule="auto" w:line="273" w:before="0" w:after="0"/>
        <w:jc w:val="left"/>
        <w:rPr/>
      </w:pPr>
      <w:r>
        <w:rPr/>
        <w:t> </w:t>
      </w:r>
    </w:p>
    <w:tbl>
      <w:tblPr>
        <w:tblW w:w="5237" w:type="dxa"/>
        <w:jc w:val="left"/>
        <w:tblInd w:w="0" w:type="dxa"/>
        <w:tblCellMar>
          <w:top w:w="28" w:type="dxa"/>
          <w:left w:w="28" w:type="dxa"/>
          <w:bottom w:w="28" w:type="dxa"/>
          <w:right w:w="28" w:type="dxa"/>
        </w:tblCellMar>
      </w:tblPr>
      <w:tblGrid>
        <w:gridCol w:w="1861"/>
        <w:gridCol w:w="146"/>
        <w:gridCol w:w="146"/>
        <w:gridCol w:w="146"/>
        <w:gridCol w:w="361"/>
        <w:gridCol w:w="146"/>
        <w:gridCol w:w="243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3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2431" w:type="dxa"/>
            <w:tcBorders/>
            <w:shd w:fill="auto" w:val="clear"/>
            <w:vAlign w:val="center"/>
          </w:tcPr>
          <w:p>
            <w:pPr>
              <w:pStyle w:val="TableContents"/>
              <w:spacing w:lineRule="atLeast" w:line="141" w:before="0" w:after="0"/>
              <w:ind w:left="0" w:right="0" w:hanging="0"/>
              <w:jc w:val="left"/>
              <w:rPr/>
            </w:pPr>
            <w:r>
              <w:rPr/>
              <w:t> </w:t>
            </w:r>
          </w:p>
        </w:tc>
      </w:tr>
      <w:tr>
        <w:trPr/>
        <w:tc>
          <w:tcPr>
            <w:tcW w:w="18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38" w:type="dxa"/>
            <w:gridSpan w:val="3"/>
            <w:tcBorders/>
            <w:shd w:fill="auto" w:val="clear"/>
            <w:vAlign w:val="center"/>
          </w:tcPr>
          <w:p>
            <w:pPr>
              <w:pStyle w:val="TableContents"/>
              <w:spacing w:lineRule="auto" w:line="252" w:before="0" w:after="0"/>
              <w:ind w:left="0" w:right="0" w:hanging="0"/>
              <w:jc w:val="left"/>
              <w:rPr>
                <w:rFonts w:ascii="Times New Roman" w:hAnsi="Times New Roman"/>
                <w:b/>
                <w:sz w:val="18"/>
              </w:rPr>
            </w:pPr>
            <w:r>
              <w:rPr>
                <w:rFonts w:ascii="Times New Roman" w:hAnsi="Times New Roman"/>
                <w:b/>
                <w:sz w:val="18"/>
              </w:rPr>
              <w:t>BioAtla, Inc.</w:t>
            </w:r>
          </w:p>
        </w:tc>
      </w:tr>
      <w:tr>
        <w:trPr/>
        <w:tc>
          <w:tcPr>
            <w:tcW w:w="1861" w:type="dxa"/>
            <w:tcBorders/>
            <w:shd w:fill="auto" w:val="clear"/>
            <w:vAlign w:val="center"/>
          </w:tcPr>
          <w:p>
            <w:pPr>
              <w:pStyle w:val="TableContents"/>
              <w:spacing w:lineRule="atLeast" w:line="216" w:before="0" w:after="0"/>
              <w:ind w:left="0" w:right="0" w:hanging="0"/>
              <w:jc w:val="left"/>
              <w:rPr/>
            </w:pPr>
            <w:r>
              <w:rPr/>
              <w:t> </w:t>
            </w:r>
          </w:p>
        </w:tc>
        <w:tc>
          <w:tcPr>
            <w:tcW w:w="292" w:type="dxa"/>
            <w:gridSpan w:val="2"/>
            <w:tcBorders/>
            <w:shd w:fill="auto" w:val="clear"/>
            <w:vAlign w:val="center"/>
          </w:tcPr>
          <w:p>
            <w:pPr>
              <w:pStyle w:val="TableContents"/>
              <w:spacing w:lineRule="atLeast" w:line="216" w:before="0" w:after="0"/>
              <w:ind w:left="0" w:right="0" w:hanging="0"/>
              <w:jc w:val="left"/>
              <w:rPr/>
            </w:pPr>
            <w:r>
              <w:rPr/>
              <w:t> </w:t>
            </w:r>
          </w:p>
        </w:tc>
        <w:tc>
          <w:tcPr>
            <w:tcW w:w="507" w:type="dxa"/>
            <w:gridSpan w:val="2"/>
            <w:tcBorders/>
            <w:shd w:fill="auto" w:val="clear"/>
            <w:vAlign w:val="center"/>
          </w:tcPr>
          <w:p>
            <w:pPr>
              <w:pStyle w:val="TableContents"/>
              <w:spacing w:lineRule="atLeast" w:line="216" w:before="0" w:after="0"/>
              <w:ind w:left="0" w:right="0" w:hanging="0"/>
              <w:jc w:val="left"/>
              <w:rPr/>
            </w:pPr>
            <w:r>
              <w:rPr/>
              <w:t> </w:t>
            </w:r>
          </w:p>
        </w:tc>
        <w:tc>
          <w:tcPr>
            <w:tcW w:w="257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8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Date: February 28,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By:</w:t>
            </w:r>
          </w:p>
        </w:tc>
        <w:tc>
          <w:tcPr>
            <w:tcW w:w="146" w:type="dxa"/>
            <w:tcBorders>
              <w:bottom w:val="single" w:sz="5"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431" w:type="dxa"/>
            <w:tcBorders>
              <w:bottom w:val="single" w:sz="5"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 Jay M. Short, Ph.D.</w:t>
            </w:r>
          </w:p>
        </w:tc>
      </w:tr>
      <w:tr>
        <w:trPr/>
        <w:tc>
          <w:tcPr>
            <w:tcW w:w="18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Jay M. Short, Ph.D.</w:t>
            </w:r>
          </w:p>
        </w:tc>
      </w:tr>
      <w:tr>
        <w:trPr/>
        <w:tc>
          <w:tcPr>
            <w:tcW w:w="18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3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Chief Executive Officer</w:t>
            </w:r>
          </w:p>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(Principal Executive Officer and</w:t>
            </w:r>
          </w:p>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Authorized Signatory)</w:t>
            </w:r>
          </w:p>
        </w:tc>
      </w:tr>
    </w:tbl>
    <w:p>
      <w:pPr>
        <w:pStyle w:val="TextBody"/>
        <w:spacing w:lineRule="auto" w:line="273" w:before="198" w:after="0"/>
        <w:jc w:val="left"/>
        <w:rPr>
          <w:rFonts w:ascii="Times New Roman" w:hAnsi="Times New Roman"/>
          <w:b w:val="false"/>
          <w:sz w:val="18"/>
        </w:rPr>
      </w:pPr>
      <w:r>
        <w:rPr>
          <w:rFonts w:ascii="Times New Roman" w:hAnsi="Times New Roman"/>
          <w:b w:val="false"/>
          <w:sz w:val="18"/>
        </w:rPr>
        <w:t>KNOW ALL PERSONS BY THESE PRESENTS, that each person whose signature appears below constitutes and appoints Jay M. Short, Ph.D. and Richard A. Waldron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pStyle w:val="TextBody"/>
        <w:spacing w:lineRule="auto" w:line="273" w:before="198" w:after="0"/>
        <w:jc w:val="left"/>
        <w:rPr>
          <w:rFonts w:ascii="Times New Roman" w:hAnsi="Times New Roman"/>
          <w:b w:val="false"/>
          <w:sz w:val="18"/>
        </w:rPr>
      </w:pPr>
      <w:r>
        <w:rPr>
          <w:rFonts w:ascii="Times New Roman" w:hAnsi="Times New Roman"/>
          <w:b w:val="false"/>
          <w:sz w:val="18"/>
        </w:rPr>
        <w:t>Pursuant to the requirements of the Securities Exchange Act of 1934, this Annual Report on Form 10-K has been signed below by the following persons on behalf of the registrant and in the capacities and on the dates indicated.</w:t>
      </w:r>
    </w:p>
    <w:p>
      <w:pPr>
        <w:pStyle w:val="TextBody"/>
        <w:spacing w:lineRule="auto" w:line="273" w:before="0" w:after="0"/>
        <w:jc w:val="left"/>
        <w:rPr/>
      </w:pPr>
      <w:r>
        <w:rPr/>
        <w:t> </w:t>
      </w:r>
    </w:p>
    <w:tbl>
      <w:tblPr>
        <w:tblW w:w="7060" w:type="dxa"/>
        <w:jc w:val="left"/>
        <w:tblInd w:w="0" w:type="dxa"/>
        <w:tblCellMar>
          <w:top w:w="28" w:type="dxa"/>
          <w:left w:w="28" w:type="dxa"/>
          <w:bottom w:w="28" w:type="dxa"/>
          <w:right w:w="28" w:type="dxa"/>
        </w:tblCellMar>
      </w:tblPr>
      <w:tblGrid>
        <w:gridCol w:w="1996"/>
        <w:gridCol w:w="146"/>
        <w:gridCol w:w="3301"/>
        <w:gridCol w:w="146"/>
        <w:gridCol w:w="1471"/>
      </w:tblGrid>
      <w:tr>
        <w:trPr/>
        <w:tc>
          <w:tcPr>
            <w:tcW w:w="19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r>
      <w:tr>
        <w:trPr/>
        <w:tc>
          <w:tcPr>
            <w:tcW w:w="1996"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3301" w:type="dxa"/>
            <w:tcBorders/>
            <w:shd w:fill="auto" w:val="clear"/>
            <w:vAlign w:val="center"/>
          </w:tcPr>
          <w:p>
            <w:pPr>
              <w:pStyle w:val="TableContents"/>
              <w:spacing w:lineRule="atLeast" w:line="141" w:before="0" w:after="0"/>
              <w:ind w:left="0" w:right="0" w:hanging="0"/>
              <w:jc w:val="left"/>
              <w:rPr/>
            </w:pPr>
            <w:r>
              <w:rPr/>
              <w:t> </w:t>
            </w:r>
          </w:p>
        </w:tc>
        <w:tc>
          <w:tcPr>
            <w:tcW w:w="146" w:type="dxa"/>
            <w:tcBorders/>
            <w:shd w:fill="auto" w:val="clear"/>
            <w:vAlign w:val="center"/>
          </w:tcPr>
          <w:p>
            <w:pPr>
              <w:pStyle w:val="TableContents"/>
              <w:spacing w:lineRule="atLeast" w:line="141" w:before="0" w:after="0"/>
              <w:ind w:left="0" w:right="0" w:hanging="0"/>
              <w:jc w:val="left"/>
              <w:rPr/>
            </w:pPr>
            <w:r>
              <w:rPr/>
              <w:t> </w:t>
            </w:r>
          </w:p>
        </w:tc>
        <w:tc>
          <w:tcPr>
            <w:tcW w:w="1471" w:type="dxa"/>
            <w:tcBorders/>
            <w:shd w:fill="auto" w:val="clear"/>
            <w:vAlign w:val="center"/>
          </w:tcPr>
          <w:p>
            <w:pPr>
              <w:pStyle w:val="TableContents"/>
              <w:spacing w:lineRule="atLeast" w:line="141" w:before="0" w:after="0"/>
              <w:ind w:left="0" w:right="0" w:hanging="0"/>
              <w:jc w:val="left"/>
              <w:rPr/>
            </w:pPr>
            <w:r>
              <w:rPr/>
              <w:t> </w:t>
            </w:r>
          </w:p>
        </w:tc>
      </w:tr>
      <w:tr>
        <w:trPr/>
        <w:tc>
          <w:tcPr>
            <w:tcW w:w="1996"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SIGNATURE</w:t>
            </w:r>
          </w:p>
        </w:tc>
        <w:tc>
          <w:tcPr>
            <w:tcW w:w="146"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301"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TITLE</w:t>
            </w:r>
          </w:p>
        </w:tc>
        <w:tc>
          <w:tcPr>
            <w:tcW w:w="146"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71" w:type="dxa"/>
            <w:tcBorders>
              <w:bottom w:val="single" w:sz="7"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DATE</w:t>
            </w:r>
          </w:p>
        </w:tc>
      </w:tr>
      <w:tr>
        <w:trPr/>
        <w:tc>
          <w:tcPr>
            <w:tcW w:w="1996" w:type="dxa"/>
            <w:tcBorders/>
            <w:shd w:fill="auto" w:val="clear"/>
            <w:vAlign w:val="center"/>
          </w:tcPr>
          <w:p>
            <w:pPr>
              <w:pStyle w:val="TableContents"/>
              <w:spacing w:lineRule="atLeast" w:line="216" w:before="0" w:after="0"/>
              <w:ind w:left="0" w:right="0" w:hanging="0"/>
              <w:jc w:val="left"/>
              <w:rPr/>
            </w:pPr>
            <w:r>
              <w:rPr/>
              <w:t> </w:t>
            </w:r>
          </w:p>
        </w:tc>
        <w:tc>
          <w:tcPr>
            <w:tcW w:w="3447" w:type="dxa"/>
            <w:gridSpan w:val="2"/>
            <w:tcBorders/>
            <w:shd w:fill="auto" w:val="clear"/>
            <w:vAlign w:val="center"/>
          </w:tcPr>
          <w:p>
            <w:pPr>
              <w:pStyle w:val="TableContents"/>
              <w:spacing w:lineRule="atLeast" w:line="216" w:before="0" w:after="0"/>
              <w:ind w:left="0" w:right="0" w:hanging="0"/>
              <w:jc w:val="left"/>
              <w:rPr/>
            </w:pPr>
            <w:r>
              <w:rPr/>
              <w:t> </w:t>
            </w:r>
          </w:p>
        </w:tc>
        <w:tc>
          <w:tcPr>
            <w:tcW w:w="161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Jay M. Short, Ph.D.</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Jay M. Short, Ph.D.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Chief Executive Officer and Director</w:t>
            </w:r>
          </w:p>
          <w:p>
            <w:pPr>
              <w:pStyle w:val="TableContents"/>
              <w:spacing w:lineRule="auto" w:line="252" w:before="0" w:after="0"/>
              <w:ind w:left="0" w:right="0" w:hanging="0"/>
              <w:jc w:val="left"/>
              <w:rPr>
                <w:rFonts w:ascii="Times New Roman" w:hAnsi="Times New Roman"/>
                <w:b w:val="false"/>
                <w:i/>
                <w:sz w:val="18"/>
              </w:rPr>
            </w:pPr>
            <w:r>
              <w:rPr>
                <w:rFonts w:ascii="Times New Roman" w:hAnsi="Times New Roman"/>
                <w:b w:val="false"/>
                <w:i/>
                <w:sz w:val="18"/>
              </w:rPr>
              <w:t>(Principal Executive Officer)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tLeast" w:line="216" w:before="0" w:after="0"/>
              <w:ind w:left="0" w:right="0" w:hanging="0"/>
              <w:jc w:val="left"/>
              <w:rPr/>
            </w:pPr>
            <w:r>
              <w:rPr/>
              <w:t> </w:t>
            </w:r>
          </w:p>
        </w:tc>
        <w:tc>
          <w:tcPr>
            <w:tcW w:w="3447" w:type="dxa"/>
            <w:gridSpan w:val="2"/>
            <w:tcBorders/>
            <w:shd w:fill="auto" w:val="clear"/>
            <w:vAlign w:val="center"/>
          </w:tcPr>
          <w:p>
            <w:pPr>
              <w:pStyle w:val="TableContents"/>
              <w:spacing w:lineRule="atLeast" w:line="216" w:before="0" w:after="0"/>
              <w:ind w:left="0" w:right="0" w:hanging="0"/>
              <w:jc w:val="left"/>
              <w:rPr/>
            </w:pPr>
            <w:r>
              <w:rPr/>
              <w:t> </w:t>
            </w:r>
          </w:p>
        </w:tc>
        <w:tc>
          <w:tcPr>
            <w:tcW w:w="161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Richard A. Waldron</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Richard A. Waldron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Chief Financial Officer</w:t>
            </w:r>
          </w:p>
          <w:p>
            <w:pPr>
              <w:pStyle w:val="TableContents"/>
              <w:spacing w:lineRule="auto" w:line="252" w:before="0" w:after="0"/>
              <w:ind w:left="0" w:right="0" w:hanging="0"/>
              <w:jc w:val="left"/>
              <w:rPr>
                <w:rFonts w:ascii="Times New Roman" w:hAnsi="Times New Roman"/>
                <w:b w:val="false"/>
                <w:i/>
                <w:sz w:val="18"/>
              </w:rPr>
            </w:pPr>
            <w:r>
              <w:rPr>
                <w:rFonts w:ascii="Times New Roman" w:hAnsi="Times New Roman"/>
                <w:b w:val="false"/>
                <w:i/>
                <w:sz w:val="18"/>
              </w:rPr>
              <w:t>(Principal Financial and Accounting Officer)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tLeast" w:line="216" w:before="0" w:after="0"/>
              <w:ind w:left="0" w:right="0" w:hanging="0"/>
              <w:jc w:val="left"/>
              <w:rPr/>
            </w:pPr>
            <w:r>
              <w:rPr/>
              <w:t> </w:t>
            </w:r>
          </w:p>
        </w:tc>
        <w:tc>
          <w:tcPr>
            <w:tcW w:w="3447" w:type="dxa"/>
            <w:gridSpan w:val="2"/>
            <w:tcBorders/>
            <w:shd w:fill="auto" w:val="clear"/>
            <w:vAlign w:val="center"/>
          </w:tcPr>
          <w:p>
            <w:pPr>
              <w:pStyle w:val="TableContents"/>
              <w:spacing w:lineRule="atLeast" w:line="216" w:before="0" w:after="0"/>
              <w:ind w:left="0" w:right="0" w:hanging="0"/>
              <w:jc w:val="left"/>
              <w:rPr/>
            </w:pPr>
            <w:r>
              <w:rPr/>
              <w:t> </w:t>
            </w:r>
          </w:p>
        </w:tc>
        <w:tc>
          <w:tcPr>
            <w:tcW w:w="161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Scott Smith</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Scott Smith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President and 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tLeast" w:line="216" w:before="0" w:after="0"/>
              <w:ind w:left="0" w:right="0" w:hanging="0"/>
              <w:jc w:val="left"/>
              <w:rPr/>
            </w:pPr>
            <w:r>
              <w:rPr/>
              <w:t> </w:t>
            </w:r>
          </w:p>
        </w:tc>
        <w:tc>
          <w:tcPr>
            <w:tcW w:w="3447" w:type="dxa"/>
            <w:gridSpan w:val="2"/>
            <w:tcBorders/>
            <w:shd w:fill="auto" w:val="clear"/>
            <w:vAlign w:val="center"/>
          </w:tcPr>
          <w:p>
            <w:pPr>
              <w:pStyle w:val="TableContents"/>
              <w:spacing w:lineRule="atLeast" w:line="216" w:before="0" w:after="0"/>
              <w:ind w:left="0" w:right="0" w:hanging="0"/>
              <w:jc w:val="left"/>
              <w:rPr/>
            </w:pPr>
            <w:r>
              <w:rPr/>
              <w:t> </w:t>
            </w:r>
          </w:p>
        </w:tc>
        <w:tc>
          <w:tcPr>
            <w:tcW w:w="161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Guy Levy</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Guy Levy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tLeast" w:line="216" w:before="0" w:after="0"/>
              <w:ind w:left="0" w:right="0" w:hanging="0"/>
              <w:jc w:val="left"/>
              <w:rPr/>
            </w:pPr>
            <w:r>
              <w:rPr/>
              <w:t> </w:t>
            </w:r>
          </w:p>
        </w:tc>
        <w:tc>
          <w:tcPr>
            <w:tcW w:w="3447" w:type="dxa"/>
            <w:gridSpan w:val="2"/>
            <w:tcBorders/>
            <w:shd w:fill="auto" w:val="clear"/>
            <w:vAlign w:val="center"/>
          </w:tcPr>
          <w:p>
            <w:pPr>
              <w:pStyle w:val="TableContents"/>
              <w:spacing w:lineRule="atLeast" w:line="216" w:before="0" w:after="0"/>
              <w:ind w:left="0" w:right="0" w:hanging="0"/>
              <w:jc w:val="left"/>
              <w:rPr/>
            </w:pPr>
            <w:r>
              <w:rPr/>
              <w:t> </w:t>
            </w:r>
          </w:p>
        </w:tc>
        <w:tc>
          <w:tcPr>
            <w:tcW w:w="161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Lawrence Steinman</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Lawrence Steinman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tLeast" w:line="216" w:before="0" w:after="0"/>
              <w:ind w:left="0" w:right="0" w:hanging="0"/>
              <w:jc w:val="left"/>
              <w:rPr/>
            </w:pPr>
            <w:r>
              <w:rPr/>
              <w:t> </w:t>
            </w:r>
          </w:p>
        </w:tc>
        <w:tc>
          <w:tcPr>
            <w:tcW w:w="3447" w:type="dxa"/>
            <w:gridSpan w:val="2"/>
            <w:tcBorders/>
            <w:shd w:fill="auto" w:val="clear"/>
            <w:vAlign w:val="center"/>
          </w:tcPr>
          <w:p>
            <w:pPr>
              <w:pStyle w:val="TableContents"/>
              <w:spacing w:lineRule="atLeast" w:line="216" w:before="0" w:after="0"/>
              <w:ind w:left="0" w:right="0" w:hanging="0"/>
              <w:jc w:val="left"/>
              <w:rPr/>
            </w:pPr>
            <w:r>
              <w:rPr/>
              <w:t> </w:t>
            </w:r>
          </w:p>
        </w:tc>
        <w:tc>
          <w:tcPr>
            <w:tcW w:w="161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Mary Ann Gray, Ph.D.</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Mary Ann Gray, Ph.D.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tLeast" w:line="216" w:before="0" w:after="0"/>
              <w:ind w:left="0" w:right="0" w:hanging="0"/>
              <w:jc w:val="left"/>
              <w:rPr/>
            </w:pPr>
            <w:r>
              <w:rPr/>
              <w:t> </w:t>
            </w:r>
          </w:p>
        </w:tc>
        <w:tc>
          <w:tcPr>
            <w:tcW w:w="3447" w:type="dxa"/>
            <w:gridSpan w:val="2"/>
            <w:tcBorders/>
            <w:shd w:fill="auto" w:val="clear"/>
            <w:vAlign w:val="center"/>
          </w:tcPr>
          <w:p>
            <w:pPr>
              <w:pStyle w:val="TableContents"/>
              <w:spacing w:lineRule="atLeast" w:line="216" w:before="0" w:after="0"/>
              <w:ind w:left="0" w:right="0" w:hanging="0"/>
              <w:jc w:val="left"/>
              <w:rPr/>
            </w:pPr>
            <w:r>
              <w:rPr/>
              <w:t> </w:t>
            </w:r>
          </w:p>
        </w:tc>
        <w:tc>
          <w:tcPr>
            <w:tcW w:w="1617" w:type="dxa"/>
            <w:gridSpan w:val="2"/>
            <w:tcBorders/>
            <w:shd w:fill="auto" w:val="clear"/>
            <w:vAlign w:val="center"/>
          </w:tcPr>
          <w:p>
            <w:pPr>
              <w:pStyle w:val="TableContents"/>
              <w:spacing w:lineRule="atLeast" w:line="216" w:before="0" w:after="0"/>
              <w:ind w:left="0" w:right="0" w:hanging="0"/>
              <w:jc w:val="left"/>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Susan Moran, M.D.</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Susan Moran, M.D.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Sylvia McBrinn</w:t>
            </w:r>
          </w:p>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Sylvia McBrinn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tcBorders/>
            <w:shd w:fill="auto" w:val="clear"/>
            <w:vAlign w:val="center"/>
          </w:tcPr>
          <w:p>
            <w:pPr>
              <w:pStyle w:val="TableContents"/>
              <w:spacing w:lineRule="auto" w:line="252" w:before="0" w:after="0"/>
              <w:ind w:left="0" w:right="0" w:hanging="0"/>
              <w:jc w:val="center"/>
              <w:rPr/>
            </w:pPr>
            <w:r>
              <w:rPr/>
              <w:t> </w:t>
            </w:r>
          </w:p>
        </w:tc>
      </w:tr>
      <w:tr>
        <w:trPr/>
        <w:tc>
          <w:tcPr>
            <w:tcW w:w="1996" w:type="dxa"/>
            <w:tcBorders/>
            <w:shd w:fill="auto" w:val="clear"/>
            <w:vAlign w:val="center"/>
          </w:tcPr>
          <w:p>
            <w:pPr>
              <w:pStyle w:val="TableContents"/>
              <w:pBdr>
                <w:bottom w:val="single" w:sz="5" w:space="1" w:color="000000"/>
              </w:pBdr>
              <w:spacing w:lineRule="auto" w:line="252" w:before="0" w:after="0"/>
              <w:ind w:left="0" w:right="0" w:hanging="0"/>
              <w:jc w:val="center"/>
              <w:rPr>
                <w:rFonts w:ascii="Times New Roman" w:hAnsi="Times New Roman"/>
                <w:b w:val="false"/>
                <w:sz w:val="18"/>
              </w:rPr>
            </w:pPr>
            <w:r>
              <w:rPr>
                <w:rFonts w:ascii="Times New Roman" w:hAnsi="Times New Roman"/>
                <w:b w:val="false"/>
                <w:sz w:val="18"/>
              </w:rPr>
              <w:t>/s/ Edward Williams</w:t>
            </w:r>
          </w:p>
        </w:tc>
        <w:tc>
          <w:tcPr>
            <w:tcW w:w="146" w:type="dxa"/>
            <w:vMerge w:val="restart"/>
            <w:tcBorders/>
            <w:shd w:fill="auto" w:val="clear"/>
            <w:vAlign w:val="center"/>
          </w:tcPr>
          <w:p>
            <w:pPr>
              <w:pStyle w:val="TableContents"/>
              <w:spacing w:lineRule="auto" w:line="252" w:before="0" w:after="0"/>
              <w:ind w:left="0" w:right="0" w:hanging="0"/>
              <w:jc w:val="left"/>
              <w:rPr/>
            </w:pPr>
            <w:r>
              <w:rPr/>
              <w:t> </w:t>
            </w:r>
          </w:p>
        </w:tc>
        <w:tc>
          <w:tcPr>
            <w:tcW w:w="3301" w:type="dxa"/>
            <w:vMerge w:val="restart"/>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Director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vMerge w:val="restart"/>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February 28, 2022</w:t>
            </w:r>
          </w:p>
        </w:tc>
      </w:tr>
      <w:tr>
        <w:trPr/>
        <w:tc>
          <w:tcPr>
            <w:tcW w:w="1996" w:type="dxa"/>
            <w:tcBorders/>
            <w:shd w:fill="auto" w:val="clear"/>
            <w:vAlign w:val="center"/>
          </w:tcPr>
          <w:p>
            <w:pPr>
              <w:pStyle w:val="TableContents"/>
              <w:spacing w:lineRule="auto" w:line="252" w:before="13" w:after="0"/>
              <w:ind w:left="0" w:right="0" w:hanging="0"/>
              <w:jc w:val="center"/>
              <w:rPr>
                <w:rFonts w:ascii="Times New Roman" w:hAnsi="Times New Roman"/>
                <w:b w:val="false"/>
                <w:sz w:val="18"/>
              </w:rPr>
            </w:pPr>
            <w:r>
              <w:rPr>
                <w:rFonts w:ascii="Times New Roman" w:hAnsi="Times New Roman"/>
                <w:b w:val="false"/>
                <w:sz w:val="18"/>
              </w:rPr>
              <w:t>Edward Williams</w:t>
            </w:r>
          </w:p>
        </w:tc>
        <w:tc>
          <w:tcPr>
            <w:tcW w:w="146" w:type="dxa"/>
            <w:vMerge w:val="continue"/>
            <w:tcBorders/>
            <w:shd w:fill="auto" w:val="clear"/>
            <w:vAlign w:val="center"/>
          </w:tcPr>
          <w:p>
            <w:pPr>
              <w:pStyle w:val="Normal"/>
              <w:rPr/>
            </w:pPr>
            <w:r>
              <w:rPr/>
            </w:r>
          </w:p>
        </w:tc>
        <w:tc>
          <w:tcPr>
            <w:tcW w:w="3301" w:type="dxa"/>
            <w:vMerge w:val="continue"/>
            <w:tcBorders/>
            <w:shd w:fill="auto" w:val="clear"/>
            <w:vAlign w:val="center"/>
          </w:tcPr>
          <w:p>
            <w:pPr>
              <w:pStyle w:val="Normal"/>
              <w:rPr/>
            </w:pPr>
            <w:r>
              <w:rPr/>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71" w:type="dxa"/>
            <w:vMerge w:val="continue"/>
            <w:tcBorders/>
            <w:shd w:fill="auto" w:val="clear"/>
            <w:vAlign w:val="center"/>
          </w:tcPr>
          <w:p>
            <w:pPr>
              <w:pStyle w:val="Normal"/>
              <w:rPr/>
            </w:pPr>
            <w:r>
              <w:rPr/>
            </w:r>
          </w:p>
        </w:tc>
      </w:tr>
    </w:tbl>
    <w:p>
      <w:pPr>
        <w:pStyle w:val="TextBody"/>
        <w:spacing w:lineRule="auto" w:line="273" w:before="0" w:after="0"/>
        <w:jc w:val="left"/>
        <w:rPr/>
      </w:pPr>
      <w:r>
        <w:rPr/>
        <w:t> </w:t>
      </w:r>
    </w:p>
    <w:p>
      <w:pPr>
        <w:pStyle w:val="TextBody"/>
        <w:spacing w:lineRule="auto" w:line="273" w:before="180" w:after="0"/>
        <w:jc w:val="center"/>
        <w:rPr>
          <w:rFonts w:ascii="Times New Roman" w:hAnsi="Times New Roman"/>
          <w:b w:val="false"/>
          <w:sz w:val="18"/>
        </w:rPr>
      </w:pPr>
      <w:r>
        <w:rPr>
          <w:rFonts w:ascii="Times New Roman" w:hAnsi="Times New Roman"/>
          <w:b w:val="false"/>
          <w:sz w:val="18"/>
        </w:rPr>
        <w:t>130</w:t>
      </w:r>
    </w:p>
    <w:p>
      <w:pPr>
        <w:pStyle w:val="HorizontalLine"/>
        <w:rPr/>
      </w:pPr>
      <w:r>
        <w:rPr/>
      </w:r>
      <w:r>
        <w:br w:type="page"/>
      </w:r>
    </w:p>
    <w:p>
      <w:pPr>
        <w:pStyle w:val="TextBody"/>
        <w:spacing w:lineRule="auto" w:line="273" w:before="0" w:after="0"/>
        <w:jc w:val="left"/>
        <w:rPr/>
      </w:pPr>
      <w:bookmarkStart w:id="40" w:name="bcab-ex4_3.htm"/>
      <w:bookmarkStart w:id="41" w:name="ksbcabex4_3"/>
      <w:bookmarkEnd w:id="40"/>
      <w:bookmarkEnd w:id="41"/>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4.3</w:t>
      </w:r>
    </w:p>
    <w:p>
      <w:pPr>
        <w:pStyle w:val="TextBody"/>
        <w:spacing w:lineRule="auto" w:line="273" w:before="216" w:after="0"/>
        <w:jc w:val="center"/>
        <w:rPr>
          <w:rFonts w:ascii="Times New Roman" w:hAnsi="Times New Roman"/>
          <w:b/>
          <w:sz w:val="20"/>
        </w:rPr>
      </w:pPr>
      <w:r>
        <w:rPr>
          <w:rFonts w:ascii="Times New Roman" w:hAnsi="Times New Roman"/>
          <w:b/>
          <w:sz w:val="20"/>
        </w:rPr>
        <w:t>DESCRIPTION OF THE REGISTRANT’S SECURITIES</w:t>
      </w:r>
    </w:p>
    <w:p>
      <w:pPr>
        <w:pStyle w:val="TextBody"/>
        <w:spacing w:lineRule="auto" w:line="273" w:before="0" w:after="0"/>
        <w:jc w:val="center"/>
        <w:rPr>
          <w:rFonts w:ascii="Times New Roman" w:hAnsi="Times New Roman"/>
          <w:b/>
          <w:sz w:val="20"/>
        </w:rPr>
      </w:pPr>
      <w:r>
        <w:rPr>
          <w:rFonts w:ascii="Times New Roman" w:hAnsi="Times New Roman"/>
          <w:b/>
          <w:sz w:val="20"/>
        </w:rPr>
        <w:t>REGISTERED PURSUANT TO SECTION 12 OF THE SECURITIES</w:t>
      </w:r>
    </w:p>
    <w:p>
      <w:pPr>
        <w:pStyle w:val="TextBody"/>
        <w:spacing w:lineRule="auto" w:line="273" w:before="0" w:after="0"/>
        <w:jc w:val="center"/>
        <w:rPr>
          <w:rFonts w:ascii="Times New Roman" w:hAnsi="Times New Roman"/>
          <w:b/>
          <w:sz w:val="20"/>
        </w:rPr>
      </w:pPr>
      <w:r>
        <w:rPr>
          <w:rFonts w:ascii="Times New Roman" w:hAnsi="Times New Roman"/>
          <w:b/>
          <w:sz w:val="20"/>
        </w:rPr>
        <w:t>EXCHANGE ACT OF 1934</w:t>
      </w:r>
    </w:p>
    <w:p>
      <w:pPr>
        <w:pStyle w:val="TextBody"/>
        <w:spacing w:lineRule="auto" w:line="273" w:before="216" w:after="0"/>
        <w:jc w:val="left"/>
        <w:rPr>
          <w:rFonts w:ascii="Times New Roman" w:hAnsi="Times New Roman"/>
          <w:b w:val="false"/>
          <w:i/>
          <w:sz w:val="20"/>
        </w:rPr>
      </w:pPr>
      <w:r>
        <w:rPr>
          <w:rFonts w:ascii="Times New Roman" w:hAnsi="Times New Roman"/>
          <w:b w:val="false"/>
          <w:i/>
          <w:sz w:val="20"/>
        </w:rPr>
        <w:t>BioAtla, Inc. (“we,” “our,” “us,” or the “Company”) has one class of securities registered under Section 12 of the Securities Exchange Act of 1934, as amended: our common stock. The following summary of the terms of our common stock is based upon our restated certificate of incorporation and our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our Annual Report on Form 10-K and are incorporated by reference herein. We encourage you to read our amended and restated certificate of incorporation, our amended and restated bylaws and the applicable provisions of the Delaware General Corporation Law for more information.</w:t>
      </w:r>
    </w:p>
    <w:p>
      <w:pPr>
        <w:pStyle w:val="TextBody"/>
        <w:spacing w:lineRule="auto" w:line="273" w:before="324" w:after="0"/>
        <w:jc w:val="left"/>
        <w:rPr>
          <w:rFonts w:ascii="Times New Roman" w:hAnsi="Times New Roman"/>
          <w:b/>
          <w:sz w:val="20"/>
        </w:rPr>
      </w:pPr>
      <w:r>
        <w:rPr>
          <w:rFonts w:ascii="Times New Roman" w:hAnsi="Times New Roman"/>
          <w:b/>
          <w:sz w:val="20"/>
        </w:rPr>
        <w:t>Common stock and class B common stock</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We are authorized to issue up to a total of 350,000,000 shares of common stock, par value $0.0001 per share and up to a total of 15,368,569 shares of Class B common stock, par value $0.0001 per share. The holders of our common stock and Class B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Class B common stock are not entitled to any votes per share of Class B common stock, including for the election of directors and (ii) holders of our common stock have no conversion rights, while holders of our Class B common stock shall have the right to convert each share of our Class B common stock into one share of common stock at such holder’s election, provided that as a result of such conversion, such holder would not beneficially own in excess of 4.99% of any class of our securities registered under the Exchange Act, unless otherwise as expressly provided for in our amended and restated certificate of incorporation. However, this ownership limitation may be increased or decreased to any other percentage designated by such holder of Class B common stock upon 61 days’ notice to us.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common stock and Class B common stock have no preemptive rights or other subscription rights or redemption or sinking fund provisions. Upon our liquidation, dissolution or winding-up, holders of our common stock and Class B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and Class B common stock are entitled to receive dividends only if declared from time to time by our board of directors out of assets which are legally available.</w:t>
      </w:r>
    </w:p>
    <w:p>
      <w:pPr>
        <w:pStyle w:val="TextBody"/>
        <w:spacing w:lineRule="auto" w:line="273" w:before="324" w:after="0"/>
        <w:jc w:val="left"/>
        <w:rPr>
          <w:rFonts w:ascii="Times New Roman" w:hAnsi="Times New Roman"/>
          <w:b/>
          <w:sz w:val="20"/>
        </w:rPr>
      </w:pPr>
      <w:r>
        <w:rPr>
          <w:rFonts w:ascii="Times New Roman" w:hAnsi="Times New Roman"/>
          <w:b/>
          <w:sz w:val="20"/>
        </w:rPr>
        <w:t>Preferred stock</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Under our amended and restated certificate of incorporation, our board of directors has the authority, without further action by the stockholders, to issue up to 200,000,000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spacing w:lineRule="atLeast" w:line="141" w:before="0" w:after="0"/>
        <w:jc w:val="left"/>
        <w:rPr/>
      </w:pPr>
      <w:r>
        <w:rPr/>
        <w:t> </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pStyle w:val="TextBody"/>
        <w:spacing w:lineRule="auto" w:line="273" w:before="324" w:after="0"/>
        <w:jc w:val="left"/>
        <w:rPr>
          <w:rFonts w:ascii="Times New Roman" w:hAnsi="Times New Roman"/>
          <w:b/>
          <w:sz w:val="20"/>
        </w:rPr>
      </w:pPr>
      <w:r>
        <w:rPr>
          <w:rFonts w:ascii="Times New Roman" w:hAnsi="Times New Roman"/>
          <w:b/>
          <w:sz w:val="20"/>
        </w:rPr>
        <w:t>Warrants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On June 6, 2016, we issued warrants to purchase an aggregate of 151,088 shares of common stock at an exercise price of $132.37 per share, which warrants were subsequently amended and restated. The warrants are exercisable during the period commencing on December 19, 2020 and ending on March 13, 2022, and provide for cashless exercise at the option of the warrant holder.</w:t>
      </w:r>
    </w:p>
    <w:p>
      <w:pPr>
        <w:pStyle w:val="TextBody"/>
        <w:spacing w:lineRule="auto" w:line="273" w:before="324" w:after="0"/>
        <w:jc w:val="left"/>
        <w:rPr>
          <w:rFonts w:ascii="Times New Roman" w:hAnsi="Times New Roman"/>
          <w:b/>
          <w:sz w:val="20"/>
        </w:rPr>
      </w:pPr>
      <w:r>
        <w:rPr>
          <w:rFonts w:ascii="Times New Roman" w:hAnsi="Times New Roman"/>
          <w:b/>
          <w:sz w:val="20"/>
        </w:rPr>
        <w:t>Registration rights</w:t>
      </w:r>
    </w:p>
    <w:p>
      <w:pPr>
        <w:pStyle w:val="TextBody"/>
        <w:spacing w:lineRule="auto" w:line="273" w:before="108" w:after="0"/>
        <w:jc w:val="left"/>
        <w:rPr>
          <w:rFonts w:ascii="Times New Roman" w:hAnsi="Times New Roman"/>
          <w:sz w:val="20"/>
        </w:rPr>
      </w:pPr>
      <w:r>
        <w:rPr>
          <w:rFonts w:ascii="Times New Roman" w:hAnsi="Times New Roman"/>
          <w:b w:val="false"/>
          <w:sz w:val="20"/>
        </w:rPr>
        <w:t>Upon the completion of the initial public offering and subject to the lock-up agreements entered into in connection with such offering and federal securities laws, certain holders of shares of our common stock are initially be entitled to certain rights with respect to registration of such shares under the Securities Act. These shares are referred to as registrable securities.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w:t>
      </w:r>
      <w:r>
        <w:rPr>
          <w:rFonts w:ascii="Times New Roman" w:hAnsi="Times New Roman"/>
          <w:sz w:val="20"/>
        </w:rPr>
        <w:t xml:space="preserve">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expenses, other than underwriting discounts, selling commissions and stock transfer taxes, of the shares registered pursuant to the demand, piggyback and Form S-3 registrations described below.</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Generally, in an underwritten offering, the managing underwriter, if any, has the right, subject to specified conditions and limitations, to limit the number of shares the holders may include. The demand, piggyback and Form S-3 registration rights described below will terminate upon the earliest of (i) with respect to each stockholder, such date, on or after the completion of our initial public offering, on which all registrable shares held by such stockholder may immediately be sold during any three month period pursuant to Rule 144, (ii) the occurrence of a deemed liquidation event, as defined in our certificate of incorporation, as currently in effect and (iii) the fifth anniversary of the completion of our initial public offering.</w:t>
      </w:r>
    </w:p>
    <w:p>
      <w:pPr>
        <w:pStyle w:val="TextBody"/>
        <w:spacing w:lineRule="atLeast" w:line="141" w:before="0" w:after="0"/>
        <w:jc w:val="left"/>
        <w:rPr/>
      </w:pPr>
      <w:r>
        <w:rPr/>
        <w:t> </w:t>
      </w:r>
    </w:p>
    <w:p>
      <w:pPr>
        <w:pStyle w:val="TextBody"/>
        <w:spacing w:lineRule="auto" w:line="273" w:before="180" w:after="0"/>
        <w:jc w:val="left"/>
        <w:rPr>
          <w:rFonts w:ascii="Times New Roman" w:hAnsi="Times New Roman"/>
          <w:b/>
          <w:i/>
          <w:sz w:val="20"/>
        </w:rPr>
      </w:pPr>
      <w:r>
        <w:rPr>
          <w:rFonts w:ascii="Times New Roman" w:hAnsi="Times New Roman"/>
          <w:b/>
          <w:i/>
          <w:sz w:val="20"/>
        </w:rPr>
        <w:t>Demand registration rights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As of December 31, 2021, certain holders of approximately 12.9 million shares of our common stock are entitled to certain demand registration rights. Beginning on June 14, 2021, investors holding, collectively, a majority of registrable securities having an anticipated aggregate offering price of at least $5.0 million may, on not more than two occasions, request that we register all or a portion of their shares, subject to certain specified exceptions. If any of these holders exercises its demand registration rights, then holders of approximately 15.4 million shares of our common stock will be entitled to register their shares, subject to specified conditions and limitations in the corresponding offering.</w:t>
      </w:r>
    </w:p>
    <w:p>
      <w:pPr>
        <w:pStyle w:val="TextBody"/>
        <w:spacing w:lineRule="auto" w:line="273" w:before="324" w:after="0"/>
        <w:jc w:val="left"/>
        <w:rPr>
          <w:rFonts w:ascii="Times New Roman" w:hAnsi="Times New Roman"/>
          <w:b/>
          <w:i/>
          <w:sz w:val="20"/>
        </w:rPr>
      </w:pPr>
      <w:r>
        <w:rPr>
          <w:rFonts w:ascii="Times New Roman" w:hAnsi="Times New Roman"/>
          <w:b/>
          <w:i/>
          <w:sz w:val="20"/>
        </w:rPr>
        <w:t>Piggyback registration rights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As of December 31, 2021, certain holders of approximately 12.9 million shares of our common stock are entitled to their rights to notice of public offerings and to include their shares of registrable securities in public offerings. In the event that we propose to register any of our securities under the Securities Act in an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pStyle w:val="TextBody"/>
        <w:spacing w:lineRule="auto" w:line="273" w:before="324" w:after="0"/>
        <w:jc w:val="left"/>
        <w:rPr>
          <w:rFonts w:ascii="Times New Roman" w:hAnsi="Times New Roman"/>
          <w:b/>
          <w:i/>
          <w:sz w:val="20"/>
        </w:rPr>
      </w:pPr>
      <w:r>
        <w:rPr>
          <w:rFonts w:ascii="Times New Roman" w:hAnsi="Times New Roman"/>
          <w:b/>
          <w:i/>
          <w:sz w:val="20"/>
        </w:rPr>
        <w:t>S-3 registration rights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As of December 31, 2021, certain holders of approximately 12.9 million shares of our common stock are initially entitled to certain Form S-3 registration rights. Certain major investors holding at least 10% of registrable securities may, on not more than two registrations on Form S-3 within any 12-month period, request that we register all or a portion of their shares on Form S-3 if we are qualified to file a registration statement on Form S-3, subject to specified exceptions. Such request for registration on Form S-3 must cover securities with an aggregate offering price which equals or exceeds $3.0 million, net of selling expenses. The right to have such shares registered on Form S-3 is further subject to other specified conditions and limitations.</w:t>
      </w:r>
    </w:p>
    <w:p>
      <w:pPr>
        <w:pStyle w:val="TextBody"/>
        <w:spacing w:lineRule="auto" w:line="273" w:before="324" w:after="0"/>
        <w:jc w:val="left"/>
        <w:rPr>
          <w:rFonts w:ascii="Times New Roman" w:hAnsi="Times New Roman"/>
          <w:b/>
          <w:sz w:val="20"/>
        </w:rPr>
      </w:pPr>
      <w:r>
        <w:rPr>
          <w:rFonts w:ascii="Times New Roman" w:hAnsi="Times New Roman"/>
          <w:b/>
          <w:sz w:val="20"/>
        </w:rPr>
        <w:t>Anti-takeover effects of provisions of our certificate of incorporation, our bylaws and Delaware law</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Certain provisions of Delaware law and certain provisions included in our amended and restated certificate of incorporation and amended and restated bylaws, summarized below, may be deemed to have an anti-takeover effect and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pStyle w:val="TextBody"/>
        <w:spacing w:lineRule="auto" w:line="273" w:before="324" w:after="0"/>
        <w:jc w:val="left"/>
        <w:rPr>
          <w:rFonts w:ascii="Times New Roman" w:hAnsi="Times New Roman"/>
          <w:b/>
          <w:i/>
          <w:sz w:val="20"/>
        </w:rPr>
      </w:pPr>
      <w:r>
        <w:rPr>
          <w:rFonts w:ascii="Times New Roman" w:hAnsi="Times New Roman"/>
          <w:b/>
          <w:i/>
          <w:sz w:val="20"/>
        </w:rPr>
        <w:t>Delaware anti-takeover law</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We are subject to Section 203 of the Delaware General Corporation Law,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9594"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prior to the date of the transaction, the board of directors of the corporation approved either the business combination or the transaction which resulted in the stockholder becoming an interested stockholder;</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9594"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the interested stockholder owned at least 85% of the voting stock of the corporation outstanding upon consummation of the transaction, excluding for purposes of determining the number of shares outstanding</w:t>
            </w:r>
          </w:p>
        </w:tc>
      </w:tr>
    </w:tbl>
    <w:p>
      <w:pPr>
        <w:pStyle w:val="TextBody"/>
        <w:spacing w:lineRule="atLeast" w:line="141" w:before="0" w:after="0"/>
        <w:jc w:val="left"/>
        <w:rPr/>
      </w:pPr>
      <w:r>
        <w:rPr/>
        <w:t> </w:t>
      </w:r>
    </w:p>
    <w:p>
      <w:pPr>
        <w:pStyle w:val="TextBody"/>
        <w:spacing w:lineRule="atLeast" w:line="180" w:before="0" w:after="0"/>
        <w:jc w:val="left"/>
        <w:rPr/>
      </w:pPr>
      <w:r>
        <w:rPr/>
        <w:t> </w:t>
      </w:r>
    </w:p>
    <w:tbl>
      <w:tblPr>
        <w:tblW w:w="10205" w:type="dxa"/>
        <w:jc w:val="left"/>
        <w:tblInd w:w="0" w:type="dxa"/>
        <w:tblCellMar>
          <w:top w:w="28" w:type="dxa"/>
          <w:left w:w="28" w:type="dxa"/>
          <w:bottom w:w="28" w:type="dxa"/>
          <w:right w:w="28" w:type="dxa"/>
        </w:tblCellMar>
      </w:tblPr>
      <w:tblGrid>
        <w:gridCol w:w="177"/>
        <w:gridCol w:w="10028"/>
      </w:tblGrid>
      <w:tr>
        <w:trPr/>
        <w:tc>
          <w:tcPr>
            <w:tcW w:w="177" w:type="dxa"/>
            <w:tcBorders/>
            <w:shd w:fill="auto" w:val="clear"/>
            <w:vAlign w:val="center"/>
          </w:tcPr>
          <w:p>
            <w:pPr>
              <w:pStyle w:val="TableContents"/>
              <w:spacing w:before="0" w:after="283"/>
              <w:rPr>
                <w:sz w:val="4"/>
                <w:szCs w:val="4"/>
              </w:rPr>
            </w:pPr>
            <w:r>
              <w:rPr>
                <w:sz w:val="4"/>
                <w:szCs w:val="4"/>
              </w:rPr>
            </w:r>
          </w:p>
        </w:tc>
        <w:tc>
          <w:tcPr>
            <w:tcW w:w="10028"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10028"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9594"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tc>
      </w:tr>
    </w:tbl>
    <w:p>
      <w:pPr>
        <w:pStyle w:val="TextBody"/>
        <w:spacing w:lineRule="auto" w:line="273" w:before="216" w:after="0"/>
        <w:jc w:val="left"/>
        <w:rPr>
          <w:rFonts w:ascii="Times New Roman" w:hAnsi="Times New Roman"/>
          <w:b w:val="false"/>
          <w:sz w:val="20"/>
        </w:rPr>
      </w:pPr>
      <w:r>
        <w:rPr>
          <w:rFonts w:ascii="Times New Roman" w:hAnsi="Times New Roman"/>
          <w:b w:val="false"/>
          <w:sz w:val="20"/>
        </w:rPr>
        <w:t>Section 203 defines a business combination to include:</w:t>
      </w:r>
    </w:p>
    <w:p>
      <w:pPr>
        <w:pStyle w:val="TextBody"/>
        <w:spacing w:lineRule="auto" w:line="273" w:before="0" w:after="0"/>
        <w:jc w:val="left"/>
        <w:rPr/>
      </w:pPr>
      <w:r>
        <w:rPr/>
        <w:t> </w:t>
      </w:r>
    </w:p>
    <w:tbl>
      <w:tblPr>
        <w:tblW w:w="7753" w:type="dxa"/>
        <w:jc w:val="left"/>
        <w:tblInd w:w="0" w:type="dxa"/>
        <w:tblCellMar>
          <w:top w:w="28" w:type="dxa"/>
          <w:left w:w="28" w:type="dxa"/>
          <w:bottom w:w="28" w:type="dxa"/>
          <w:right w:w="28" w:type="dxa"/>
        </w:tblCellMar>
      </w:tblPr>
      <w:tblGrid>
        <w:gridCol w:w="177"/>
        <w:gridCol w:w="272"/>
        <w:gridCol w:w="162"/>
        <w:gridCol w:w="7142"/>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7142"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714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any merger or consolidation involving the corporation and the interested stockholder;</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9594"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any sale, transfer, pledge or other disposition involving the interested stockholder of 10% or more of the assets of the corporation;</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9594"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subject to exceptions, any transaction involving the corporation that has the effect of increasing the proportionate share of the stock of any class or series of the corporation beneficially owned by the interested stockholder;</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9594"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subject to exceptions, any transaction that results in the issuance or transfer by the corporation of any stock of the corporation to the interested stockholder; and</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77"/>
        <w:gridCol w:w="272"/>
        <w:gridCol w:w="162"/>
        <w:gridCol w:w="9594"/>
      </w:tblGrid>
      <w:tr>
        <w:trPr/>
        <w:tc>
          <w:tcPr>
            <w:tcW w:w="17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594" w:type="dxa"/>
            <w:tcBorders/>
            <w:shd w:fill="auto" w:val="clear"/>
            <w:vAlign w:val="center"/>
          </w:tcPr>
          <w:p>
            <w:pPr>
              <w:pStyle w:val="TableContents"/>
              <w:spacing w:before="0" w:after="283"/>
              <w:rPr>
                <w:sz w:val="4"/>
                <w:szCs w:val="4"/>
              </w:rPr>
            </w:pPr>
            <w:r>
              <w:rPr>
                <w:sz w:val="4"/>
                <w:szCs w:val="4"/>
              </w:rPr>
            </w:r>
          </w:p>
        </w:tc>
      </w:tr>
      <w:tr>
        <w:trPr/>
        <w:tc>
          <w:tcPr>
            <w:tcW w:w="177" w:type="dxa"/>
            <w:tcBorders/>
            <w:shd w:fill="auto" w:val="clear"/>
            <w:vAlign w:val="center"/>
          </w:tcPr>
          <w:p>
            <w:pPr>
              <w:pStyle w:val="TableContents"/>
              <w:spacing w:lineRule="auto" w:line="252" w:before="0" w:after="0"/>
              <w:ind w:left="0" w:right="16" w:hanging="0"/>
              <w:jc w:val="left"/>
              <w:rPr/>
            </w:pPr>
            <w:r>
              <w:rPr/>
              <w:t> </w:t>
            </w:r>
          </w:p>
        </w:tc>
        <w:tc>
          <w:tcPr>
            <w:tcW w:w="272"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w:t>
            </w:r>
          </w:p>
        </w:tc>
        <w:tc>
          <w:tcPr>
            <w:tcW w:w="162" w:type="dxa"/>
            <w:tcBorders/>
            <w:shd w:fill="auto" w:val="clear"/>
            <w:vAlign w:val="center"/>
          </w:tcPr>
          <w:p>
            <w:pPr>
              <w:pStyle w:val="TableContents"/>
              <w:spacing w:lineRule="auto" w:line="252" w:before="0" w:after="0"/>
              <w:ind w:left="0" w:right="16" w:hanging="0"/>
              <w:jc w:val="left"/>
              <w:rPr/>
            </w:pPr>
            <w:r>
              <w:rPr/>
              <w:t> </w:t>
            </w:r>
          </w:p>
        </w:tc>
        <w:tc>
          <w:tcPr>
            <w:tcW w:w="9594" w:type="dxa"/>
            <w:tcBorders/>
            <w:shd w:fill="auto" w:val="clear"/>
            <w:vAlign w:val="center"/>
          </w:tcPr>
          <w:p>
            <w:pPr>
              <w:pStyle w:val="TableContents"/>
              <w:spacing w:lineRule="auto" w:line="252" w:before="0" w:after="0"/>
              <w:ind w:left="0" w:right="16" w:hanging="0"/>
              <w:jc w:val="left"/>
              <w:rPr>
                <w:rFonts w:ascii="Times New Roman" w:hAnsi="Times New Roman"/>
                <w:b w:val="false"/>
                <w:sz w:val="20"/>
              </w:rPr>
            </w:pPr>
            <w:r>
              <w:rPr>
                <w:rFonts w:ascii="Times New Roman" w:hAnsi="Times New Roman"/>
                <w:b w:val="false"/>
                <w:sz w:val="20"/>
              </w:rPr>
              <w:t>the receipt by the interested stockholder of the benefit of any loans, advances, guarantees, pledges or other financial benefits provided by or through the corporation.</w:t>
            </w:r>
          </w:p>
        </w:tc>
      </w:tr>
    </w:tbl>
    <w:p>
      <w:pPr>
        <w:pStyle w:val="TextBody"/>
        <w:spacing w:lineRule="auto" w:line="273" w:before="216" w:after="0"/>
        <w:jc w:val="left"/>
        <w:rPr>
          <w:rFonts w:ascii="Times New Roman" w:hAnsi="Times New Roman"/>
          <w:b w:val="false"/>
          <w:sz w:val="20"/>
        </w:rPr>
      </w:pPr>
      <w:r>
        <w:rPr>
          <w:rFonts w:ascii="Times New Roman" w:hAnsi="Times New Roman"/>
          <w:b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spacing w:lineRule="auto" w:line="273" w:before="324" w:after="0"/>
        <w:jc w:val="left"/>
        <w:rPr>
          <w:rFonts w:ascii="Times New Roman" w:hAnsi="Times New Roman"/>
          <w:b/>
          <w:i/>
          <w:sz w:val="20"/>
        </w:rPr>
      </w:pPr>
      <w:r>
        <w:rPr>
          <w:rFonts w:ascii="Times New Roman" w:hAnsi="Times New Roman"/>
          <w:b/>
          <w:i/>
          <w:sz w:val="20"/>
        </w:rPr>
        <w:t>Preferred stock</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pStyle w:val="TextBody"/>
        <w:spacing w:lineRule="auto" w:line="273" w:before="324" w:after="0"/>
        <w:jc w:val="left"/>
        <w:rPr>
          <w:rFonts w:ascii="Times New Roman" w:hAnsi="Times New Roman"/>
          <w:b/>
          <w:i/>
          <w:sz w:val="20"/>
        </w:rPr>
      </w:pPr>
      <w:r>
        <w:rPr>
          <w:rFonts w:ascii="Times New Roman" w:hAnsi="Times New Roman"/>
          <w:b/>
          <w:i/>
          <w:sz w:val="20"/>
        </w:rPr>
        <w:t>Classified board</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w:t>
      </w:r>
    </w:p>
    <w:p>
      <w:pPr>
        <w:pStyle w:val="TextBody"/>
        <w:spacing w:lineRule="auto" w:line="273" w:before="324" w:after="0"/>
        <w:jc w:val="left"/>
        <w:rPr>
          <w:rFonts w:ascii="Times New Roman" w:hAnsi="Times New Roman"/>
          <w:b/>
          <w:i/>
          <w:sz w:val="20"/>
        </w:rPr>
      </w:pPr>
      <w:r>
        <w:rPr>
          <w:rFonts w:ascii="Times New Roman" w:hAnsi="Times New Roman"/>
          <w:b/>
          <w:i/>
          <w:sz w:val="20"/>
        </w:rPr>
        <w:t>Removal of directors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provides that stockholders may only remove a director for cause by a vote of at least 66 2/3% of the voting power of all of our then outstanding common stock and that the authorized number of directors may be changed only by resolution adopted by a majority of the board of directors.</w:t>
      </w:r>
    </w:p>
    <w:p>
      <w:pPr>
        <w:pStyle w:val="TextBody"/>
        <w:spacing w:lineRule="atLeast" w:line="141" w:before="0" w:after="0"/>
        <w:jc w:val="left"/>
        <w:rPr/>
      </w:pPr>
      <w:r>
        <w:rPr/>
        <w:t> </w:t>
      </w:r>
    </w:p>
    <w:p>
      <w:pPr>
        <w:pStyle w:val="TextBody"/>
        <w:spacing w:lineRule="auto" w:line="273" w:before="180" w:after="0"/>
        <w:jc w:val="left"/>
        <w:rPr>
          <w:rFonts w:ascii="Times New Roman" w:hAnsi="Times New Roman"/>
          <w:b/>
          <w:i/>
          <w:sz w:val="20"/>
        </w:rPr>
      </w:pPr>
      <w:r>
        <w:rPr>
          <w:rFonts w:ascii="Times New Roman" w:hAnsi="Times New Roman"/>
          <w:b/>
          <w:i/>
          <w:sz w:val="20"/>
        </w:rPr>
        <w:t>Director vacancies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provides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pStyle w:val="TextBody"/>
        <w:spacing w:lineRule="auto" w:line="273" w:before="324" w:after="0"/>
        <w:jc w:val="left"/>
        <w:rPr>
          <w:rFonts w:ascii="Times New Roman" w:hAnsi="Times New Roman"/>
          <w:b/>
          <w:i/>
          <w:sz w:val="20"/>
        </w:rPr>
      </w:pPr>
      <w:r>
        <w:rPr>
          <w:rFonts w:ascii="Times New Roman" w:hAnsi="Times New Roman"/>
          <w:b/>
          <w:i/>
          <w:sz w:val="20"/>
        </w:rPr>
        <w:t>Special meetings of stockholders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and our amended and restated bylaws provide that, except as otherwise required by law,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pStyle w:val="TextBody"/>
        <w:spacing w:lineRule="auto" w:line="273" w:before="324" w:after="0"/>
        <w:jc w:val="left"/>
        <w:rPr>
          <w:rFonts w:ascii="Times New Roman" w:hAnsi="Times New Roman"/>
          <w:b/>
          <w:i/>
          <w:sz w:val="20"/>
        </w:rPr>
      </w:pPr>
      <w:r>
        <w:rPr>
          <w:rFonts w:ascii="Times New Roman" w:hAnsi="Times New Roman"/>
          <w:b/>
          <w:i/>
          <w:sz w:val="20"/>
        </w:rPr>
        <w:t>Advance notice procedures for director nominations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and amended and restated bylaws provide that stockholders seeking to nominate candidates for election as directors at an annual or special meeting of stockholders must provide timely notice thereof in writing and also specify requirements as to the form and content of a stockholder’s notice.</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324" w:after="0"/>
        <w:jc w:val="left"/>
        <w:rPr>
          <w:rFonts w:ascii="Times New Roman" w:hAnsi="Times New Roman"/>
          <w:b/>
          <w:i/>
          <w:sz w:val="20"/>
        </w:rPr>
      </w:pPr>
      <w:r>
        <w:rPr>
          <w:rFonts w:ascii="Times New Roman" w:hAnsi="Times New Roman"/>
          <w:b/>
          <w:i/>
          <w:sz w:val="20"/>
        </w:rPr>
        <w:t>Action by written consent</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and amended and restated bylaws require that any action to be taken by our stockholders must be effected at a duly called annual or special meeting of stockholders and not be taken by written consent.</w:t>
      </w:r>
    </w:p>
    <w:p>
      <w:pPr>
        <w:pStyle w:val="TextBody"/>
        <w:spacing w:lineRule="auto" w:line="273" w:before="324" w:after="0"/>
        <w:jc w:val="left"/>
        <w:rPr>
          <w:rFonts w:ascii="Times New Roman" w:hAnsi="Times New Roman"/>
          <w:b/>
          <w:i/>
          <w:sz w:val="20"/>
        </w:rPr>
      </w:pPr>
      <w:r>
        <w:rPr>
          <w:rFonts w:ascii="Times New Roman" w:hAnsi="Times New Roman"/>
          <w:b/>
          <w:i/>
          <w:sz w:val="20"/>
        </w:rPr>
        <w:t>Cumulative voting</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provides for cumulative voting rights (therefore allowing the holders of a majority of the shares of common stock entitled to vote in any election of directors to elect all of the directors standing for election, if they should so choose).</w:t>
      </w:r>
    </w:p>
    <w:p>
      <w:pPr>
        <w:pStyle w:val="TextBody"/>
        <w:spacing w:lineRule="auto" w:line="273" w:before="324" w:after="0"/>
        <w:jc w:val="left"/>
        <w:rPr>
          <w:rFonts w:ascii="Times New Roman" w:hAnsi="Times New Roman"/>
          <w:b/>
          <w:i/>
          <w:sz w:val="20"/>
        </w:rPr>
      </w:pPr>
      <w:r>
        <w:rPr>
          <w:rFonts w:ascii="Times New Roman" w:hAnsi="Times New Roman"/>
          <w:b/>
          <w:i/>
          <w:sz w:val="20"/>
        </w:rPr>
        <w:t>Amending our certificate of incorporation and bylaws</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The amendment of any of the provisions in our amended and restated certificate of incorporation, with the exception of the ability of our board of directors to issue shares of preferred stock and designate any rights, preferences and privileges thereto, would require the affirmative vote of the holders of at least 66 2/3% of the voting power of all of our then outstanding common stock. Additionally, our amended and restated certificate of incorporation provides that our bylaws may be amended, altered or repealed by the board of directors.</w:t>
      </w:r>
    </w:p>
    <w:p>
      <w:pPr>
        <w:pStyle w:val="TextBody"/>
        <w:spacing w:lineRule="auto" w:line="273" w:before="324" w:after="0"/>
        <w:jc w:val="left"/>
        <w:rPr>
          <w:rFonts w:ascii="Times New Roman" w:hAnsi="Times New Roman"/>
          <w:b/>
          <w:i/>
          <w:sz w:val="20"/>
        </w:rPr>
      </w:pPr>
      <w:r>
        <w:rPr>
          <w:rFonts w:ascii="Times New Roman" w:hAnsi="Times New Roman"/>
          <w:b/>
          <w:i/>
          <w:sz w:val="20"/>
        </w:rPr>
        <w:t>Exclusive forum provision</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spacing w:lineRule="auto" w:line="273" w:before="324" w:after="0"/>
        <w:jc w:val="left"/>
        <w:rPr>
          <w:rFonts w:ascii="Times New Roman" w:hAnsi="Times New Roman"/>
          <w:b/>
          <w:sz w:val="20"/>
        </w:rPr>
      </w:pPr>
      <w:r>
        <w:rPr>
          <w:rFonts w:ascii="Times New Roman" w:hAnsi="Times New Roman"/>
          <w:b/>
          <w:sz w:val="20"/>
        </w:rPr>
        <w:t>Nasdaq Global Market</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Our common stock is listed on The Nasdaq Global Market under the symbol “BCAB.”</w:t>
      </w:r>
    </w:p>
    <w:p>
      <w:pPr>
        <w:pStyle w:val="TextBody"/>
        <w:spacing w:lineRule="auto" w:line="273" w:before="324" w:after="0"/>
        <w:jc w:val="left"/>
        <w:rPr>
          <w:rFonts w:ascii="Times New Roman" w:hAnsi="Times New Roman"/>
          <w:b/>
          <w:sz w:val="20"/>
        </w:rPr>
      </w:pPr>
      <w:r>
        <w:rPr>
          <w:rFonts w:ascii="Times New Roman" w:hAnsi="Times New Roman"/>
          <w:b/>
          <w:sz w:val="20"/>
        </w:rPr>
        <w:t>Transfer agent and registrar</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The transfer agent and registrar for our common stock and Class B common stock is Philadelphia Stock Transfer, Inc. The transfer agent and registrar’s address is 2320 Haverford Rd., Suite 230, Ardmore, PA 19003.</w:t>
      </w:r>
    </w:p>
    <w:p>
      <w:pPr>
        <w:pStyle w:val="TextBody"/>
        <w:spacing w:lineRule="atLeast" w:line="141"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sz w:val="20"/>
        </w:rPr>
      </w:pPr>
      <w:bookmarkStart w:id="42" w:name="bcab-ex10_19.htm"/>
      <w:bookmarkStart w:id="43" w:name="ksbcabex10_19"/>
      <w:bookmarkEnd w:id="42"/>
      <w:bookmarkEnd w:id="43"/>
      <w:r>
        <w:rPr>
          <w:rFonts w:ascii="Times New Roman" w:hAnsi="Times New Roman"/>
          <w:b/>
          <w:sz w:val="20"/>
        </w:rPr>
        <w:t>Exhibit 10.19</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8"/>
        </w:rPr>
      </w:pPr>
      <w:r>
        <w:rPr>
          <w:rFonts w:ascii="Times New Roman" w:hAnsi="Times New Roman"/>
          <w:b/>
          <w:sz w:val="18"/>
        </w:rPr>
        <w:t>BIOATLA, LLC</w:t>
      </w:r>
    </w:p>
    <w:p>
      <w:pPr>
        <w:pStyle w:val="TextBody"/>
        <w:spacing w:lineRule="auto" w:line="288" w:before="0" w:after="0"/>
        <w:jc w:val="center"/>
        <w:rPr>
          <w:rFonts w:ascii="Times New Roman" w:hAnsi="Times New Roman"/>
          <w:b/>
          <w:sz w:val="19"/>
        </w:rPr>
      </w:pPr>
      <w:r>
        <w:rPr>
          <w:rFonts w:ascii="Times New Roman" w:hAnsi="Times New Roman"/>
          <w:b/>
          <w:sz w:val="19"/>
        </w:rPr>
        <w:t>11085 Torreyana Rd.</w:t>
      </w:r>
    </w:p>
    <w:p>
      <w:pPr>
        <w:pStyle w:val="TextBody"/>
        <w:spacing w:lineRule="auto" w:line="288" w:before="0" w:after="0"/>
        <w:jc w:val="center"/>
        <w:rPr>
          <w:rFonts w:ascii="Times New Roman" w:hAnsi="Times New Roman"/>
          <w:sz w:val="20"/>
        </w:rPr>
      </w:pPr>
      <w:r>
        <w:rPr>
          <w:rFonts w:ascii="Times New Roman" w:hAnsi="Times New Roman"/>
          <w:b/>
          <w:sz w:val="19"/>
        </w:rPr>
        <w:t xml:space="preserve">San Diego, </w:t>
      </w:r>
      <w:r>
        <w:rPr>
          <w:rFonts w:ascii="Times New Roman" w:hAnsi="Times New Roman"/>
          <w:b/>
          <w:sz w:val="18"/>
        </w:rPr>
        <w:t>CA 92121</w:t>
      </w:r>
    </w:p>
    <w:p>
      <w:pPr>
        <w:pStyle w:val="TextBody"/>
        <w:spacing w:lineRule="auto" w:line="273" w:before="0" w:after="0"/>
        <w:jc w:val="right"/>
        <w:rPr/>
      </w:pPr>
      <w:r>
        <w:rPr/>
        <w:t> </w:t>
      </w:r>
    </w:p>
    <w:p>
      <w:pPr>
        <w:pStyle w:val="TextBody"/>
        <w:spacing w:lineRule="auto" w:line="273" w:before="0" w:after="0"/>
        <w:jc w:val="righ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October 21, 2013</w:t>
      </w:r>
    </w:p>
    <w:p>
      <w:pPr>
        <w:pStyle w:val="TextBody"/>
        <w:spacing w:lineRule="auto" w:line="273" w:before="0" w:after="0"/>
        <w:jc w:val="left"/>
        <w:rPr/>
      </w:pPr>
      <w:r>
        <w:rPr/>
        <w:t> </w:t>
      </w:r>
    </w:p>
    <w:p>
      <w:pPr>
        <w:pStyle w:val="TextBody"/>
        <w:spacing w:lineRule="auto" w:line="295" w:before="0" w:after="0"/>
        <w:jc w:val="left"/>
        <w:rPr>
          <w:rFonts w:ascii="Times New Roman" w:hAnsi="Times New Roman"/>
          <w:sz w:val="20"/>
        </w:rPr>
      </w:pPr>
      <w:r>
        <w:rPr>
          <w:rFonts w:ascii="Times New Roman" w:hAnsi="Times New Roman"/>
          <w:b w:val="false"/>
          <w:sz w:val="20"/>
        </w:rPr>
        <w:t>Richard Waldron</w:t>
      </w:r>
      <w:r>
        <w:rPr>
          <w:rFonts w:ascii="Times New Roman" w:hAnsi="Times New Roman"/>
          <w:sz w:val="20"/>
        </w:rPr>
        <w:t xml:space="preserve"> </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w:t>
      </w:r>
    </w:p>
    <w:p>
      <w:pPr>
        <w:pStyle w:val="TextBody"/>
        <w:spacing w:lineRule="auto" w:line="295" w:before="0" w:after="0"/>
        <w:jc w:val="left"/>
        <w:rPr>
          <w:rFonts w:ascii="Times New Roman" w:hAnsi="Times New Roman"/>
          <w:b w:val="false"/>
          <w:sz w:val="20"/>
        </w:rPr>
      </w:pPr>
      <w:r>
        <w:rPr>
          <w:rFonts w:ascii="Times New Roman" w:hAnsi="Times New Roman"/>
          <w:b w:val="false"/>
          <w:sz w:val="20"/>
        </w:rPr>
        <w: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 Offer of Employment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Dear Richard:</w:t>
      </w:r>
    </w:p>
    <w:p>
      <w:pPr>
        <w:pStyle w:val="TextBody"/>
        <w:spacing w:lineRule="auto" w:line="273" w:before="0" w:after="0"/>
        <w:jc w:val="left"/>
        <w:rPr/>
      </w:pPr>
      <w:r>
        <w:rPr/>
        <w:t> </w:t>
      </w:r>
    </w:p>
    <w:p>
      <w:pPr>
        <w:pStyle w:val="TextBody"/>
        <w:spacing w:lineRule="auto" w:line="288" w:before="0" w:after="0"/>
        <w:jc w:val="both"/>
        <w:rPr>
          <w:rFonts w:ascii="Times New Roman" w:hAnsi="Times New Roman"/>
          <w:sz w:val="20"/>
        </w:rPr>
      </w:pPr>
      <w:r>
        <w:rPr>
          <w:rFonts w:ascii="Times New Roman" w:hAnsi="Times New Roman"/>
          <w:b w:val="false"/>
          <w:sz w:val="20"/>
        </w:rPr>
        <w:t xml:space="preserve">I am pleased to offer you employment with BioAtla, LLC, a Delaware limited liability company </w:t>
      </w:r>
      <w:r>
        <w:rPr>
          <w:rFonts w:ascii="Times New Roman" w:hAnsi="Times New Roman"/>
          <w:b w:val="false"/>
          <w:sz w:val="20"/>
          <w:u w:val="single"/>
        </w:rPr>
        <w:t>("Company").</w:t>
      </w:r>
      <w:r>
        <w:rPr>
          <w:rFonts w:ascii="Times New Roman" w:hAnsi="Times New Roman"/>
          <w:sz w:val="20"/>
        </w:rPr>
        <w:t xml:space="preserve"> </w:t>
      </w:r>
      <w:r>
        <w:rPr>
          <w:rFonts w:ascii="Times New Roman" w:hAnsi="Times New Roman"/>
          <w:b w:val="false"/>
          <w:sz w:val="20"/>
        </w:rPr>
        <w:t>Once signed by you, this Offer Letter will confirm your acceptance of the following terms and conditions: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Your title will be Chief Financial Officer, reporting to the Chief Executive Officer or President (CEO). Your duties and responsibilities will include all aspects of the Company's finances and financial planning, preparing the Company for and assisting with private or public financings, and such other duties as shall be assigned to you from time to time by the CEO. Your main work location will be at the Company's corporate headquarters in San Diego, California, although you will be required to travel on behalf of the Company, as and when directed by the Company.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Your employment is to begin effective as of November I, 2013. You agree to relocate to San Diego on or before January 31, 2014.</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You will receive a base salary of $200,000 per year (the "Base Salary."), which shall be paid on a regular basis in accordance with the Company’s normal payroll procedures and policies. You will also receive paid vacation, and the other benefits that the Company provides, if any, o comparable employees in accordance with the: Company's policies and procedures. Also, on or before November 15, 2013, the Company will make a payment to you in the amount of $10,000 (the "Signing Bonus").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In addition to your Base Salary and the Signing Bonus, you will be able to participate in the Company's incentive bonus plan.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Under such plan, for the remainder of 2013, you will be eligible to earn up to $20,833.33 based on the Company's successful closing of an equity financing of at least $20,000,000 during 2013, such bonus, if any, to be paid on February 17, 2014.</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Under such plan, for the first full calendar year of your employment, you will be eligible to cam up to $125,000 </w:t>
      </w:r>
      <w:r>
        <w:rPr>
          <w:rFonts w:ascii="Times New Roman" w:hAnsi="Times New Roman"/>
          <w:b w:val="false"/>
          <w:sz w:val="20"/>
          <w:u w:val="single"/>
        </w:rPr>
        <w:t>("'Target Bonus ").</w:t>
      </w:r>
      <w:r>
        <w:rPr>
          <w:rFonts w:ascii="Times New Roman" w:hAnsi="Times New Roman"/>
          <w:sz w:val="20"/>
        </w:rPr>
        <w:t xml:space="preserve"> </w:t>
      </w:r>
      <w:r>
        <w:rPr>
          <w:rFonts w:ascii="Times New Roman" w:hAnsi="Times New Roman"/>
          <w:b w:val="false"/>
          <w:sz w:val="20"/>
        </w:rPr>
        <w:t>One-third of the Target Bonus will be based on the Company's successful closing of an equity financing of at least $20,000,000 during 2013 or 2014, one-third of the Target Bonus will be based on the successful closing of an initial public offering by the Comp any and one-third of the Target bonus will be based on the Company meeting its 2014 budget. Such bonus, if any, shall be paid on February16, 2015.</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xml:space="preserve">All bonuses are fully discretionary and the timing of payment can be delayed, and the amount actually allocated and/or paid (if any) to you as a bonus can be higher or lower, based on your performance, the Company's performance and other business factors, as determined by the Company's Board of Managers </w:t>
      </w:r>
      <w:r>
        <w:rPr>
          <w:rFonts w:ascii="Times New Roman" w:hAnsi="Times New Roman"/>
          <w:b w:val="false"/>
          <w:sz w:val="20"/>
          <w:u w:val="single"/>
        </w:rPr>
        <w:t>("Board")</w:t>
      </w:r>
      <w:r>
        <w:rPr>
          <w:rFonts w:ascii="Times New Roman" w:hAnsi="Times New Roman"/>
          <w:b w:val="false"/>
          <w:sz w:val="20"/>
        </w:rPr>
        <w:t>, in its sole discretion. In addition, if you are allocated a bonus (as determined by the Board) you must be actively employed by the Company on the date when the bonus is paid to be entitled to receive such a bonus.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Following the date of your hire and signing of the appropriate related agreements during the first 90 days of employment, you will be entitled to receive that number of Class B Profits Interest Units of the Company equal to 1% of the outstanding Units on your date of hire (the “Units”) under the Company's Amended and Restated Profits Interest Incentive Plan ("fl.an"). The Units will be subject to the terms of the Plan and the Unit Issuance Agreement between you and the Company evidencing the grant (the “Issuance Agreement") as well as the Company's Amended and Restated Operating Agreement (the “Operating Agreement "). The Units generally are intended to qualify as “profits interests" under Revenue Procedure 93-27 and Revenue Procedure 2001-43 and thus shall not participate with respect to any Net Income or Net Loss of the Company prior to the issuance date of the Units (nor shall such Units be attributed any value </w:t>
      </w:r>
    </w:p>
    <w:p>
      <w:pPr>
        <w:pStyle w:val="HorizontalLine"/>
        <w:rPr/>
      </w:pPr>
      <w:r>
        <w:rPr/>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of the assets of the Company held immediately prior to the issuance date of such Units). Subject to the terms of the Plan, the Issuance Agreement and the Operating Agreement, the Units will vest over a period of four (4) years in accordance with the following schedule: 25% of the Units shall vest after the first 12 months of continuous service and the balance of the Units shall vest in equal monthly installments over the next three years of continuous service. 50% of the unvested Units shall vest in the event of a Change of Control (as defined in the Plan), and the remainder shall vest in the event the Issuance Agreement is not assumed, or you are terminated within 12 months without cause after the Change of Control. As a condition precedent for receiving the Units, you will be required to become a party to the Operating Agreement. Please note, inasmuch. as the Units are wholly subject to Board approval. the terms and conditions of the Plan, the Issuance Agreement and the Operating Agreement, nothing in this Offer Letter shall vary the terms of any Issuance Agreement signed by the Company and you and in the event of a conflict between this Agreement and any Issuance Agreement, the terms of the Issuance Agreement shall govern.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6.</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This is a full-time position, and you will be expected to devote substantially all of your working time and ability to the performance or your duties. You will also be expected to give the Company your undivided loyalty, and to refrain from any other employment or outside activity that might interfere with your duties to the Company or create a potential or actual conflict of interest. Regardless, such activities would require written approval from the CEO.</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7.</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This offer is not to be considered a contract guaranteeing employment for any specific duration. Your employment with the Company is “at-will'' and, therefore, is not guaranteed. You are free to quit, and the Company is entitled to terminate your employment at any time, with or without cause or prior warning. This provision for “at-will” employment supersedes all prior agreements and understandings concerning termination of employment, whether oral, written, or implied, and it can be changed or revoked only in a writing signed by you and the Chief Executive Officer or President of the Company.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8.</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addition to the salary package described above, you will be reimbursed for any Company-approved and IRS permitted out-of-pocket expenses (other than Company-approved expenses which are charged by you on Company credit cards), in accordance with our policies. Commuting expenses, including lodging and meals, incurred prior to your relocation to San Diego, and relocation expenses, shall not be reimbursed.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9.</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As a condition of employment, you must agree to sign and abide by the Company's Employee Proprietary Information and Inventions Agreement ("'EPIIA")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10.</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You also agree to comply with the Company’s rules, policies and procedures as they are issued from time to time by the Company.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11.</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Before commencing employment, you must provide proof of your identity and authorization to work in the United States, fill out a form I-9 as required by federal immigration laws, and pass the Company's background check.</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This Offer Letter and the EPIIA sets forth the entire agreement between you and the Company with respect to the subject matter thereof. Once signed by you and an officer of the Company, this Offer Letter and the EPIIA will become legally binding contracts. and will supersede all prior agreements, promises, and understandings between you and the Company.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13.</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This Offer Letter will be governed by and construed in accordance with the laws of the State of California. You and the Company expressly consent to personal jurisdiction and venue in San Diego County, California. or the state and federal courts for San Diego County, the location of the Company's principal place of business is located, for any lawsuit filed there arising from or related to this Offer Letter. The validity or unenforceability of any provision of this Offer Letter, or any terms hereof, shall not affect the validity or enforceability of any other provision or term of this Offer Letter.</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All payments made pursuant to this Offer Letter shall be subject to withholding of applicable income and employment taxes. The Company may withhold from any payments made under this Offer Letter all authorized or legally required deductions and withholdings, including but not limited to income, employment, and social insurance taxes. Nothing in this Agreement shall create any obligation on the part of the Company to indemnify, reimburse, gross up, or otherwise compensate you for any taxes. interest, penalties. costs, losses, damages, or expenses arising out of any violation of tax laws or any corresponding provision of law. Your signature below constitutes your agreement with the Company's employment terms and conditions.</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 confirm that you agree to the terms stated in this Offer Letter. please sign and date the enclosed copy of this Offer Letter and return it to me as soon as possible, but no later than October 23, 2013.</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br/>
        <w:t>On behalf of the Company, I am very pleased to make this offer and look forward to you joining our team.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7"/>
        </w:rPr>
        <w:br/>
      </w:r>
      <w:r>
        <w:rPr>
          <w:rFonts w:ascii="Times New Roman" w:hAnsi="Times New Roman"/>
          <w:b w:val="false"/>
          <w:sz w:val="20"/>
        </w:rPr>
        <w:t>Very truly yours,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BIOATLA, LLC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By:</w:t>
      </w:r>
      <w:r>
        <w:rPr>
          <w:rFonts w:ascii="Times New Roman" w:hAnsi="Times New Roman"/>
          <w:sz w:val="20"/>
        </w:rPr>
        <w:t xml:space="preserve"> </w:t>
      </w:r>
    </w:p>
    <w:p>
      <w:pPr>
        <w:pStyle w:val="TextBody"/>
        <w:spacing w:lineRule="auto" w:line="273" w:before="0" w:after="0"/>
        <w:jc w:val="left"/>
        <w:rPr/>
      </w:pPr>
      <w:r>
        <w:rPr/>
        <w:t> </w:t>
      </w:r>
    </w:p>
    <w:tbl>
      <w:tblPr>
        <w:tblW w:w="1966" w:type="dxa"/>
        <w:jc w:val="left"/>
        <w:tblInd w:w="0" w:type="dxa"/>
        <w:tblCellMar>
          <w:top w:w="28" w:type="dxa"/>
          <w:left w:w="28" w:type="dxa"/>
          <w:bottom w:w="28" w:type="dxa"/>
          <w:right w:w="28" w:type="dxa"/>
        </w:tblCellMar>
      </w:tblPr>
      <w:tblGrid>
        <w:gridCol w:w="1966"/>
      </w:tblGrid>
      <w:tr>
        <w:trPr/>
        <w:tc>
          <w:tcPr>
            <w:tcW w:w="1966" w:type="dxa"/>
            <w:tcBorders/>
            <w:shd w:fill="auto" w:val="clear"/>
            <w:vAlign w:val="center"/>
          </w:tcPr>
          <w:p>
            <w:pPr>
              <w:pStyle w:val="TableContents"/>
              <w:spacing w:before="0" w:after="283"/>
              <w:rPr>
                <w:sz w:val="4"/>
                <w:szCs w:val="4"/>
              </w:rPr>
            </w:pPr>
            <w:r>
              <w:rPr>
                <w:sz w:val="4"/>
                <w:szCs w:val="4"/>
              </w:rPr>
            </w:r>
          </w:p>
        </w:tc>
      </w:tr>
      <w:tr>
        <w:trPr/>
        <w:tc>
          <w:tcPr>
            <w:tcW w:w="196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Jay M. Short, Ph.D.</w:t>
            </w:r>
          </w:p>
        </w:tc>
      </w:tr>
      <w:tr>
        <w:trPr/>
        <w:tc>
          <w:tcPr>
            <w:tcW w:w="1966"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Jay M. Short, Ph.D.</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Chairman &amp; CEO</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I agree to the terms stated in this letter.</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Dated: October 23, 2013</w:t>
      </w:r>
    </w:p>
    <w:p>
      <w:pPr>
        <w:pStyle w:val="TextBody"/>
        <w:spacing w:lineRule="auto" w:line="273" w:before="0" w:after="0"/>
        <w:jc w:val="left"/>
        <w:rPr/>
      </w:pPr>
      <w:r>
        <w:rPr/>
        <w:t> </w:t>
      </w:r>
    </w:p>
    <w:tbl>
      <w:tblPr>
        <w:tblW w:w="1816" w:type="dxa"/>
        <w:jc w:val="left"/>
        <w:tblInd w:w="0" w:type="dxa"/>
        <w:tblCellMar>
          <w:top w:w="28" w:type="dxa"/>
          <w:left w:w="28" w:type="dxa"/>
          <w:bottom w:w="28" w:type="dxa"/>
          <w:right w:w="28" w:type="dxa"/>
        </w:tblCellMar>
      </w:tblPr>
      <w:tblGrid>
        <w:gridCol w:w="1816"/>
      </w:tblGrid>
      <w:tr>
        <w:trPr/>
        <w:tc>
          <w:tcPr>
            <w:tcW w:w="1816" w:type="dxa"/>
            <w:tcBorders/>
            <w:shd w:fill="auto" w:val="clear"/>
            <w:vAlign w:val="center"/>
          </w:tcPr>
          <w:p>
            <w:pPr>
              <w:pStyle w:val="TableContents"/>
              <w:spacing w:before="0" w:after="283"/>
              <w:rPr>
                <w:sz w:val="4"/>
                <w:szCs w:val="4"/>
              </w:rPr>
            </w:pPr>
            <w:r>
              <w:rPr>
                <w:sz w:val="4"/>
                <w:szCs w:val="4"/>
              </w:rPr>
            </w:r>
          </w:p>
        </w:tc>
      </w:tr>
      <w:tr>
        <w:trPr/>
        <w:tc>
          <w:tcPr>
            <w:tcW w:w="181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Richard Waldron</w:t>
            </w:r>
          </w:p>
        </w:tc>
      </w:tr>
      <w:tr>
        <w:trPr/>
        <w:tc>
          <w:tcPr>
            <w:tcW w:w="1816"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Richard Waldron</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18"/>
        </w:rPr>
      </w:pPr>
      <w:bookmarkStart w:id="44" w:name="bcab-ex10_20.htm"/>
      <w:bookmarkStart w:id="45" w:name="ksbcabex10_20"/>
      <w:bookmarkEnd w:id="44"/>
      <w:bookmarkEnd w:id="45"/>
      <w:r>
        <w:rPr>
          <w:rFonts w:ascii="Times New Roman" w:hAnsi="Times New Roman"/>
          <w:b/>
          <w:sz w:val="18"/>
        </w:rPr>
        <w:t>Exhibit 10.20</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2"/>
        </w:rPr>
      </w:pPr>
      <w:r>
        <w:rPr>
          <w:rFonts w:ascii="Times New Roman" w:hAnsi="Times New Roman"/>
          <w:b/>
          <w:sz w:val="22"/>
        </w:rPr>
        <w:t>BioAtla, LLC</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Effective July l,</w:t>
      </w:r>
      <w:r>
        <w:rPr>
          <w:rFonts w:ascii="Times New Roman" w:hAnsi="Times New Roman"/>
          <w:sz w:val="20"/>
        </w:rPr>
        <w:t xml:space="preserve"> </w:t>
      </w:r>
      <w:r>
        <w:rPr>
          <w:rFonts w:ascii="Times New Roman" w:hAnsi="Times New Roman"/>
          <w:b w:val="false"/>
          <w:sz w:val="20"/>
        </w:rPr>
        <w:t>2018</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Richard Waldron</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c/o BioAtla, LLC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 Severance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Dear Richard,</w:t>
      </w:r>
    </w:p>
    <w:p>
      <w:pPr>
        <w:pStyle w:val="TextBody"/>
        <w:spacing w:lineRule="auto" w:line="273" w:before="0" w:after="0"/>
        <w:jc w:val="left"/>
        <w:rPr/>
      </w:pPr>
      <w:r>
        <w:rPr/>
        <w:t> </w:t>
      </w:r>
    </w:p>
    <w:p>
      <w:pPr>
        <w:pStyle w:val="TextBody"/>
        <w:spacing w:lineRule="auto" w:line="276" w:before="0" w:after="0"/>
        <w:jc w:val="both"/>
        <w:rPr>
          <w:rFonts w:ascii="Times New Roman" w:hAnsi="Times New Roman"/>
          <w:sz w:val="20"/>
        </w:rPr>
      </w:pPr>
      <w:r>
        <w:rPr>
          <w:rFonts w:ascii="Times New Roman" w:hAnsi="Times New Roman"/>
          <w:b w:val="false"/>
          <w:sz w:val="20"/>
        </w:rPr>
        <w:t xml:space="preserve">BioAtla, LLC (the </w:t>
      </w:r>
      <w:r>
        <w:rPr>
          <w:rFonts w:ascii="Times New Roman" w:hAnsi="Times New Roman"/>
          <w:b/>
          <w:sz w:val="20"/>
        </w:rPr>
        <w:t xml:space="preserve">"Company"), </w:t>
      </w:r>
      <w:r>
        <w:rPr>
          <w:rFonts w:ascii="Times New Roman" w:hAnsi="Times New Roman"/>
          <w:b w:val="false"/>
          <w:sz w:val="20"/>
        </w:rPr>
        <w:t xml:space="preserve">is pleased to provide the following Severance Agreement (the </w:t>
      </w:r>
      <w:r>
        <w:rPr>
          <w:rFonts w:ascii="Times New Roman" w:hAnsi="Times New Roman"/>
          <w:b/>
          <w:sz w:val="20"/>
        </w:rPr>
        <w:t xml:space="preserve">"Agreement") </w:t>
      </w:r>
      <w:r>
        <w:rPr>
          <w:rFonts w:ascii="Times New Roman" w:hAnsi="Times New Roman"/>
          <w:b w:val="false"/>
          <w:sz w:val="20"/>
        </w:rPr>
        <w:t>to you. This Agreement will be effective only if you sign and return this Agreement within ten (10) business days.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1.</w:t>
      </w:r>
    </w:p>
    <w:p>
      <w:pPr>
        <w:pStyle w:val="TextBody"/>
        <w:spacing w:lineRule="auto" w:line="273" w:before="120" w:after="283"/>
        <w:jc w:val="left"/>
        <w:rPr/>
      </w:pPr>
      <w:r>
        <w:rPr>
          <w:rFonts w:ascii="Times New Roman" w:hAnsi="Times New Roman"/>
          <w:b/>
          <w:sz w:val="20"/>
        </w:rPr>
        <w:t xml:space="preserve">Eligibility / Change in Control Severance Benefits. </w:t>
      </w:r>
      <w:r>
        <w:rPr>
          <w:rFonts w:ascii="Times New Roman" w:hAnsi="Times New Roman"/>
          <w:b w:val="false"/>
          <w:sz w:val="19"/>
        </w:rPr>
        <w:t xml:space="preserve">If </w:t>
      </w:r>
      <w:r>
        <w:rPr>
          <w:rFonts w:ascii="Times New Roman" w:hAnsi="Times New Roman"/>
          <w:b w:val="false"/>
          <w:sz w:val="20"/>
        </w:rPr>
        <w:t xml:space="preserve">(i) your employment is terminated by the Company without Cause (other than due to your death or disability), or you resign your employment for Good Reason (either, a </w:t>
      </w:r>
      <w:r>
        <w:rPr>
          <w:rFonts w:ascii="Times New Roman" w:hAnsi="Times New Roman"/>
          <w:b/>
          <w:sz w:val="20"/>
        </w:rPr>
        <w:t xml:space="preserve">"Qualifying Termination"), </w:t>
      </w:r>
      <w:r>
        <w:rPr>
          <w:rFonts w:ascii="Times New Roman" w:hAnsi="Times New Roman"/>
          <w:b w:val="false"/>
          <w:sz w:val="20"/>
        </w:rPr>
        <w:t xml:space="preserve">within the Change in Control Period and (ii) you satisfy the Release Requirement (as defined in Section 2 below), then you will receive the following </w:t>
      </w:r>
      <w:r>
        <w:rPr>
          <w:rFonts w:ascii="Times New Roman" w:hAnsi="Times New Roman"/>
          <w:b/>
          <w:sz w:val="20"/>
        </w:rPr>
        <w:t>"Severance Benefits":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1.1 Severance Payment. </w:t>
      </w:r>
      <w:r>
        <w:rPr>
          <w:rFonts w:ascii="Times New Roman" w:hAnsi="Times New Roman"/>
          <w:b w:val="false"/>
          <w:sz w:val="20"/>
        </w:rPr>
        <w:t xml:space="preserve">A severance payment equal to twelve (12) months of your final monthly base salary (the </w:t>
      </w:r>
      <w:r>
        <w:rPr>
          <w:rFonts w:ascii="Times New Roman" w:hAnsi="Times New Roman"/>
          <w:b/>
          <w:sz w:val="20"/>
        </w:rPr>
        <w:t xml:space="preserve">"Severance Payment"). </w:t>
      </w:r>
      <w:r>
        <w:rPr>
          <w:rFonts w:ascii="Times New Roman" w:hAnsi="Times New Roman"/>
          <w:b w:val="false"/>
          <w:sz w:val="20"/>
        </w:rPr>
        <w:t xml:space="preserve">The Severance Payment will be paid to you, in the form of a lump sum payment, subject to required payroll deductions and tax withholdings, within twenty (20) business days following the Release Effective Date (as defined in Section 2 below). For purposes of calculating the Severance Payment, your final base salary will be calculated prior to giving effect to any reduction </w:t>
      </w:r>
      <w:r>
        <w:rPr>
          <w:rFonts w:ascii="Times New Roman" w:hAnsi="Times New Roman"/>
          <w:b w:val="false"/>
          <w:sz w:val="21"/>
        </w:rPr>
        <w:t xml:space="preserve">in </w:t>
      </w:r>
      <w:r>
        <w:rPr>
          <w:rFonts w:ascii="Times New Roman" w:hAnsi="Times New Roman"/>
          <w:b w:val="false"/>
          <w:sz w:val="20"/>
        </w:rPr>
        <w:t>base salary that would give rise to your right to resign for Good Reason.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1.2 Prorata Bonus Payment. </w:t>
      </w:r>
      <w:r>
        <w:rPr>
          <w:rFonts w:ascii="Times New Roman" w:hAnsi="Times New Roman"/>
          <w:b w:val="false"/>
          <w:sz w:val="19"/>
        </w:rPr>
        <w:t xml:space="preserve">An </w:t>
      </w:r>
      <w:r>
        <w:rPr>
          <w:rFonts w:ascii="Times New Roman" w:hAnsi="Times New Roman"/>
          <w:b w:val="false"/>
          <w:sz w:val="20"/>
        </w:rPr>
        <w:t xml:space="preserve">amount equal to a prorated portion of your target bonus amount for the Termination Year (the </w:t>
      </w:r>
      <w:r>
        <w:rPr>
          <w:rFonts w:ascii="Times New Roman" w:hAnsi="Times New Roman"/>
          <w:b/>
          <w:sz w:val="20"/>
        </w:rPr>
        <w:t xml:space="preserve">"Target Bonus Amount") </w:t>
      </w:r>
      <w:r>
        <w:rPr>
          <w:rFonts w:ascii="Times New Roman" w:hAnsi="Times New Roman"/>
          <w:b w:val="false"/>
          <w:sz w:val="20"/>
        </w:rPr>
        <w:t>that corresponds to your service</w:t>
      </w:r>
      <w:r>
        <w:rPr>
          <w:rFonts w:ascii="Times New Roman" w:hAnsi="Times New Roman"/>
          <w:sz w:val="20"/>
        </w:rPr>
        <w:t xml:space="preserve"> </w:t>
      </w:r>
      <w:r>
        <w:rPr>
          <w:rFonts w:ascii="Times New Roman" w:hAnsi="Times New Roman"/>
          <w:b w:val="false"/>
          <w:sz w:val="20"/>
        </w:rPr>
        <w:t xml:space="preserve">during the Termination Year (the </w:t>
      </w:r>
      <w:r>
        <w:rPr>
          <w:rFonts w:ascii="Times New Roman" w:hAnsi="Times New Roman"/>
          <w:b/>
          <w:sz w:val="20"/>
        </w:rPr>
        <w:t xml:space="preserve">"Prorata Bonus Payment" </w:t>
      </w:r>
      <w:r>
        <w:rPr>
          <w:rFonts w:ascii="Times New Roman" w:hAnsi="Times New Roman"/>
          <w:b w:val="false"/>
          <w:sz w:val="20"/>
        </w:rPr>
        <w:t>which shall be calculated by multiplying (i) the Target Bonus Amount, by (ii) a fraction, the numerator of which is the number of days during the Termination Year that you were employed by the Company and the denominator of which is three hundred and sixty-five (365). The Prorata Bonus Payment will be paid to you, in the form of a lump sum payment, subject to required payroll deductions and tax withholdings, within twenty (20) business days following the Release Effective Date. For purposes of calculating the Target Bonus Amount for any Termination Year, your final base salary will be calculated prior to giving effect to any reduction in base salary that would give rise to your right to resign for Good Reason.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1.3 Prior Year Bonus Payment. </w:t>
      </w:r>
      <w:r>
        <w:rPr>
          <w:rFonts w:ascii="Times New Roman" w:hAnsi="Times New Roman"/>
          <w:b w:val="false"/>
          <w:sz w:val="19"/>
        </w:rPr>
        <w:t xml:space="preserve">If </w:t>
      </w:r>
      <w:r>
        <w:rPr>
          <w:rFonts w:ascii="Times New Roman" w:hAnsi="Times New Roman"/>
          <w:b w:val="false"/>
          <w:sz w:val="20"/>
        </w:rPr>
        <w:t xml:space="preserve">the Qualifying Termination occurs prior to the date on which bonuses are paid for the year immediately preceding the Termination Year (the </w:t>
      </w:r>
      <w:r>
        <w:rPr>
          <w:rFonts w:ascii="Times New Roman" w:hAnsi="Times New Roman"/>
          <w:b/>
          <w:sz w:val="20"/>
        </w:rPr>
        <w:t xml:space="preserve">"Prior Year"), </w:t>
      </w:r>
      <w:r>
        <w:rPr>
          <w:rFonts w:ascii="Times New Roman" w:hAnsi="Times New Roman"/>
          <w:b w:val="false"/>
          <w:sz w:val="20"/>
        </w:rPr>
        <w:t xml:space="preserve">an amount equal to your full target bonus amount for the Prior Year (the </w:t>
      </w:r>
      <w:r>
        <w:rPr>
          <w:rFonts w:ascii="Times New Roman" w:hAnsi="Times New Roman"/>
          <w:b/>
          <w:sz w:val="20"/>
        </w:rPr>
        <w:t xml:space="preserve">"Prior Year Bonus Payment"). </w:t>
      </w:r>
      <w:r>
        <w:rPr>
          <w:rFonts w:ascii="Times New Roman" w:hAnsi="Times New Roman"/>
          <w:b w:val="false"/>
          <w:sz w:val="20"/>
        </w:rPr>
        <w:t>The Prior Year Bonus Payment will be paid to you (if applicable), in the form of a lump sum payment, subject to required payroll deductions and tax withholdings, within twenty (20) business days following the Release Effective Date. For purposes of calculating the Prior Year Bonus Payment, your final base salary will be calculated prior to giving effect to any reduction in base salary that would give rise to your right to resign for Good Reason.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1.4 Accelerated Vesting and Continuation of Exercise Period. </w:t>
      </w:r>
      <w:r>
        <w:rPr>
          <w:rFonts w:ascii="Times New Roman" w:hAnsi="Times New Roman"/>
          <w:b w:val="false"/>
          <w:sz w:val="20"/>
        </w:rPr>
        <w:t xml:space="preserve">Accelerated vesting of all outstanding units, shares, or options(as the case may be), and continuation of exercise period of all units, shares, or options (as the case may be) until the expiration date of the outstanding units, shares, or options (the </w:t>
      </w:r>
      <w:r>
        <w:rPr>
          <w:rFonts w:ascii="Times New Roman" w:hAnsi="Times New Roman"/>
          <w:b/>
          <w:sz w:val="20"/>
        </w:rPr>
        <w:t xml:space="preserve">"Exercise Term"), </w:t>
      </w:r>
      <w:r>
        <w:rPr>
          <w:rFonts w:ascii="Times New Roman" w:hAnsi="Times New Roman"/>
          <w:b w:val="false"/>
          <w:sz w:val="20"/>
        </w:rPr>
        <w:t xml:space="preserve">under a separate consulting agreement </w:t>
      </w:r>
      <w:r>
        <w:rPr>
          <w:rFonts w:ascii="Times New Roman" w:hAnsi="Times New Roman"/>
          <w:b/>
          <w:sz w:val="20"/>
        </w:rPr>
        <w:t xml:space="preserve">("Consulting Agreement") </w:t>
      </w:r>
      <w:r>
        <w:rPr>
          <w:rFonts w:ascii="Times New Roman" w:hAnsi="Times New Roman"/>
          <w:b w:val="false"/>
          <w:sz w:val="20"/>
        </w:rPr>
        <w:t xml:space="preserve">between you and the Company, a version of which is attached hereto as </w:t>
      </w:r>
      <w:r>
        <w:rPr>
          <w:rFonts w:ascii="Times New Roman" w:hAnsi="Times New Roman"/>
          <w:b/>
          <w:sz w:val="20"/>
        </w:rPr>
        <w:t xml:space="preserve">Exhibit A. </w:t>
      </w:r>
      <w:r>
        <w:rPr>
          <w:rFonts w:ascii="Times New Roman" w:hAnsi="Times New Roman"/>
          <w:b w:val="false"/>
          <w:sz w:val="20"/>
        </w:rPr>
        <w:t>The Consulting Agreement shall include the following terms: 1) the term of the Consulting Agreement shall equal the Exercise Term, 2) the nature of services shall be mutually agreed upon, 3) there shall be a $100.00 annual retainer fee, and 4) the compensation for the services shall be at a mutually agreed upon hourly rate. For clarity, you will retain the benefits of your units, shares, or options (as the case may be) for the full exercise period of such units, shares, or options (as the case may be).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1.5 Other Terminations. </w:t>
      </w:r>
      <w:r>
        <w:rPr>
          <w:rFonts w:ascii="Times New Roman" w:hAnsi="Times New Roman"/>
          <w:b w:val="false"/>
          <w:sz w:val="20"/>
        </w:rPr>
        <w:t>You will not be eligible for, or entitled to any severance benefits, including (without limitation) the Severance Benefits listed in this Section 1, if (i) the Company terminates your employment for Cause, (ii) you resign your employment without Good Reason, (iii) your employment terminates due to your death or disability (iv) the Company terminates your employment without Cause outside the Change in Control Period, or (v) you resign with Good Reason outside the Change in Control Period.</w:t>
      </w:r>
    </w:p>
    <w:p>
      <w:pPr>
        <w:pStyle w:val="TextBody"/>
        <w:spacing w:lineRule="auto" w:line="273" w:before="0" w:after="0"/>
        <w:jc w:val="left"/>
        <w:rPr/>
      </w:pPr>
      <w:r>
        <w:rPr/>
        <w:t> </w:t>
      </w:r>
    </w:p>
    <w:p>
      <w:pPr>
        <w:pStyle w:val="HorizontalLine"/>
        <w:rPr/>
      </w:pPr>
      <w:r>
        <w:rPr/>
      </w:r>
    </w:p>
    <w:p>
      <w:pPr>
        <w:pStyle w:val="TextBody"/>
        <w:spacing w:lineRule="auto" w:line="273" w:before="120" w:after="0"/>
        <w:jc w:val="left"/>
        <w:rPr>
          <w:rFonts w:ascii="Times New Roman" w:hAnsi="Times New Roman"/>
          <w:b/>
          <w:sz w:val="20"/>
        </w:rPr>
      </w:pPr>
      <w:r>
        <w:rPr>
          <w:rFonts w:ascii="Times New Roman" w:hAnsi="Times New Roman"/>
          <w:b/>
          <w:sz w:val="20"/>
        </w:rPr>
        <w:t>2.</w:t>
      </w:r>
    </w:p>
    <w:p>
      <w:pPr>
        <w:pStyle w:val="TextBody"/>
        <w:spacing w:lineRule="auto" w:line="273" w:before="120" w:after="283"/>
        <w:jc w:val="left"/>
        <w:rPr/>
      </w:pPr>
      <w:r>
        <w:rPr>
          <w:rFonts w:ascii="Times New Roman" w:hAnsi="Times New Roman"/>
          <w:b/>
          <w:sz w:val="20"/>
        </w:rPr>
        <w:t xml:space="preserve">Conditions to Receipt of Severance Benefits. </w:t>
      </w:r>
      <w:r>
        <w:rPr>
          <w:rFonts w:ascii="Times New Roman" w:hAnsi="Times New Roman"/>
          <w:b w:val="false"/>
          <w:sz w:val="20"/>
        </w:rPr>
        <w:t xml:space="preserve">To be eligible for any of the Severance Benefits pursuant to Section 1 of this Agreement, you must satisfy the following release requirement (the </w:t>
      </w:r>
      <w:r>
        <w:rPr>
          <w:rFonts w:ascii="Times New Roman" w:hAnsi="Times New Roman"/>
          <w:b/>
          <w:sz w:val="20"/>
        </w:rPr>
        <w:t xml:space="preserve">"Release Requirement"): </w:t>
      </w:r>
      <w:r>
        <w:rPr>
          <w:rFonts w:ascii="Times New Roman" w:hAnsi="Times New Roman"/>
          <w:b w:val="false"/>
          <w:sz w:val="20"/>
        </w:rPr>
        <w:t xml:space="preserve">return to the Company a signed and dated general release of all known and unknown claims in a termination agreement acceptable to the Company (the </w:t>
      </w:r>
      <w:r>
        <w:rPr>
          <w:rFonts w:ascii="Times New Roman" w:hAnsi="Times New Roman"/>
          <w:b/>
          <w:sz w:val="20"/>
        </w:rPr>
        <w:t xml:space="preserve">"Release") </w:t>
      </w:r>
      <w:r>
        <w:rPr>
          <w:rFonts w:ascii="Times New Roman" w:hAnsi="Times New Roman"/>
          <w:b w:val="false"/>
          <w:sz w:val="20"/>
        </w:rPr>
        <w:t xml:space="preserve">within the applicable deadline set forth therein, but in no event later than forty-five (45) calendar days following your termination date, and permit the Release to become effective and irrevocable in accordance with its terms (such effective date of the Release, the </w:t>
      </w:r>
      <w:r>
        <w:rPr>
          <w:rFonts w:ascii="Times New Roman" w:hAnsi="Times New Roman"/>
          <w:b/>
          <w:sz w:val="20"/>
        </w:rPr>
        <w:t xml:space="preserve">"Release Effective Date"). </w:t>
      </w:r>
      <w:r>
        <w:rPr>
          <w:rFonts w:ascii="Times New Roman" w:hAnsi="Times New Roman"/>
          <w:b w:val="false"/>
          <w:sz w:val="20"/>
        </w:rPr>
        <w:t>No Severance Benefits will be paid hereunder prior to the Release Effective Date. Accordingly, if you refuse to sign and deliver to the Company an executed Release or you sign and deliver to the Company the Release but exercise your right, if any, under applicable law to revoke the Release (or any portion thereof), then you will not be entitled to any severance, payment or benefit under this Agreement.</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3.</w:t>
      </w:r>
    </w:p>
    <w:p>
      <w:pPr>
        <w:pStyle w:val="TextBody"/>
        <w:spacing w:lineRule="auto" w:line="273" w:before="120" w:after="283"/>
        <w:jc w:val="left"/>
        <w:rPr/>
      </w:pPr>
      <w:r>
        <w:rPr>
          <w:rFonts w:ascii="Times New Roman" w:hAnsi="Times New Roman"/>
          <w:b/>
          <w:sz w:val="20"/>
        </w:rPr>
        <w:t xml:space="preserve">IRS Code Section 409A. </w:t>
      </w:r>
      <w:r>
        <w:rPr>
          <w:rFonts w:ascii="Times New Roman" w:hAnsi="Times New Roman"/>
          <w:b w:val="false"/>
          <w:sz w:val="20"/>
        </w:rPr>
        <w:t xml:space="preserve">All payments provided hereunder are intended to constitute separate payments for purposes of Treasury Regulation Section l .409A-2(b)(2). </w:t>
      </w:r>
      <w:r>
        <w:rPr>
          <w:rFonts w:ascii="Times New Roman" w:hAnsi="Times New Roman"/>
          <w:b w:val="false"/>
          <w:sz w:val="19"/>
        </w:rPr>
        <w:t xml:space="preserve">If </w:t>
      </w:r>
      <w:r>
        <w:rPr>
          <w:rFonts w:ascii="Times New Roman" w:hAnsi="Times New Roman"/>
          <w:b w:val="false"/>
          <w:sz w:val="20"/>
        </w:rPr>
        <w:t xml:space="preserve">the Company determines that any benefits provided under this Agreement constitute "deferred compensation" under Section 409A of the Internal Revenue Code of 1986 as amended </w:t>
      </w:r>
      <w:r>
        <w:rPr>
          <w:rFonts w:ascii="Times New Roman" w:hAnsi="Times New Roman"/>
          <w:b/>
          <w:sz w:val="20"/>
        </w:rPr>
        <w:t xml:space="preserve">("Section 409A"), </w:t>
      </w:r>
      <w:r>
        <w:rPr>
          <w:rFonts w:ascii="Times New Roman" w:hAnsi="Times New Roman"/>
          <w:b w:val="false"/>
          <w:sz w:val="20"/>
        </w:rPr>
        <w:t>such benefits will not commence in connection with your termination of employment unless such termination also qualifies as a "separation from service" with the Company within the meaning of Treasury Regulation Section l.409A</w:t>
        <w:softHyphen/>
        <w:t xml:space="preserve"> l(h) (without regard to any permissible alternative definition thereunder) </w:t>
      </w:r>
      <w:r>
        <w:rPr>
          <w:rFonts w:ascii="Times New Roman" w:hAnsi="Times New Roman"/>
          <w:b/>
          <w:sz w:val="20"/>
        </w:rPr>
        <w:t xml:space="preserve">("Separation from Service"). </w:t>
      </w:r>
      <w:r>
        <w:rPr>
          <w:rFonts w:ascii="Times New Roman" w:hAnsi="Times New Roman"/>
          <w:b w:val="false"/>
          <w:sz w:val="19"/>
        </w:rPr>
        <w:t xml:space="preserve">If </w:t>
      </w:r>
      <w:r>
        <w:rPr>
          <w:rFonts w:ascii="Times New Roman" w:hAnsi="Times New Roman"/>
          <w:b w:val="false"/>
          <w:sz w:val="20"/>
        </w:rPr>
        <w:t xml:space="preserve">the Company determines that any benefits provided under this Agreement constitute "deferred compensation" under Section 409A and you are a "specified employee" of the Company or any affiliate thereof (or any successor entity thereto) within the meaning of Section 409A(a)(2)(B)(i) of the Code on the date of your Separation from Service, then the payment of any such benefits shall be delayed until the earlier of: (i) the date that is six (6) months and one (1) day after the date of your Separation from Service, or (ii) the date of your death (such date, the </w:t>
      </w:r>
      <w:r>
        <w:rPr>
          <w:rFonts w:ascii="Times New Roman" w:hAnsi="Times New Roman"/>
          <w:b/>
          <w:sz w:val="20"/>
        </w:rPr>
        <w:t xml:space="preserve">"Delayed Payment Date"), </w:t>
      </w:r>
      <w:r>
        <w:rPr>
          <w:rFonts w:ascii="Times New Roman" w:hAnsi="Times New Roman"/>
          <w:b w:val="false"/>
          <w:sz w:val="20"/>
        </w:rPr>
        <w:t>and the Company (or the successor entity thereto, as applicable) shall (A) pay to you a lump sum amount equal to the sum of the benefit payments that otherwise would have been paid to you on or before the Delayed Payment Date, without any adjustment on account of such delay, and (B) continue the benefit payments in accordance with any applicable payment schedules set forth for the balance of the period specified herein. In addition to the above, to the extent required to comply with Section 409A and the applicable regulations and guidance issued thereunder, if the applicable deadline for you to execute (and not revoke) the applicable Release spans two calendar years, the Release Effective Date shall not be deemed to occur until the second calendar year.</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4.</w:t>
      </w:r>
    </w:p>
    <w:p>
      <w:pPr>
        <w:pStyle w:val="TextBody"/>
        <w:spacing w:lineRule="auto" w:line="273" w:before="120" w:after="283"/>
        <w:jc w:val="left"/>
        <w:rPr>
          <w:rFonts w:ascii="Times New Roman" w:hAnsi="Times New Roman"/>
          <w:b/>
          <w:sz w:val="20"/>
        </w:rPr>
      </w:pPr>
      <w:r>
        <w:rPr>
          <w:rFonts w:ascii="Times New Roman" w:hAnsi="Times New Roman"/>
          <w:b/>
          <w:sz w:val="20"/>
        </w:rPr>
        <w:t>Section 280G; Limitations on Payment.</w:t>
      </w:r>
    </w:p>
    <w:p>
      <w:pPr>
        <w:pStyle w:val="TextBody"/>
        <w:spacing w:lineRule="auto" w:line="273" w:before="0" w:after="0"/>
        <w:jc w:val="left"/>
        <w:rPr>
          <w:rFonts w:ascii="Times New Roman" w:hAnsi="Times New Roman"/>
          <w:sz w:val="20"/>
        </w:rPr>
      </w:pPr>
      <w:r>
        <w:rPr>
          <w:rFonts w:ascii="Times New Roman" w:hAnsi="Times New Roman"/>
          <w:b w:val="false"/>
          <w:sz w:val="22"/>
        </w:rPr>
        <w:br/>
      </w:r>
      <w:r>
        <w:rPr>
          <w:rFonts w:ascii="Times New Roman" w:hAnsi="Times New Roman"/>
          <w:sz w:val="20"/>
        </w:rPr>
        <w:t> </w:t>
      </w:r>
    </w:p>
    <w:p>
      <w:pPr>
        <w:pStyle w:val="TextBody"/>
        <w:spacing w:lineRule="auto" w:line="273" w:before="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val="false"/>
          <w:sz w:val="20"/>
        </w:rPr>
        <w:t xml:space="preserve">If any pay mentor benefit you will or may receive from the Company or otherwise (a </w:t>
      </w:r>
      <w:r>
        <w:rPr>
          <w:rFonts w:ascii="Times New Roman" w:hAnsi="Times New Roman"/>
          <w:b/>
          <w:sz w:val="20"/>
        </w:rPr>
        <w:t xml:space="preserve">"280G Payment") </w:t>
      </w:r>
      <w:r>
        <w:rPr>
          <w:rFonts w:ascii="Times New Roman" w:hAnsi="Times New Roman"/>
          <w:b w:val="false"/>
          <w:sz w:val="20"/>
        </w:rPr>
        <w:t xml:space="preserve">would (i) constitute a "parachute payment" within the meaning of Section 280G of the Code, and (ii) but for this sentence, be subject to the excise tax imposed by Section 4999 of the Code (the </w:t>
      </w:r>
      <w:r>
        <w:rPr>
          <w:rFonts w:ascii="Times New Roman" w:hAnsi="Times New Roman"/>
          <w:b/>
          <w:sz w:val="20"/>
        </w:rPr>
        <w:t xml:space="preserve">"Excise Tax"), </w:t>
      </w:r>
      <w:r>
        <w:rPr>
          <w:rFonts w:ascii="Times New Roman" w:hAnsi="Times New Roman"/>
          <w:b w:val="false"/>
          <w:sz w:val="20"/>
        </w:rPr>
        <w:t xml:space="preserve">then any such 280G Payment provided pursuant to this Agreement (a </w:t>
      </w:r>
      <w:r>
        <w:rPr>
          <w:rFonts w:ascii="Times New Roman" w:hAnsi="Times New Roman"/>
          <w:b/>
          <w:sz w:val="20"/>
        </w:rPr>
        <w:t xml:space="preserve">"Payment") </w:t>
      </w:r>
      <w:r>
        <w:rPr>
          <w:rFonts w:ascii="Times New Roman" w:hAnsi="Times New Roman"/>
          <w:b w:val="false"/>
          <w:sz w:val="20"/>
        </w:rPr>
        <w:t xml:space="preserve">shall be equal to the Reduced Amount. The </w:t>
      </w:r>
      <w:r>
        <w:rPr>
          <w:rFonts w:ascii="Times New Roman" w:hAnsi="Times New Roman"/>
          <w:b/>
          <w:sz w:val="20"/>
        </w:rPr>
        <w:t xml:space="preserve">"Reduced Amount" </w:t>
      </w:r>
      <w:r>
        <w:rPr>
          <w:rFonts w:ascii="Times New Roman" w:hAnsi="Times New Roman"/>
          <w:b w:val="false"/>
          <w:sz w:val="20"/>
        </w:rPr>
        <w:t xml:space="preserve">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manner(the </w:t>
      </w:r>
      <w:r>
        <w:rPr>
          <w:rFonts w:ascii="Times New Roman" w:hAnsi="Times New Roman"/>
          <w:b/>
          <w:sz w:val="20"/>
        </w:rPr>
        <w:t xml:space="preserve">"Reduction Method") </w:t>
      </w:r>
      <w:r>
        <w:rPr>
          <w:rFonts w:ascii="Times New Roman" w:hAnsi="Times New Roman"/>
          <w:b w:val="false"/>
          <w:sz w:val="20"/>
        </w:rPr>
        <w:t xml:space="preserve">that results in the greatest economic benefit for you. If more than one method of reduction will result in the same economic benefit, the items so reduced will be reduced pro rata (the </w:t>
      </w:r>
      <w:r>
        <w:rPr>
          <w:rFonts w:ascii="Times New Roman" w:hAnsi="Times New Roman"/>
          <w:b/>
          <w:sz w:val="20"/>
        </w:rPr>
        <w:t>"Pro Rata Reduction Method").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4.2 </w:t>
      </w:r>
      <w:r>
        <w:rPr>
          <w:rFonts w:ascii="Times New Roman" w:hAnsi="Times New Roman"/>
          <w:b w:val="false"/>
          <w:sz w:val="20"/>
        </w:rPr>
        <w:t>Notwithstanding any provision of Section 4.1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Executive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reduced(or eliminated) before Payments that are not deferred compensation within the meaning of Section 409A.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4.3 </w:t>
      </w:r>
      <w:r>
        <w:rPr>
          <w:rFonts w:ascii="Times New Roman" w:hAnsi="Times New Roman"/>
          <w:b w:val="false"/>
          <w:sz w:val="20"/>
        </w:rPr>
        <w:t>Unless you and the Company agree on an alternative accounting firm or, the accounting firm engaged by the Company for general tax compliance purposes as of the day prior to the effective date of the Change in Control transaction shall perform the foregoing calculations. If the accounting firm so engaged by the Company is serving as</w:t>
      </w:r>
      <w:r>
        <w:rPr>
          <w:rFonts w:ascii="Times New Roman" w:hAnsi="Times New Roman"/>
          <w:sz w:val="20"/>
        </w:rPr>
        <w:t xml:space="preserve"> </w:t>
      </w:r>
    </w:p>
    <w:p>
      <w:pPr>
        <w:pStyle w:val="HorizontalLine"/>
        <w:rPr/>
      </w:pPr>
      <w:r>
        <w:rPr/>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accountant or auditor for the individual, entity or group effecting the Change in Control transaction, the Company shall appoint a nationally recognized accounting or law firm to make the determinations required by this Section 4. The Company shall bear all expenses with respect to the determinations by such accounting firm required to be made hereunder. The Company shall use commercially reasonable efforts to cause the accounting or law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Company)or such other time as requested by you or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4.4 </w:t>
      </w:r>
      <w:r>
        <w:rPr>
          <w:rFonts w:ascii="Times New Roman" w:hAnsi="Times New Roman"/>
          <w:b w:val="false"/>
          <w:sz w:val="20"/>
        </w:rPr>
        <w:t>If you receive a Payment for which the Reduced Amount was determined pursuant to clause (x) of Section 4.1 and the Internal Revenue Service determines thereafter that some portion of the Payment is subject to the Excise Tax, you agree to promptly return to the Company a sufficient amount of the Payment (after reduction pursuant to clause (x) of Section 4.1) so that no portion of the remaining Payment is subject to the Excise Tax. For the avoidance of doubt, if the Reduced Amount was determined pursuant to clause (y) of Section 4.1, you shall have no obligation to return any portion of the Payment pursuant to the preceding sentence.</w:t>
      </w:r>
    </w:p>
    <w:p>
      <w:pPr>
        <w:pStyle w:val="TextBody"/>
        <w:spacing w:lineRule="auto" w:line="273" w:before="0" w:after="0"/>
        <w:jc w:val="left"/>
        <w:rPr>
          <w:rFonts w:ascii="Times New Roman" w:hAnsi="Times New Roman"/>
          <w:sz w:val="20"/>
        </w:rPr>
      </w:pPr>
      <w:r>
        <w:rPr>
          <w:rFonts w:ascii="Times New Roman" w:hAnsi="Times New Roman"/>
          <w:b w:val="false"/>
          <w:sz w:val="19"/>
        </w:rPr>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5.</w:t>
      </w:r>
    </w:p>
    <w:p>
      <w:pPr>
        <w:pStyle w:val="TextBody"/>
        <w:spacing w:lineRule="auto" w:line="273" w:before="120" w:after="283"/>
        <w:jc w:val="left"/>
        <w:rPr>
          <w:rFonts w:ascii="Times New Roman" w:hAnsi="Times New Roman"/>
          <w:b/>
          <w:sz w:val="20"/>
        </w:rPr>
      </w:pPr>
      <w:r>
        <w:rPr>
          <w:rFonts w:ascii="Times New Roman" w:hAnsi="Times New Roman"/>
          <w:b/>
          <w:sz w:val="20"/>
        </w:rPr>
        <w:t>Definitions.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5.1 Cause. </w:t>
      </w:r>
      <w:r>
        <w:rPr>
          <w:rFonts w:ascii="Times New Roman" w:hAnsi="Times New Roman"/>
          <w:b w:val="false"/>
          <w:sz w:val="20"/>
        </w:rPr>
        <w:t xml:space="preserve">For purposes of this Agreement, </w:t>
      </w:r>
      <w:r>
        <w:rPr>
          <w:rFonts w:ascii="Times New Roman" w:hAnsi="Times New Roman"/>
          <w:b/>
          <w:i/>
          <w:sz w:val="20"/>
        </w:rPr>
        <w:t xml:space="preserve">"Cause" </w:t>
      </w:r>
      <w:r>
        <w:rPr>
          <w:rFonts w:ascii="Times New Roman" w:hAnsi="Times New Roman"/>
          <w:b w:val="false"/>
          <w:sz w:val="20"/>
        </w:rPr>
        <w:t>shall mean the following, as determined by the Board in its reasonable judgment: (i) your failure to perform, or material negligence in the performance of, your duties and responsibilities to the Company or any of its affiliates; (ii) your material breach of any [material] agreement between you and the Company or any of its affiliates; (iii) willful misconduct by you that is or could reasonably be expected to be materially harmful to the business interests or reputation of the Company or any of its affiliates; or (iv) your conviction of (or the pleading by you of nolo contendere to) any felony.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5.2 Change in Control. </w:t>
      </w:r>
      <w:r>
        <w:rPr>
          <w:rFonts w:ascii="Times New Roman" w:hAnsi="Times New Roman"/>
          <w:b w:val="false"/>
          <w:sz w:val="20"/>
        </w:rPr>
        <w:t xml:space="preserve">For purposes of this Agreement, the term </w:t>
      </w:r>
      <w:r>
        <w:rPr>
          <w:rFonts w:ascii="Times New Roman" w:hAnsi="Times New Roman"/>
          <w:b/>
          <w:sz w:val="20"/>
        </w:rPr>
        <w:t xml:space="preserve">"Change in Control" </w:t>
      </w:r>
      <w:r>
        <w:rPr>
          <w:rFonts w:ascii="Times New Roman" w:hAnsi="Times New Roman"/>
          <w:b w:val="false"/>
          <w:sz w:val="20"/>
        </w:rPr>
        <w:t xml:space="preserve">means a </w:t>
      </w:r>
      <w:r>
        <w:rPr>
          <w:rFonts w:ascii="Times New Roman" w:hAnsi="Times New Roman"/>
          <w:b/>
          <w:sz w:val="20"/>
        </w:rPr>
        <w:t xml:space="preserve">"Sale of the Company", </w:t>
      </w:r>
      <w:r>
        <w:rPr>
          <w:rFonts w:ascii="Times New Roman" w:hAnsi="Times New Roman"/>
          <w:b w:val="false"/>
          <w:sz w:val="20"/>
        </w:rPr>
        <w:t>as that term is defined in section 2.34 of the Second Amended and Restated Operating Agreement of the Company.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5.3 Change in Control Period. </w:t>
      </w:r>
      <w:r>
        <w:rPr>
          <w:rFonts w:ascii="Times New Roman" w:hAnsi="Times New Roman"/>
          <w:b w:val="false"/>
          <w:sz w:val="20"/>
        </w:rPr>
        <w:t xml:space="preserve">For purposes of this Agreement, </w:t>
      </w:r>
      <w:r>
        <w:rPr>
          <w:rFonts w:ascii="Times New Roman" w:hAnsi="Times New Roman"/>
          <w:b/>
          <w:sz w:val="20"/>
        </w:rPr>
        <w:t xml:space="preserve">"Change in Control Period" </w:t>
      </w:r>
      <w:r>
        <w:rPr>
          <w:rFonts w:ascii="Times New Roman" w:hAnsi="Times New Roman"/>
          <w:b w:val="false"/>
          <w:sz w:val="20"/>
        </w:rPr>
        <w:t>means the time period commencing three (3) months before the effective date of a Change in Control and ending on the date that is twelve (12) months after the effective date of a Change in Control.</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5.4 Good Reason. </w:t>
      </w:r>
      <w:r>
        <w:rPr>
          <w:rFonts w:ascii="Times New Roman" w:hAnsi="Times New Roman"/>
          <w:b w:val="false"/>
          <w:sz w:val="20"/>
        </w:rPr>
        <w:t xml:space="preserve">For purposes of this Agreement, you shall have </w:t>
      </w:r>
      <w:r>
        <w:rPr>
          <w:rFonts w:ascii="Times New Roman" w:hAnsi="Times New Roman"/>
          <w:b/>
          <w:sz w:val="20"/>
        </w:rPr>
        <w:t xml:space="preserve">"Good Reason" </w:t>
      </w:r>
      <w:r>
        <w:rPr>
          <w:rFonts w:ascii="Times New Roman" w:hAnsi="Times New Roman"/>
          <w:b w:val="false"/>
          <w:sz w:val="20"/>
        </w:rPr>
        <w:t xml:space="preserve">for resignation from employment with the Company if any of the following actions are taken by the Company without your prior written consent: (i) a material reduction in your base salary, unless pursuant to a salary reduction program applicable generally to the Company's senior executives; (ii) a material reduction in your duties (including responsibilities and/or authorities), provided, however, that a change in job position (including a change in title) shall not be deemed a "material reduction" in and of itself unless your new duties are materially reduced from the prior duties; or (iii) relocation of your principal place of employment to a place that increases your one-way commute by more than thirty-five (35) miles as compared to your then-current principal place of employment immediately prior to such relocation. In order for you to resign for Good Reason, each of the following requirements must be met: (A) you must provide written notice to the Company within thirty (30) calendar days after the first occurrence of the event giving rise to Good Reason setting forth the basis for your resignation, </w:t>
      </w:r>
      <w:r>
        <w:rPr>
          <w:rFonts w:ascii="Times New Roman" w:hAnsi="Times New Roman"/>
          <w:b/>
          <w:sz w:val="20"/>
        </w:rPr>
        <w:t xml:space="preserve">(B) </w:t>
      </w:r>
      <w:r>
        <w:rPr>
          <w:rFonts w:ascii="Times New Roman" w:hAnsi="Times New Roman"/>
          <w:b w:val="false"/>
          <w:sz w:val="20"/>
        </w:rPr>
        <w:t xml:space="preserve">you must allow the Company at least thirty (30) calendar days from receipt of such written notice to cure such event, (C) such event is not reasonably cured by the Company within such thirty (30) calendar day period (the </w:t>
      </w:r>
      <w:r>
        <w:rPr>
          <w:rFonts w:ascii="Times New Roman" w:hAnsi="Times New Roman"/>
          <w:b/>
          <w:sz w:val="20"/>
        </w:rPr>
        <w:t xml:space="preserve">"Cure Period"), </w:t>
      </w:r>
      <w:r>
        <w:rPr>
          <w:rFonts w:ascii="Times New Roman" w:hAnsi="Times New Roman"/>
          <w:b w:val="false"/>
          <w:sz w:val="20"/>
        </w:rPr>
        <w:t>and (D) you must resign from all positions you then hold with the Company not later than thirty (30) calendar days after the expiration of the Cure Period.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 xml:space="preserve">5.5 Termination Year. </w:t>
      </w:r>
      <w:r>
        <w:rPr>
          <w:rFonts w:ascii="Times New Roman" w:hAnsi="Times New Roman"/>
          <w:b w:val="false"/>
          <w:sz w:val="20"/>
        </w:rPr>
        <w:t xml:space="preserve">For purposes of this Agreement, </w:t>
      </w:r>
      <w:r>
        <w:rPr>
          <w:rFonts w:ascii="Times New Roman" w:hAnsi="Times New Roman"/>
          <w:b/>
          <w:sz w:val="20"/>
        </w:rPr>
        <w:t xml:space="preserve">"Termination Year" </w:t>
      </w:r>
      <w:r>
        <w:rPr>
          <w:rFonts w:ascii="Times New Roman" w:hAnsi="Times New Roman"/>
          <w:b w:val="false"/>
          <w:sz w:val="20"/>
        </w:rPr>
        <w:t>means the fiscal year in which your Company employment is terminated for any reason.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6.</w:t>
      </w:r>
    </w:p>
    <w:p>
      <w:pPr>
        <w:pStyle w:val="TextBody"/>
        <w:spacing w:lineRule="auto" w:line="273" w:before="120" w:after="0"/>
        <w:jc w:val="left"/>
        <w:rPr/>
      </w:pPr>
      <w:r>
        <w:rPr>
          <w:rFonts w:ascii="Times New Roman" w:hAnsi="Times New Roman"/>
          <w:b/>
          <w:sz w:val="20"/>
        </w:rPr>
        <w:t xml:space="preserve">Miscellaneous. </w:t>
      </w:r>
      <w:r>
        <w:rPr>
          <w:rFonts w:ascii="Times New Roman" w:hAnsi="Times New Roman"/>
          <w:b w:val="false"/>
          <w:sz w:val="20"/>
        </w:rPr>
        <w:t>Nothing in this Agreement is intended to alter the at-will nature of your employment with the Company or the terms of any offer letter and/or employment-related agreement with the Company. This Agreement constitutes the complete, final and exclusive embodiment of the entire agreement between the Company and you with regard to Severance Benefits, and it supersedes and replaces any other agreements (whether written or unwritten) you may have with the Company concerning any severance benefits. This Agreement is entered into without reliance on any promise or representation, written or oral, other than those expressly contained herein, and it supersedes any other such promises, warranties or representations. This Agreement may not be modified or amended except in a written agreement approved by the Board and signed by you and a duly authorized and independent member of the Board. This Agreement will bind the heirs, personal representatives, successors and assigns of both you and the Company, and inure to the benefit of both you and the Company, their heirs,</w:t>
      </w:r>
      <w:r>
        <w:rPr/>
        <w:t xml:space="preserve"> </w:t>
      </w:r>
      <w:r>
        <w:rPr>
          <w:rFonts w:ascii="Times New Roman" w:hAnsi="Times New Roman"/>
          <w:b w:val="false"/>
          <w:sz w:val="20"/>
        </w:rPr>
        <w:t xml:space="preserve">successors and assigns. If any provision of this Agreement is determined to be invalid </w:t>
      </w:r>
    </w:p>
    <w:p>
      <w:pPr>
        <w:pStyle w:val="HorizontalLine"/>
        <w:rPr/>
      </w:pPr>
      <w:r>
        <w:rPr/>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executed in counterparts which shall be deemed to be part of one original, and facsimile signatures, and signatures sent via PDF, shall be equivalent to original signatures.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20"/>
        </w:rPr>
      </w:pPr>
      <w:r>
        <w:rPr>
          <w:rFonts w:ascii="Times New Roman" w:hAnsi="Times New Roman"/>
          <w:b w:val="false"/>
          <w:sz w:val="20"/>
        </w:rPr>
        <w:t>To indicate your understanding and acceptance of this Agreement, please sign and date below, and return this Agreement to the Company.</w:t>
      </w:r>
    </w:p>
    <w:p>
      <w:pPr>
        <w:pStyle w:val="TextBody"/>
        <w:spacing w:lineRule="auto" w:line="273" w:before="0" w:after="0"/>
        <w:jc w:val="left"/>
        <w:rPr/>
      </w:pPr>
      <w:r>
        <w:rPr/>
        <w:t> </w:t>
      </w:r>
    </w:p>
    <w:p>
      <w:pPr>
        <w:pStyle w:val="TextBody"/>
        <w:spacing w:lineRule="auto" w:line="556" w:before="0" w:after="0"/>
        <w:jc w:val="left"/>
        <w:rPr>
          <w:rFonts w:ascii="Times New Roman" w:hAnsi="Times New Roman"/>
          <w:sz w:val="20"/>
        </w:rPr>
      </w:pPr>
      <w:r>
        <w:rPr>
          <w:rFonts w:ascii="Times New Roman" w:hAnsi="Times New Roman"/>
          <w:b w:val="false"/>
          <w:sz w:val="20"/>
        </w:rPr>
        <w:t>We look forward to a continued productive employment relationship.</w:t>
      </w:r>
      <w:r>
        <w:rPr>
          <w:rFonts w:ascii="Times New Roman" w:hAnsi="Times New Roman"/>
          <w:sz w:val="20"/>
        </w:rPr>
        <w:t xml:space="preserve"> </w:t>
      </w:r>
    </w:p>
    <w:p>
      <w:pPr>
        <w:pStyle w:val="TextBody"/>
        <w:spacing w:lineRule="auto" w:line="556" w:before="0" w:after="0"/>
        <w:jc w:val="left"/>
        <w:rPr>
          <w:rFonts w:ascii="Times New Roman" w:hAnsi="Times New Roman"/>
          <w:b w:val="false"/>
          <w:sz w:val="20"/>
        </w:rPr>
      </w:pPr>
      <w:r>
        <w:rPr>
          <w:rFonts w:ascii="Times New Roman" w:hAnsi="Times New Roman"/>
          <w:b w:val="false"/>
          <w:sz w:val="20"/>
        </w:rPr>
        <w:t>Sincerely,</w:t>
      </w:r>
    </w:p>
    <w:p>
      <w:pPr>
        <w:pStyle w:val="TextBody"/>
        <w:spacing w:lineRule="auto" w:line="273" w:before="0" w:after="0"/>
        <w:jc w:val="left"/>
        <w:rPr>
          <w:rFonts w:ascii="Times New Roman" w:hAnsi="Times New Roman"/>
          <w:b/>
          <w:sz w:val="19"/>
        </w:rPr>
      </w:pPr>
      <w:r>
        <w:rPr>
          <w:rFonts w:ascii="Times New Roman" w:hAnsi="Times New Roman"/>
          <w:b/>
          <w:sz w:val="19"/>
        </w:rPr>
        <w:t>BioAtla, LLC</w:t>
      </w:r>
    </w:p>
    <w:p>
      <w:pPr>
        <w:pStyle w:val="TextBody"/>
        <w:spacing w:lineRule="auto" w:line="273" w:before="0" w:after="0"/>
        <w:jc w:val="left"/>
        <w:rPr/>
      </w:pPr>
      <w:r>
        <w:rPr/>
        <w:t> </w:t>
      </w:r>
    </w:p>
    <w:tbl>
      <w:tblPr>
        <w:tblW w:w="1741" w:type="dxa"/>
        <w:jc w:val="left"/>
        <w:tblInd w:w="0" w:type="dxa"/>
        <w:tblCellMar>
          <w:top w:w="28" w:type="dxa"/>
          <w:left w:w="28" w:type="dxa"/>
          <w:bottom w:w="28" w:type="dxa"/>
          <w:right w:w="28" w:type="dxa"/>
        </w:tblCellMar>
      </w:tblPr>
      <w:tblGrid>
        <w:gridCol w:w="1741"/>
      </w:tblGrid>
      <w:tr>
        <w:trPr/>
        <w:tc>
          <w:tcPr>
            <w:tcW w:w="174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Carolyn Short</w:t>
            </w:r>
          </w:p>
        </w:tc>
      </w:tr>
      <w:tr>
        <w:trPr/>
        <w:tc>
          <w:tcPr>
            <w:tcW w:w="174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Carolyn Short</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Managing Member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Understood and Accepted</w:t>
      </w:r>
    </w:p>
    <w:p>
      <w:pPr>
        <w:pStyle w:val="TextBody"/>
        <w:spacing w:lineRule="auto" w:line="273" w:before="0" w:after="0"/>
        <w:jc w:val="left"/>
        <w:rPr/>
      </w:pPr>
      <w:r>
        <w:rPr/>
        <w:t> </w:t>
      </w:r>
    </w:p>
    <w:tbl>
      <w:tblPr>
        <w:tblW w:w="1816" w:type="dxa"/>
        <w:jc w:val="left"/>
        <w:tblInd w:w="0" w:type="dxa"/>
        <w:tblCellMar>
          <w:top w:w="28" w:type="dxa"/>
          <w:left w:w="28" w:type="dxa"/>
          <w:bottom w:w="28" w:type="dxa"/>
          <w:right w:w="28" w:type="dxa"/>
        </w:tblCellMar>
      </w:tblPr>
      <w:tblGrid>
        <w:gridCol w:w="1816"/>
      </w:tblGrid>
      <w:tr>
        <w:trPr/>
        <w:tc>
          <w:tcPr>
            <w:tcW w:w="1816" w:type="dxa"/>
            <w:tcBorders/>
            <w:shd w:fill="auto" w:val="clear"/>
            <w:vAlign w:val="center"/>
          </w:tcPr>
          <w:p>
            <w:pPr>
              <w:pStyle w:val="TableContents"/>
              <w:spacing w:before="0" w:after="283"/>
              <w:rPr>
                <w:sz w:val="4"/>
                <w:szCs w:val="4"/>
              </w:rPr>
            </w:pPr>
            <w:r>
              <w:rPr>
                <w:sz w:val="4"/>
                <w:szCs w:val="4"/>
              </w:rPr>
            </w:r>
          </w:p>
        </w:tc>
      </w:tr>
      <w:tr>
        <w:trPr/>
        <w:tc>
          <w:tcPr>
            <w:tcW w:w="181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Richard Waldron</w:t>
            </w:r>
          </w:p>
        </w:tc>
      </w:tr>
      <w:tr>
        <w:trPr/>
        <w:tc>
          <w:tcPr>
            <w:tcW w:w="1816"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Richard Waldron</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600" w:before="0" w:after="0"/>
        <w:jc w:val="left"/>
        <w:rPr>
          <w:rFonts w:ascii="Times New Roman" w:hAnsi="Times New Roman"/>
          <w:b/>
          <w:sz w:val="17"/>
        </w:rPr>
      </w:pPr>
      <w:r>
        <w:rPr>
          <w:rFonts w:ascii="Times New Roman" w:hAnsi="Times New Roman"/>
          <w:b/>
          <w:sz w:val="17"/>
        </w:rPr>
        <w:t>EXHIBIT A CONSULTING AGREEMENT</w:t>
      </w:r>
    </w:p>
    <w:p>
      <w:pPr>
        <w:pStyle w:val="TextBody"/>
        <w:spacing w:lineRule="auto" w:line="273" w:before="0" w:after="0"/>
        <w:jc w:val="left"/>
        <w:rPr>
          <w:rFonts w:ascii="Times New Roman" w:hAnsi="Times New Roman"/>
          <w:sz w:val="20"/>
        </w:rPr>
      </w:pPr>
      <w:r>
        <w:rPr>
          <w:rFonts w:ascii="Times New Roman" w:hAnsi="Times New Roman"/>
          <w:b w:val="false"/>
          <w:sz w:val="17"/>
        </w:rPr>
        <w:br/>
      </w:r>
      <w:r>
        <w:rPr>
          <w:rFonts w:ascii="Times New Roman" w:hAnsi="Times New Roman"/>
          <w:sz w:val="20"/>
        </w:rPr>
        <w:t> </w:t>
      </w:r>
    </w:p>
    <w:p>
      <w:pPr>
        <w:pStyle w:val="TextBody"/>
        <w:spacing w:lineRule="auto" w:line="273" w:before="0" w:after="0"/>
        <w:jc w:val="left"/>
        <w:rPr>
          <w:rFonts w:ascii="Times New Roman" w:hAnsi="Times New Roman"/>
          <w:sz w:val="20"/>
        </w:rPr>
      </w:pPr>
      <w:r>
        <w:rPr>
          <w:rFonts w:ascii="Times New Roman" w:hAnsi="Times New Roman"/>
          <w:b w:val="false"/>
          <w:sz w:val="18"/>
        </w:rPr>
        <w:t>This CONSULTING AGREEMENT("Agreement") effective as of the day of , 20 ("Effective Date") and entered into by and between BioAtla LLC ("BioAtla"), a Delaware Limited Liability Corporation, and</w:t>
      </w:r>
      <w:r>
        <w:rPr>
          <w:rFonts w:ascii="Times New Roman" w:hAnsi="Times New Roman"/>
          <w:sz w:val="20"/>
          <w:u w:val="single"/>
        </w:rPr>
        <w:t xml:space="preserve"> </w:t>
      </w:r>
      <w:r>
        <w:rPr>
          <w:rFonts w:ascii="Times New Roman" w:hAnsi="Times New Roman"/>
          <w:b w:val="false"/>
          <w:sz w:val="18"/>
        </w:rPr>
        <w:t>, a(n) (individual/</w:t>
      </w:r>
      <w:r>
        <w:rPr>
          <w:rFonts w:ascii="Times New Roman" w:hAnsi="Times New Roman"/>
          <w:sz w:val="20"/>
          <w:u w:val="single"/>
        </w:rPr>
        <w:t xml:space="preserve"> </w:t>
      </w:r>
      <w:r>
        <w:rPr>
          <w:rFonts w:ascii="Times New Roman" w:hAnsi="Times New Roman"/>
          <w:b w:val="false"/>
          <w:sz w:val="18"/>
        </w:rPr>
        <w:t>corporation) with an address at</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("Consultant"), collectively the "Parties".</w:t>
      </w:r>
    </w:p>
    <w:p>
      <w:pPr>
        <w:pStyle w:val="TextBody"/>
        <w:spacing w:lineRule="auto" w:line="273" w:before="0" w:after="0"/>
        <w:jc w:val="left"/>
        <w:rPr/>
      </w:pPr>
      <w:r>
        <w:rPr/>
        <w:t> </w:t>
      </w:r>
    </w:p>
    <w:p>
      <w:pPr>
        <w:pStyle w:val="TextBody"/>
        <w:spacing w:lineRule="auto" w:line="571" w:before="0" w:after="0"/>
        <w:jc w:val="left"/>
        <w:rPr>
          <w:rFonts w:ascii="Times New Roman" w:hAnsi="Times New Roman"/>
          <w:sz w:val="20"/>
        </w:rPr>
      </w:pPr>
      <w:r>
        <w:rPr>
          <w:rFonts w:ascii="Times New Roman" w:hAnsi="Times New Roman"/>
          <w:b w:val="false"/>
          <w:sz w:val="18"/>
        </w:rPr>
        <w:t>WHEREAS, BioAtla is a global biotherapeutics development company; and</w:t>
      </w:r>
      <w:r>
        <w:rPr>
          <w:rFonts w:ascii="Times New Roman" w:hAnsi="Times New Roman"/>
          <w:sz w:val="20"/>
        </w:rPr>
        <w:t xml:space="preserve"> </w:t>
      </w:r>
    </w:p>
    <w:p>
      <w:pPr>
        <w:pStyle w:val="TextBody"/>
        <w:spacing w:lineRule="auto" w:line="571" w:before="0" w:after="0"/>
        <w:jc w:val="left"/>
        <w:rPr>
          <w:rFonts w:ascii="Times New Roman" w:hAnsi="Times New Roman"/>
          <w:sz w:val="20"/>
        </w:rPr>
      </w:pPr>
      <w:r>
        <w:rPr>
          <w:rFonts w:ascii="Times New Roman" w:hAnsi="Times New Roman"/>
          <w:b w:val="false"/>
          <w:sz w:val="18"/>
        </w:rPr>
        <w:t>WHEREAS, Consultant is engaged in providing consulting services; and</w:t>
      </w:r>
      <w:r>
        <w:rPr>
          <w:rFonts w:ascii="Times New Roman" w:hAnsi="Times New Roman"/>
          <w:sz w:val="20"/>
        </w:rPr>
        <w:t xml:space="preserve"> </w:t>
      </w:r>
    </w:p>
    <w:p>
      <w:pPr>
        <w:pStyle w:val="TextBody"/>
        <w:spacing w:lineRule="auto" w:line="571" w:before="0" w:after="0"/>
        <w:jc w:val="left"/>
        <w:rPr>
          <w:rFonts w:ascii="Times New Roman" w:hAnsi="Times New Roman"/>
          <w:sz w:val="20"/>
        </w:rPr>
      </w:pPr>
      <w:r>
        <w:rPr>
          <w:rFonts w:ascii="Times New Roman" w:hAnsi="Times New Roman"/>
          <w:b w:val="false"/>
          <w:sz w:val="18"/>
        </w:rPr>
        <w:t>WHEREAS, Consultant is desirous of providing consulting services to BioAtla; and</w:t>
      </w:r>
      <w:r>
        <w:rPr>
          <w:rFonts w:ascii="Times New Roman" w:hAnsi="Times New Roman"/>
          <w:sz w:val="20"/>
        </w:rPr>
        <w:t xml:space="preserve"> </w:t>
      </w:r>
    </w:p>
    <w:p>
      <w:pPr>
        <w:pStyle w:val="TextBody"/>
        <w:spacing w:lineRule="auto" w:line="571" w:before="0" w:after="0"/>
        <w:jc w:val="left"/>
        <w:rPr>
          <w:rFonts w:ascii="Times New Roman" w:hAnsi="Times New Roman"/>
          <w:b w:val="false"/>
          <w:sz w:val="18"/>
        </w:rPr>
      </w:pPr>
      <w:r>
        <w:rPr>
          <w:rFonts w:ascii="Times New Roman" w:hAnsi="Times New Roman"/>
          <w:b w:val="false"/>
          <w:sz w:val="18"/>
        </w:rPr>
        <w:t>WHEREAS, BioAtla is desirous of retaining Consultant; and</w:t>
      </w:r>
    </w:p>
    <w:p>
      <w:pPr>
        <w:pStyle w:val="TextBody"/>
        <w:spacing w:lineRule="auto" w:line="571" w:before="0" w:after="0"/>
        <w:jc w:val="left"/>
        <w:rPr>
          <w:rFonts w:ascii="Times New Roman" w:hAnsi="Times New Roman"/>
          <w:b w:val="false"/>
          <w:sz w:val="18"/>
        </w:rPr>
      </w:pPr>
      <w:r>
        <w:rPr>
          <w:rFonts w:ascii="Times New Roman" w:hAnsi="Times New Roman"/>
          <w:b w:val="false"/>
          <w:sz w:val="18"/>
        </w:rPr>
        <w:t>WHEREAS, Consultant will have access to Proprietary Information of BioAtla.</w:t>
      </w:r>
    </w:p>
    <w:p>
      <w:pPr>
        <w:pStyle w:val="TextBody"/>
        <w:spacing w:lineRule="auto" w:line="571" w:before="0" w:after="0"/>
        <w:jc w:val="left"/>
        <w:rPr>
          <w:rFonts w:ascii="Times New Roman" w:hAnsi="Times New Roman"/>
          <w:b w:val="false"/>
          <w:sz w:val="18"/>
        </w:rPr>
      </w:pPr>
      <w:r>
        <w:rPr>
          <w:rFonts w:ascii="Times New Roman" w:hAnsi="Times New Roman"/>
          <w:b w:val="false"/>
          <w:sz w:val="18"/>
        </w:rPr>
        <w:t>NOW THEREFORE, in consideration of the mutual promises and other good and valuable consideration, the Parties hereby agree as follows: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18"/>
        </w:rPr>
      </w:pPr>
      <w:r>
        <w:rPr>
          <w:rFonts w:ascii="Times New Roman" w:hAnsi="Times New Roman"/>
          <w:b/>
          <w:sz w:val="18"/>
        </w:rPr>
        <w:t>1.</w:t>
      </w:r>
    </w:p>
    <w:p>
      <w:pPr>
        <w:pStyle w:val="TextBody"/>
        <w:spacing w:lineRule="auto" w:line="273" w:before="120" w:after="283"/>
        <w:jc w:val="left"/>
        <w:rPr/>
      </w:pPr>
      <w:r>
        <w:rPr>
          <w:rFonts w:ascii="Times New Roman" w:hAnsi="Times New Roman"/>
          <w:b/>
          <w:sz w:val="18"/>
        </w:rPr>
        <w:t xml:space="preserve">Engagement. </w:t>
      </w:r>
      <w:r>
        <w:rPr>
          <w:rFonts w:ascii="Times New Roman" w:hAnsi="Times New Roman"/>
          <w:b w:val="false"/>
          <w:sz w:val="18"/>
        </w:rPr>
        <w:t>BioAtla hereby appoints Consultant, and Consultant hereby accepts such appointment, upon the terms and conditions set forth herein.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18"/>
        </w:rPr>
      </w:pPr>
      <w:r>
        <w:rPr>
          <w:rFonts w:ascii="Times New Roman" w:hAnsi="Times New Roman"/>
          <w:b/>
          <w:sz w:val="18"/>
        </w:rPr>
        <w:t>2.</w:t>
      </w:r>
    </w:p>
    <w:p>
      <w:pPr>
        <w:pStyle w:val="TextBody"/>
        <w:spacing w:lineRule="auto" w:line="273" w:before="120" w:after="283"/>
        <w:jc w:val="left"/>
        <w:rPr/>
      </w:pPr>
      <w:r>
        <w:rPr>
          <w:rFonts w:ascii="Times New Roman" w:hAnsi="Times New Roman"/>
          <w:b/>
          <w:sz w:val="18"/>
        </w:rPr>
        <w:t xml:space="preserve">Services. </w:t>
      </w:r>
      <w:r>
        <w:rPr>
          <w:rFonts w:ascii="Times New Roman" w:hAnsi="Times New Roman"/>
          <w:b w:val="false"/>
          <w:sz w:val="18"/>
        </w:rPr>
        <w:t>The nature of the services to be provided by Consultant and the compensation Consultant shall receive from BioAtla are set forth in Schedule A, attached and incorporated herein by reference.</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18"/>
        </w:rPr>
      </w:pPr>
      <w:r>
        <w:rPr>
          <w:rFonts w:ascii="Times New Roman" w:hAnsi="Times New Roman"/>
          <w:b/>
          <w:sz w:val="18"/>
        </w:rPr>
        <w:t>3.</w:t>
      </w:r>
    </w:p>
    <w:p>
      <w:pPr>
        <w:pStyle w:val="TextBody"/>
        <w:spacing w:lineRule="auto" w:line="273" w:before="120" w:after="283"/>
        <w:jc w:val="left"/>
        <w:rPr/>
      </w:pPr>
      <w:r>
        <w:rPr>
          <w:rFonts w:ascii="Times New Roman" w:hAnsi="Times New Roman"/>
          <w:b/>
          <w:sz w:val="18"/>
        </w:rPr>
        <w:t xml:space="preserve">Term. </w:t>
      </w:r>
      <w:r>
        <w:rPr>
          <w:rFonts w:ascii="Times New Roman" w:hAnsi="Times New Roman"/>
          <w:b w:val="false"/>
          <w:sz w:val="18"/>
        </w:rPr>
        <w:t>The term of this Agreement shall commence on the ____day of</w:t>
      </w:r>
      <w:r>
        <w:rPr>
          <w:u w:val="single"/>
        </w:rPr>
        <w:t xml:space="preserve"> </w:t>
      </w:r>
      <w:r>
        <w:rPr>
          <w:rFonts w:ascii="Times New Roman" w:hAnsi="Times New Roman"/>
          <w:b w:val="false"/>
          <w:sz w:val="18"/>
        </w:rPr>
        <w:t xml:space="preserve">, 20_ and shall continue in force for _____months from that date.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18"/>
        </w:rPr>
      </w:pPr>
      <w:r>
        <w:rPr>
          <w:rFonts w:ascii="Times New Roman" w:hAnsi="Times New Roman"/>
          <w:b/>
          <w:sz w:val="18"/>
        </w:rPr>
        <w:t>4.</w:t>
      </w:r>
    </w:p>
    <w:p>
      <w:pPr>
        <w:pStyle w:val="TextBody"/>
        <w:spacing w:lineRule="auto" w:line="273" w:before="120" w:after="283"/>
        <w:jc w:val="left"/>
        <w:rPr/>
      </w:pPr>
      <w:r>
        <w:rPr>
          <w:rFonts w:ascii="Times New Roman" w:hAnsi="Times New Roman"/>
          <w:b/>
          <w:sz w:val="18"/>
        </w:rPr>
        <w:t xml:space="preserve">Independent Contractor. </w:t>
      </w:r>
      <w:r>
        <w:rPr>
          <w:rFonts w:ascii="Times New Roman" w:hAnsi="Times New Roman"/>
          <w:b w:val="false"/>
          <w:sz w:val="18"/>
        </w:rPr>
        <w:t>The Parties expressly intend and agree that Consultant is acting as an independent contractor and not as an employee of BioAtla. Under no circumstances shall Consultant look to BioAtla as his employer, or as a partner, agent or principal. Consultant will determine the method, details and means of performing the services for BioAtla.</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120" w:after="0"/>
        <w:jc w:val="both"/>
        <w:rPr>
          <w:rFonts w:ascii="Times New Roman" w:hAnsi="Times New Roman"/>
          <w:b/>
          <w:sz w:val="18"/>
        </w:rPr>
      </w:pPr>
      <w:r>
        <w:rPr>
          <w:rFonts w:ascii="Times New Roman" w:hAnsi="Times New Roman"/>
          <w:b/>
          <w:sz w:val="18"/>
        </w:rPr>
        <w:t>5.</w:t>
      </w:r>
    </w:p>
    <w:p>
      <w:pPr>
        <w:pStyle w:val="TextBody"/>
        <w:spacing w:lineRule="auto" w:line="273" w:before="120" w:after="283"/>
        <w:jc w:val="both"/>
        <w:rPr>
          <w:rFonts w:ascii="Times New Roman" w:hAnsi="Times New Roman"/>
          <w:b/>
          <w:sz w:val="20"/>
        </w:rPr>
      </w:pPr>
      <w:r>
        <w:rPr>
          <w:rFonts w:ascii="Times New Roman" w:hAnsi="Times New Roman"/>
          <w:b/>
          <w:sz w:val="20"/>
        </w:rPr>
        <w:t>Confidentiality.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5.1 </w:t>
      </w:r>
      <w:r>
        <w:rPr>
          <w:rFonts w:ascii="Times New Roman" w:hAnsi="Times New Roman"/>
          <w:b w:val="false"/>
          <w:sz w:val="18"/>
          <w:u w:val="single"/>
        </w:rPr>
        <w:t>Acknowledgment of Proprietary Interest</w:t>
      </w:r>
      <w:r>
        <w:rPr>
          <w:rFonts w:ascii="Times New Roman" w:hAnsi="Times New Roman"/>
          <w:b w:val="false"/>
          <w:sz w:val="18"/>
        </w:rPr>
        <w:t>. Consultant recognizes the proprietary interest of BioAtla in any and all Proprietary Information of BioAtla. As used herein, the term "Proprietary Information" includes any and all of BioAtla's confidential or proprietary information, including without limitation, any and all confidential information of BioAtla encompassed in any and all reports, investigations, experiments, research or developmental work, experimental work, work in progress, plans, proposals, marketing and sales information and data, financial projections, cost summaries, pricing formulas, and all concepts or ideas, materials or information related to the business, products or sales of BioAtla or BioAtla's licensees or customers which has not previously been released to the public at large by duly authorized representatives of BioAtla, whether or not such information would be enforceable as a trade secret or the copying of which would be enjoined or restrained by a court as constituting unfair competition. Consultant acknowledges and agrees that any and all Proprietary Information of BioAtla, learned by Consultant during the course of the engagement by BioAtla or otherwise, whether developed by Consultant alone or in conjunction with others or otherwise, shall be and is the property of BioAtla.</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5.2 </w:t>
      </w:r>
      <w:r>
        <w:rPr>
          <w:rFonts w:ascii="Times New Roman" w:hAnsi="Times New Roman"/>
          <w:b w:val="false"/>
          <w:sz w:val="18"/>
          <w:u w:val="single"/>
        </w:rPr>
        <w:t>Covenant Not to Divulge Proprietary Infom1ation</w:t>
      </w:r>
      <w:r>
        <w:rPr>
          <w:rFonts w:ascii="Times New Roman" w:hAnsi="Times New Roman"/>
          <w:b w:val="false"/>
          <w:sz w:val="18"/>
        </w:rPr>
        <w:t>. Consultant acknowledges and agrees that BioAtla is entitled to prevent the disclosure of Proprietary Information of BioAtla. As a portion of the consideration for the appointment of Consultant and for the compensation being paid to Consultant from time to time by BioAtla, Consultant agrees at all times during the term of engagement with BioAtla, and thereafter for a period of ten (10) years, to maintain in strict confidence, and not to disclose or allow to be disclosed, directly or indirectly, to any person, firm or other entity, other than to persons engaged by BioAtla to further the business of BioAtla, and not to use except in the pursuit of the business of BioAtla, Proprietary Information of BioAtla, without the prior written consent of BioAtla, including Proprietary Information developed by Consultant.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5.3 </w:t>
      </w:r>
      <w:r>
        <w:rPr>
          <w:rFonts w:ascii="Times New Roman" w:hAnsi="Times New Roman"/>
          <w:b/>
          <w:sz w:val="19"/>
          <w:u w:val="single"/>
        </w:rPr>
        <w:t xml:space="preserve">No </w:t>
      </w:r>
      <w:r>
        <w:rPr>
          <w:rFonts w:ascii="Times New Roman" w:hAnsi="Times New Roman"/>
          <w:b w:val="false"/>
          <w:sz w:val="18"/>
          <w:u w:val="single"/>
        </w:rPr>
        <w:t>Licenses</w:t>
      </w:r>
      <w:r>
        <w:rPr>
          <w:rFonts w:ascii="Times New Roman" w:hAnsi="Times New Roman"/>
          <w:b w:val="false"/>
          <w:sz w:val="18"/>
        </w:rPr>
        <w:t>. No rights or licenses in or to the Proprietary Information of BioAtla are granted to Consultant by virtue of this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5.4 </w:t>
      </w:r>
      <w:r>
        <w:rPr>
          <w:rFonts w:ascii="Times New Roman" w:hAnsi="Times New Roman"/>
          <w:b w:val="false"/>
          <w:sz w:val="18"/>
          <w:u w:val="single"/>
        </w:rPr>
        <w:t>Solicitation</w:t>
      </w:r>
      <w:r>
        <w:rPr>
          <w:rFonts w:ascii="Times New Roman" w:hAnsi="Times New Roman"/>
          <w:b w:val="false"/>
          <w:sz w:val="18"/>
        </w:rPr>
        <w:t>. Consultant shall not, during the term of this Agreement and for a period of one (1) year immediately following the termination of this Agreement, for any reason, either directly or indirectly solicit or take away, or attempt to solicit or take away, any of BioAtla's employees or consultants either for Consultant or for any other person or entity. Any such solicitation by Consultant shall constitute a breach hereunder.</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5.5 </w:t>
      </w:r>
      <w:r>
        <w:rPr>
          <w:rFonts w:ascii="Times New Roman" w:hAnsi="Times New Roman"/>
          <w:b w:val="false"/>
          <w:sz w:val="18"/>
          <w:u w:val="single"/>
        </w:rPr>
        <w:t>Refraining from Certain Actions</w:t>
      </w:r>
      <w:r>
        <w:rPr>
          <w:rFonts w:ascii="Times New Roman" w:hAnsi="Times New Roman"/>
          <w:b w:val="false"/>
          <w:sz w:val="18"/>
        </w:rPr>
        <w:t>. Consultant shall not induce or incite claims of discrimination, wrongful discharge, breach of contract, tortious acts, or any other claims against BioAtla by any other person or Consultant, and shall not undertake any harassing or disparaging conduct directed at, and shall refrain from making any negative or derogatory statements concerning, BioAtla. Any such solicitation by Consultant shall constitute a breach hereunder.</w:t>
      </w:r>
    </w:p>
    <w:p>
      <w:pPr>
        <w:pStyle w:val="TextBody"/>
        <w:spacing w:lineRule="auto" w:line="273" w:before="0" w:after="0"/>
        <w:jc w:val="left"/>
        <w:rPr/>
      </w:pPr>
      <w:r>
        <w:rPr/>
        <w:t> </w:t>
      </w:r>
    </w:p>
    <w:p>
      <w:pPr>
        <w:pStyle w:val="TextBody"/>
        <w:spacing w:lineRule="auto" w:line="273" w:before="120" w:after="0"/>
        <w:jc w:val="both"/>
        <w:rPr>
          <w:rFonts w:ascii="Times New Roman" w:hAnsi="Times New Roman"/>
          <w:b/>
          <w:sz w:val="18"/>
        </w:rPr>
      </w:pPr>
      <w:r>
        <w:rPr>
          <w:rFonts w:ascii="Times New Roman" w:hAnsi="Times New Roman"/>
          <w:b/>
          <w:sz w:val="18"/>
        </w:rPr>
        <w:t>6.</w:t>
      </w:r>
    </w:p>
    <w:p>
      <w:pPr>
        <w:pStyle w:val="TextBody"/>
        <w:spacing w:lineRule="auto" w:line="273" w:before="120" w:after="283"/>
        <w:jc w:val="both"/>
        <w:rPr>
          <w:rFonts w:ascii="Times New Roman" w:hAnsi="Times New Roman"/>
          <w:b/>
          <w:sz w:val="20"/>
        </w:rPr>
      </w:pPr>
      <w:r>
        <w:rPr>
          <w:rFonts w:ascii="Times New Roman" w:hAnsi="Times New Roman"/>
          <w:b/>
          <w:sz w:val="20"/>
        </w:rPr>
        <w:t>Termination.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6.1 </w:t>
      </w:r>
      <w:r>
        <w:rPr>
          <w:rFonts w:ascii="Times New Roman" w:hAnsi="Times New Roman"/>
          <w:b w:val="false"/>
          <w:sz w:val="18"/>
          <w:u w:val="single"/>
        </w:rPr>
        <w:t>Remedies Upon Breach</w:t>
      </w:r>
      <w:r>
        <w:rPr>
          <w:rFonts w:ascii="Times New Roman" w:hAnsi="Times New Roman"/>
          <w:b w:val="false"/>
          <w:sz w:val="18"/>
        </w:rPr>
        <w:t>. In the event of any breach of this Agreement by Consultant, BioAtla shall have the right to terminate the consulting services of Consultant immediately upon written notice to Consultant. BioAtla shall also be entitled, if it so elects, to institute and prosecute proceedings in any court of competent jurisdiction, either in law or in equity, to enjoin Consultant from violating any of the terms of this Agreement, to enforce by specific performance any of the terms of this Agreement and to obtain damages, or any of these aforementioned remedies, but nothing herein contained shall be construed to prevent such remedy or combination of remedies as BioAtla may elect to invoke. The failure of BioAtla to promptly institute legal action upon any breach of this Agreement shall not constitute a waiver of that or any other breach hereof.</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6.2 </w:t>
      </w:r>
      <w:r>
        <w:rPr>
          <w:rFonts w:ascii="Times New Roman" w:hAnsi="Times New Roman"/>
          <w:b w:val="false"/>
          <w:sz w:val="18"/>
          <w:u w:val="single"/>
        </w:rPr>
        <w:t xml:space="preserve">Return of Materials at Termination. </w:t>
      </w:r>
      <w:r>
        <w:rPr>
          <w:rFonts w:ascii="Times New Roman" w:hAnsi="Times New Roman"/>
          <w:b w:val="false"/>
          <w:sz w:val="18"/>
        </w:rPr>
        <w:t>In the event of any termination of Consultant's appointment, with or without cause, Consultant shall promptly deliver to BioAtla any and all materials, property, documents, data and all other information belonging to BioAtla or pertaining to Proprietary Information, whether prepared by BioAtla or Consultant. Consultant shall not take any materials, property, documents or other information, or any reproduction or excerpt thereof, belonging to BioAtla or pertaining to any Proprietary Information.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6.3 </w:t>
      </w:r>
      <w:r>
        <w:rPr>
          <w:rFonts w:ascii="Times New Roman" w:hAnsi="Times New Roman"/>
          <w:b w:val="false"/>
          <w:sz w:val="18"/>
          <w:u w:val="single"/>
        </w:rPr>
        <w:t>Obligations Surviving Termination.</w:t>
      </w:r>
      <w:r>
        <w:rPr>
          <w:rFonts w:ascii="Times New Roman" w:hAnsi="Times New Roman"/>
          <w:sz w:val="20"/>
        </w:rPr>
        <w:t xml:space="preserve"> </w:t>
      </w:r>
      <w:r>
        <w:rPr>
          <w:rFonts w:ascii="Times New Roman" w:hAnsi="Times New Roman"/>
          <w:b w:val="false"/>
          <w:sz w:val="18"/>
        </w:rPr>
        <w:t>The obligations of Sections 4, 5, 7, 8.9 and 8.10 shall survive any termination of this Agreement.</w:t>
      </w:r>
    </w:p>
    <w:p>
      <w:pPr>
        <w:pStyle w:val="TextBody"/>
        <w:spacing w:lineRule="auto" w:line="273" w:before="0" w:after="0"/>
        <w:jc w:val="left"/>
        <w:rPr/>
      </w:pPr>
      <w:r>
        <w:rPr/>
        <w:t> </w:t>
      </w:r>
    </w:p>
    <w:p>
      <w:pPr>
        <w:pStyle w:val="TextBody"/>
        <w:spacing w:lineRule="auto" w:line="273" w:before="120" w:after="0"/>
        <w:jc w:val="both"/>
        <w:rPr>
          <w:rFonts w:ascii="Times New Roman" w:hAnsi="Times New Roman"/>
          <w:b/>
          <w:sz w:val="18"/>
        </w:rPr>
      </w:pPr>
      <w:r>
        <w:rPr>
          <w:rFonts w:ascii="Times New Roman" w:hAnsi="Times New Roman"/>
          <w:b/>
          <w:sz w:val="18"/>
        </w:rPr>
        <w:t>7.</w:t>
      </w:r>
    </w:p>
    <w:p>
      <w:pPr>
        <w:pStyle w:val="TextBody"/>
        <w:spacing w:lineRule="auto" w:line="273" w:before="120" w:after="283"/>
        <w:jc w:val="both"/>
        <w:rPr>
          <w:rFonts w:ascii="Times New Roman" w:hAnsi="Times New Roman"/>
          <w:b/>
          <w:sz w:val="20"/>
        </w:rPr>
      </w:pPr>
      <w:r>
        <w:rPr>
          <w:rFonts w:ascii="Times New Roman" w:hAnsi="Times New Roman"/>
          <w:b/>
          <w:sz w:val="20"/>
        </w:rPr>
        <w:t>Ownership of Intellectual Property.</w:t>
      </w:r>
    </w:p>
    <w:p>
      <w:pPr>
        <w:pStyle w:val="TextBody"/>
        <w:spacing w:lineRule="auto" w:line="273" w:before="0" w:after="0"/>
        <w:jc w:val="both"/>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8"/>
        </w:rPr>
        <w:t xml:space="preserve">7.1 </w:t>
      </w:r>
      <w:r>
        <w:rPr>
          <w:rFonts w:ascii="Times New Roman" w:hAnsi="Times New Roman"/>
          <w:b w:val="false"/>
          <w:sz w:val="18"/>
          <w:u w:val="single"/>
        </w:rPr>
        <w:t>Disclosure of Intellectual Property</w:t>
      </w:r>
      <w:r>
        <w:rPr>
          <w:rFonts w:ascii="Times New Roman" w:hAnsi="Times New Roman"/>
          <w:b w:val="false"/>
          <w:sz w:val="18"/>
        </w:rPr>
        <w:t>. Consultant shall promptly disclose to BioAtla any and all inventions, developments, discoveries, improvements, processes, techniques, know-how and data, whether or not patentable, made, conceived, reduced to practice or learned by Consultant, either alone or jointly with others, during the term of engagement with BioAtla which (a) result from responsibilities assigned to Consultant by BioAtla, (b) are funded by BioAtla or (c) result from use of facilities owned, leased or contracted for by BioAtla (all of said inventions, developments, discoveries, improvements, processes, techniques, know-how and data shall be collectively referred to as "Inventions"). Such disclosure shall continue for one (1) year after termination of this Agreement with respect to any subject matter that would be an Invention if made, conceived, reduced to practice or learned during the term of this Agreement; provided, however, that should this Agreement be terminated within the one (1) year period commencing with the date of this Agreement such disclosure shall continue for six (6) months after termination of this Agreement.</w:t>
      </w:r>
    </w:p>
    <w:p>
      <w:pPr>
        <w:pStyle w:val="TextBody"/>
        <w:spacing w:lineRule="auto" w:line="273" w:before="0" w:after="0"/>
        <w:jc w:val="both"/>
        <w:rPr/>
      </w:pPr>
      <w:r>
        <w:rPr/>
        <w:t> </w:t>
      </w:r>
    </w:p>
    <w:p>
      <w:pPr>
        <w:pStyle w:val="HorizontalLine"/>
        <w:rPr/>
      </w:pPr>
      <w:r>
        <w:rPr/>
      </w:r>
    </w:p>
    <w:p>
      <w:pPr>
        <w:pStyle w:val="TextBody"/>
        <w:spacing w:lineRule="auto" w:line="273" w:before="0" w:after="0"/>
        <w:jc w:val="both"/>
        <w:rPr>
          <w:rFonts w:ascii="Times New Roman" w:hAnsi="Times New Roman"/>
          <w:sz w:val="20"/>
        </w:rPr>
      </w:pPr>
      <w:r>
        <w:rPr>
          <w:rFonts w:ascii="Times New Roman" w:hAnsi="Times New Roman"/>
          <w:b w:val="false"/>
          <w:sz w:val="18"/>
        </w:rPr>
        <w:t xml:space="preserve">7.2 </w:t>
      </w:r>
      <w:r>
        <w:rPr>
          <w:rFonts w:ascii="Times New Roman" w:hAnsi="Times New Roman"/>
          <w:b w:val="false"/>
          <w:sz w:val="18"/>
          <w:u w:val="single"/>
        </w:rPr>
        <w:t>Assignment</w:t>
      </w:r>
      <w:r>
        <w:rPr>
          <w:rFonts w:ascii="Times New Roman" w:hAnsi="Times New Roman"/>
          <w:sz w:val="20"/>
        </w:rPr>
        <w:t xml:space="preserve"> </w:t>
      </w:r>
      <w:r>
        <w:rPr>
          <w:rFonts w:ascii="Times New Roman" w:hAnsi="Times New Roman"/>
          <w:b w:val="false"/>
          <w:sz w:val="18"/>
          <w:u w:val="single"/>
        </w:rPr>
        <w:t>of Intellectual Property</w:t>
      </w:r>
      <w:r>
        <w:rPr>
          <w:rFonts w:ascii="Times New Roman" w:hAnsi="Times New Roman"/>
          <w:b w:val="false"/>
          <w:sz w:val="18"/>
        </w:rPr>
        <w:t>. Consultant agrees that all Inventions shall be the sole and exclusive property of BioAtla and its assigns, and BioAtla and its assigns shall be the sole owner of all patents, copyrights and other rights in connection therewith. Consultant hereby assigns to BioAtla any rights Consultant may have or acquire in such Inventions. Consultant further agrees as to all Inventions to assist BioAtla, at BioAtla's expense, as is reasonably necessary to obtain, and from time to time enforce, patents on all Inventions in any and all countries. To that end, Consultant shall execute all documents reasonably necessary to apply for and obtain patents on all Inventions and enforce the same, together with any assignments thereof to BioAtla or persons designated by it. In the event that BioAtla is unable for any reason whatsoever to secure Consultant's signature to any lawful and necessary document required to apply for or obtain patents on any such Invention, Consultant hereby irrevocably designates and appoints BioAtla, and its duly authorized officers and agents, as Consultant's agent and attorney-in</w:t>
        <w:softHyphen/>
        <w:t xml:space="preserve"> fact to act for and on behalf of Consultant to execute and file patent applications on any such Invention and to do all other lawfully permitted acts reasonably necessary to further the prosecution and issuance of patents thereon with the same legal force and effect as if executed by Consultant.</w:t>
      </w:r>
    </w:p>
    <w:p>
      <w:pPr>
        <w:pStyle w:val="TextBody"/>
        <w:spacing w:lineRule="auto" w:line="273" w:before="0" w:after="0"/>
        <w:jc w:val="left"/>
        <w:rPr/>
      </w:pPr>
      <w:r>
        <w:rPr/>
        <w:t> </w:t>
      </w:r>
    </w:p>
    <w:p>
      <w:pPr>
        <w:pStyle w:val="TextBody"/>
        <w:spacing w:lineRule="auto" w:line="273" w:before="120" w:after="0"/>
        <w:jc w:val="both"/>
        <w:rPr>
          <w:rFonts w:ascii="Times New Roman" w:hAnsi="Times New Roman"/>
          <w:b/>
          <w:sz w:val="18"/>
        </w:rPr>
      </w:pPr>
      <w:r>
        <w:rPr>
          <w:rFonts w:ascii="Times New Roman" w:hAnsi="Times New Roman"/>
          <w:b/>
          <w:sz w:val="18"/>
        </w:rPr>
        <w:t>8.</w:t>
      </w:r>
    </w:p>
    <w:p>
      <w:pPr>
        <w:pStyle w:val="TextBody"/>
        <w:spacing w:lineRule="auto" w:line="273" w:before="120" w:after="283"/>
        <w:jc w:val="both"/>
        <w:rPr>
          <w:rFonts w:ascii="Times New Roman" w:hAnsi="Times New Roman"/>
          <w:b/>
          <w:sz w:val="20"/>
        </w:rPr>
      </w:pPr>
      <w:r>
        <w:rPr>
          <w:rFonts w:ascii="Times New Roman" w:hAnsi="Times New Roman"/>
          <w:b/>
          <w:sz w:val="20"/>
        </w:rPr>
        <w:t>General Provisions.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8.1 </w:t>
      </w:r>
      <w:r>
        <w:rPr>
          <w:rFonts w:ascii="Times New Roman" w:hAnsi="Times New Roman"/>
          <w:b w:val="false"/>
          <w:sz w:val="18"/>
          <w:u w:val="single"/>
        </w:rPr>
        <w:t>Entire Agreement.</w:t>
      </w:r>
      <w:r>
        <w:rPr>
          <w:rFonts w:ascii="Times New Roman" w:hAnsi="Times New Roman"/>
          <w:sz w:val="20"/>
        </w:rPr>
        <w:t xml:space="preserve"> </w:t>
      </w:r>
      <w:r>
        <w:rPr>
          <w:rFonts w:ascii="Times New Roman" w:hAnsi="Times New Roman"/>
          <w:b w:val="false"/>
          <w:sz w:val="18"/>
        </w:rPr>
        <w:t>This Agreement constitutes the entire and exclusive agreement between the Parties with respect to the subject matter hereof and supersedes any prior or contemporaneous agreements, representations and understandings of the Parties with respect thereto.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8.2 </w:t>
      </w:r>
      <w:r>
        <w:rPr>
          <w:rFonts w:ascii="Times New Roman" w:hAnsi="Times New Roman"/>
          <w:b w:val="false"/>
          <w:sz w:val="18"/>
          <w:u w:val="single"/>
        </w:rPr>
        <w:t>Amendments.</w:t>
      </w:r>
      <w:r>
        <w:rPr>
          <w:rFonts w:ascii="Times New Roman" w:hAnsi="Times New Roman"/>
          <w:sz w:val="20"/>
        </w:rPr>
        <w:t xml:space="preserve"> </w:t>
      </w:r>
      <w:r>
        <w:rPr>
          <w:rFonts w:ascii="Times New Roman" w:hAnsi="Times New Roman"/>
          <w:b w:val="false"/>
          <w:sz w:val="18"/>
        </w:rPr>
        <w:t>No amendment or modification of the terms or conditions of this Agreement shall be valid unless in writing and signed by the Parties hereto.</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8.3 </w:t>
      </w:r>
      <w:r>
        <w:rPr>
          <w:rFonts w:ascii="Times New Roman" w:hAnsi="Times New Roman"/>
          <w:b w:val="false"/>
          <w:sz w:val="18"/>
          <w:u w:val="single"/>
        </w:rPr>
        <w:t>Severability</w:t>
      </w:r>
      <w:r>
        <w:rPr>
          <w:rFonts w:ascii="Times New Roman" w:hAnsi="Times New Roman"/>
          <w:b w:val="false"/>
          <w:sz w:val="18"/>
        </w:rPr>
        <w:t>. If any provision of this Agreement shall be held illegal or unenforceable, the validity, legality or enforceability of the remaining provisions of this Agreement shall not in any way be affected or impaired thereby.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8.4 </w:t>
      </w:r>
      <w:r>
        <w:rPr>
          <w:rFonts w:ascii="Times New Roman" w:hAnsi="Times New Roman"/>
          <w:b w:val="false"/>
          <w:sz w:val="18"/>
          <w:u w:val="single"/>
        </w:rPr>
        <w:t>Waiver</w:t>
      </w:r>
      <w:r>
        <w:rPr>
          <w:rFonts w:ascii="Times New Roman" w:hAnsi="Times New Roman"/>
          <w:b w:val="false"/>
          <w:sz w:val="18"/>
        </w:rPr>
        <w:t>. The failure of any party hereto to insist upon strict compliance of any provision of this Agreement or to exercise any right hereunder will not constitute a waiver of that provision or right.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8.5 </w:t>
      </w:r>
      <w:r>
        <w:rPr>
          <w:rFonts w:ascii="Times New Roman" w:hAnsi="Times New Roman"/>
          <w:b w:val="false"/>
          <w:sz w:val="18"/>
          <w:u w:val="single"/>
        </w:rPr>
        <w:t>Representations</w:t>
      </w:r>
      <w:r>
        <w:rPr>
          <w:rFonts w:ascii="Times New Roman" w:hAnsi="Times New Roman"/>
          <w:sz w:val="20"/>
        </w:rPr>
        <w:t xml:space="preserve"> </w:t>
      </w:r>
      <w:r>
        <w:rPr>
          <w:rFonts w:ascii="Times New Roman" w:hAnsi="Times New Roman"/>
          <w:b w:val="false"/>
          <w:sz w:val="18"/>
          <w:u w:val="single"/>
        </w:rPr>
        <w:t>and Warranties.</w:t>
      </w:r>
      <w:r>
        <w:rPr>
          <w:rFonts w:ascii="Times New Roman" w:hAnsi="Times New Roman"/>
          <w:sz w:val="20"/>
        </w:rPr>
        <w:t xml:space="preserve"> </w:t>
      </w:r>
      <w:r>
        <w:rPr>
          <w:rFonts w:ascii="Times New Roman" w:hAnsi="Times New Roman"/>
          <w:b w:val="false"/>
          <w:sz w:val="18"/>
        </w:rPr>
        <w:t>Consultant represents and warrants that to the best of his knowledge, he is permitted to enter into this Agreement and perform the obligations contemplated thereby and that this Agreement and the terms and obligations thereto fare not inconsistent with any obligation he may have.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8.6 </w:t>
      </w:r>
      <w:r>
        <w:rPr>
          <w:rFonts w:ascii="Times New Roman" w:hAnsi="Times New Roman"/>
          <w:b w:val="false"/>
          <w:sz w:val="18"/>
          <w:u w:val="single"/>
        </w:rPr>
        <w:t>Confidential Information</w:t>
      </w:r>
      <w:r>
        <w:rPr>
          <w:rFonts w:ascii="Times New Roman" w:hAnsi="Times New Roman"/>
          <w:b w:val="false"/>
          <w:sz w:val="18"/>
        </w:rPr>
        <w:t>. Consultant represents, warrants and agrees that he can and will perform the services required by this Agreement without disclosing or using any confidential information and/or proprietary information of a third party.</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8.7 </w:t>
      </w:r>
      <w:r>
        <w:rPr>
          <w:rFonts w:ascii="Times New Roman" w:hAnsi="Times New Roman"/>
          <w:b w:val="false"/>
          <w:sz w:val="18"/>
          <w:u w:val="single"/>
        </w:rPr>
        <w:t>Successors and Assigns</w:t>
      </w:r>
      <w:r>
        <w:rPr>
          <w:rFonts w:ascii="Times New Roman" w:hAnsi="Times New Roman"/>
          <w:b w:val="false"/>
          <w:sz w:val="18"/>
        </w:rPr>
        <w:t>. The rights and obligations of BioAtla under this Agreement shall inure to the benefit of and shall be binding upon the successors and assigns of BioAtla. Consultant shall not be entitled to assign any of Consultant's rights or obligations under this Agreement.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8.8 </w:t>
      </w:r>
      <w:r>
        <w:rPr>
          <w:rFonts w:ascii="Times New Roman" w:hAnsi="Times New Roman"/>
          <w:b w:val="false"/>
          <w:sz w:val="18"/>
          <w:u w:val="single"/>
        </w:rPr>
        <w:t>Attorney’s</w:t>
      </w:r>
      <w:r>
        <w:rPr>
          <w:rFonts w:ascii="Times New Roman" w:hAnsi="Times New Roman"/>
          <w:sz w:val="20"/>
        </w:rPr>
        <w:t xml:space="preserve"> </w:t>
      </w:r>
      <w:r>
        <w:rPr>
          <w:rFonts w:ascii="Times New Roman" w:hAnsi="Times New Roman"/>
          <w:b w:val="false"/>
          <w:sz w:val="18"/>
          <w:u w:val="single"/>
        </w:rPr>
        <w:t>Fees</w:t>
      </w:r>
      <w:r>
        <w:rPr>
          <w:rFonts w:ascii="Times New Roman" w:hAnsi="Times New Roman"/>
          <w:b w:val="false"/>
          <w:sz w:val="18"/>
        </w:rPr>
        <w:t>. In the event of any litigation concerning any controversy, claim or dispute between the Parties hereto, arising out of or relating to this Agreement, the breach hereof or the interpretation hereof, the prevailing party shall be entitled to recover from the other party expenses, including reasonable attorneys' fees, and costs incurred therein.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8.9 </w:t>
      </w:r>
      <w:r>
        <w:rPr>
          <w:rFonts w:ascii="Times New Roman" w:hAnsi="Times New Roman"/>
          <w:b w:val="false"/>
          <w:sz w:val="18"/>
          <w:u w:val="single"/>
        </w:rPr>
        <w:t>Taxes</w:t>
      </w:r>
      <w:r>
        <w:rPr>
          <w:rFonts w:ascii="Times New Roman" w:hAnsi="Times New Roman"/>
          <w:b w:val="false"/>
          <w:sz w:val="18"/>
        </w:rPr>
        <w:t>. Consultant shall pay, when and as due, any and all taxes incurred as a result of Consultant's compensation hereunder, including estimated taxes.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8.10 </w:t>
      </w:r>
      <w:r>
        <w:rPr>
          <w:rFonts w:ascii="Times New Roman" w:hAnsi="Times New Roman"/>
          <w:b w:val="false"/>
          <w:sz w:val="18"/>
          <w:u w:val="single"/>
        </w:rPr>
        <w:t>Indemnification</w:t>
      </w:r>
      <w:r>
        <w:rPr>
          <w:rFonts w:ascii="Times New Roman" w:hAnsi="Times New Roman"/>
          <w:b w:val="false"/>
          <w:sz w:val="18"/>
        </w:rPr>
        <w:t>. Each party shall and does indemnify, defend and hold harmless the other party, and its officers, directors and shareholders from and against any and all claims, demands, losses, costs, expenses, obligations, liabilities, damages and recoveries, including without limitation, interest, penalties and reasonable attorney's fees and costs, that the party may incur or suffer and that arise as a result from or are related to the performance of the party's obligations under this Agreement and/or any breach or failure of a party to perform any of the representations, warranties and agreements contained in this Agreement.</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8.11 </w:t>
      </w:r>
      <w:r>
        <w:rPr>
          <w:rFonts w:ascii="Times New Roman" w:hAnsi="Times New Roman"/>
          <w:b w:val="false"/>
          <w:sz w:val="18"/>
          <w:u w:val="single"/>
        </w:rPr>
        <w:t>Notices.</w:t>
      </w:r>
      <w:r>
        <w:rPr>
          <w:rFonts w:ascii="Times New Roman" w:hAnsi="Times New Roman"/>
          <w:sz w:val="20"/>
        </w:rPr>
        <w:t xml:space="preserve"> </w:t>
      </w:r>
      <w:r>
        <w:rPr>
          <w:rFonts w:ascii="Times New Roman" w:hAnsi="Times New Roman"/>
          <w:b w:val="false"/>
          <w:sz w:val="18"/>
        </w:rPr>
        <w:t>Any notices or communications provided for in this Agreement to be made by either of the Parties to the other shall be in writing and delivered personally or sent by (i) United States mail, registered or certified, postage paid, (ii) overnight delivery service such as FedEx or UPS or (iii) facsimile, with confirmation of receipt, addressed as follows:</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18"/>
        </w:rPr>
      </w:pPr>
      <w:r>
        <w:rPr>
          <w:rFonts w:ascii="Times New Roman" w:hAnsi="Times New Roman"/>
          <w:b/>
          <w:sz w:val="18"/>
        </w:rPr>
        <w:t>If to BioAtla:</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BioAtla</w:t>
      </w:r>
    </w:p>
    <w:p>
      <w:pPr>
        <w:pStyle w:val="TextBody"/>
        <w:spacing w:lineRule="auto" w:line="276" w:before="0" w:after="0"/>
        <w:jc w:val="left"/>
        <w:rPr>
          <w:rFonts w:ascii="Times New Roman" w:hAnsi="Times New Roman"/>
          <w:b w:val="false"/>
          <w:sz w:val="18"/>
        </w:rPr>
      </w:pPr>
      <w:r>
        <w:rPr>
          <w:rFonts w:ascii="Times New Roman" w:hAnsi="Times New Roman"/>
          <w:b w:val="false"/>
          <w:sz w:val="18"/>
        </w:rPr>
        <w:t>Attn: VP, IP and Contracts11011 Torreyana Road</w:t>
      </w:r>
    </w:p>
    <w:p>
      <w:pPr>
        <w:pStyle w:val="TextBody"/>
        <w:spacing w:lineRule="auto" w:line="276" w:before="0" w:after="0"/>
        <w:jc w:val="left"/>
        <w:rPr>
          <w:rFonts w:ascii="Times New Roman" w:hAnsi="Times New Roman"/>
          <w:sz w:val="20"/>
        </w:rPr>
      </w:pPr>
      <w:r>
        <w:rPr>
          <w:rFonts w:ascii="Times New Roman" w:hAnsi="Times New Roman"/>
          <w:b w:val="false"/>
          <w:sz w:val="18"/>
        </w:rPr>
        <w:t>San Diego, CA 92121</w:t>
      </w:r>
      <w:r>
        <w:rPr>
          <w:rFonts w:ascii="Times New Roman" w:hAnsi="Times New Roman"/>
          <w:sz w:val="20"/>
        </w:rPr>
        <w:t xml:space="preserve"> </w:t>
      </w:r>
    </w:p>
    <w:p>
      <w:pPr>
        <w:pStyle w:val="TextBody"/>
        <w:spacing w:lineRule="auto" w:line="276" w:before="0" w:after="0"/>
        <w:jc w:val="left"/>
        <w:rPr>
          <w:rFonts w:ascii="Times New Roman" w:hAnsi="Times New Roman"/>
          <w:sz w:val="20"/>
        </w:rPr>
      </w:pPr>
      <w:r>
        <w:rPr>
          <w:rFonts w:ascii="Times New Roman" w:hAnsi="Times New Roman"/>
          <w:b w:val="false"/>
          <w:sz w:val="18"/>
        </w:rPr>
        <w:t>Phone No. : 858.558.0708 x 3101</w:t>
      </w:r>
      <w:r>
        <w:rPr>
          <w:rFonts w:ascii="Times New Roman" w:hAnsi="Times New Roman"/>
          <w:sz w:val="20"/>
        </w:rPr>
        <w:t xml:space="preserve"> </w:t>
      </w:r>
    </w:p>
    <w:p>
      <w:pPr>
        <w:pStyle w:val="TextBody"/>
        <w:spacing w:lineRule="auto" w:line="276" w:before="0" w:after="0"/>
        <w:jc w:val="left"/>
        <w:rPr>
          <w:rFonts w:ascii="Times New Roman" w:hAnsi="Times New Roman"/>
          <w:b w:val="false"/>
          <w:sz w:val="18"/>
        </w:rPr>
      </w:pPr>
      <w:r>
        <w:rPr>
          <w:rFonts w:ascii="Times New Roman" w:hAnsi="Times New Roman"/>
          <w:b w:val="false"/>
          <w:sz w:val="18"/>
        </w:rPr>
        <w:t>Fax No. : 858.558.0701</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18"/>
        </w:rPr>
      </w:pPr>
      <w:r>
        <w:rPr>
          <w:rFonts w:ascii="Times New Roman" w:hAnsi="Times New Roman"/>
          <w:b/>
          <w:sz w:val="18"/>
        </w:rPr>
        <w:t>If to Consultant:</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____________________________________________</w:t>
      </w:r>
    </w:p>
    <w:p>
      <w:pPr>
        <w:pStyle w:val="TextBody"/>
        <w:spacing w:lineRule="auto" w:line="273" w:before="0" w:after="0"/>
        <w:jc w:val="center"/>
        <w:rPr>
          <w:rFonts w:ascii="Times New Roman" w:hAnsi="Times New Roman"/>
          <w:sz w:val="20"/>
        </w:rPr>
      </w:pPr>
      <w:r>
        <w:rPr>
          <w:rFonts w:ascii="Times New Roman" w:hAnsi="Times New Roman"/>
          <w:b w:val="false"/>
          <w:sz w:val="18"/>
        </w:rPr>
        <w:br/>
      </w:r>
      <w:r>
        <w:rPr>
          <w:rFonts w:ascii="Times New Roman" w:hAnsi="Times New Roman"/>
          <w:sz w:val="20"/>
        </w:rPr>
        <w:t> </w:t>
      </w:r>
    </w:p>
    <w:p>
      <w:pPr>
        <w:pStyle w:val="TextBody"/>
        <w:spacing w:lineRule="auto" w:line="273" w:before="0" w:after="0"/>
        <w:jc w:val="center"/>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Address:</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_____________________________________________</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_____________________________________________</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_____________________________________________</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br/>
        <w:t>Phone No.:____________________________________</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80" w:before="0" w:after="0"/>
        <w:jc w:val="both"/>
        <w:rPr>
          <w:rFonts w:ascii="Times New Roman" w:hAnsi="Times New Roman"/>
          <w:b w:val="false"/>
          <w:sz w:val="18"/>
        </w:rPr>
      </w:pPr>
      <w:r>
        <w:rPr>
          <w:rFonts w:ascii="Times New Roman" w:hAnsi="Times New Roman"/>
          <w:b w:val="false"/>
          <w:sz w:val="18"/>
        </w:rPr>
        <w:t>Either party may, by like notice, specify or change an address to which notices and communications shall thereafter be sent. Notices sent by facsimile shall be effective upon confirmation of receipt, notices sent by mail or overnight delivery service shall be effective upon receipt and notices given personally shall be effective when delivered.</w:t>
      </w:r>
    </w:p>
    <w:p>
      <w:pPr>
        <w:pStyle w:val="TextBody"/>
        <w:spacing w:lineRule="auto" w:line="280" w:before="0" w:after="0"/>
        <w:jc w:val="both"/>
        <w:rPr/>
      </w:pPr>
      <w:r>
        <w:rPr/>
        <w:t> </w:t>
      </w:r>
    </w:p>
    <w:p>
      <w:pPr>
        <w:pStyle w:val="TextBody"/>
        <w:spacing w:lineRule="auto" w:line="280" w:before="0" w:after="0"/>
        <w:jc w:val="both"/>
        <w:rPr>
          <w:rFonts w:ascii="Times New Roman" w:hAnsi="Times New Roman"/>
          <w:sz w:val="20"/>
        </w:rPr>
      </w:pPr>
      <w:r>
        <w:rPr>
          <w:rFonts w:ascii="Times New Roman" w:hAnsi="Times New Roman"/>
          <w:b w:val="false"/>
          <w:sz w:val="18"/>
        </w:rPr>
        <w:t xml:space="preserve">8.12 </w:t>
      </w:r>
      <w:r>
        <w:rPr>
          <w:rFonts w:ascii="Times New Roman" w:hAnsi="Times New Roman"/>
          <w:b w:val="false"/>
          <w:sz w:val="18"/>
          <w:u w:val="single"/>
        </w:rPr>
        <w:t>Governing Law</w:t>
      </w:r>
      <w:r>
        <w:rPr>
          <w:rFonts w:ascii="Times New Roman" w:hAnsi="Times New Roman"/>
          <w:b w:val="false"/>
          <w:sz w:val="18"/>
        </w:rPr>
        <w:t>. This Agreement shall be interpreted, construed, governed and enforced according to the laws of the State of California without giving effect to its conflict of laws principles.</w:t>
      </w:r>
    </w:p>
    <w:p>
      <w:pPr>
        <w:pStyle w:val="TextBody"/>
        <w:spacing w:lineRule="auto" w:line="273" w:before="0" w:after="0"/>
        <w:jc w:val="left"/>
        <w:rPr/>
      </w:pPr>
      <w:r>
        <w:rPr/>
        <w:t> </w:t>
      </w:r>
    </w:p>
    <w:p>
      <w:pPr>
        <w:pStyle w:val="TextBody"/>
        <w:spacing w:lineRule="auto" w:line="573" w:before="0" w:after="0"/>
        <w:jc w:val="left"/>
        <w:rPr>
          <w:rFonts w:ascii="Times New Roman" w:hAnsi="Times New Roman"/>
          <w:sz w:val="20"/>
        </w:rPr>
      </w:pPr>
      <w:r>
        <w:rPr>
          <w:rFonts w:ascii="Times New Roman" w:hAnsi="Times New Roman"/>
          <w:b w:val="false"/>
          <w:sz w:val="18"/>
        </w:rPr>
        <w:t>IN WITNESS WHEREOF, the Parties have executed this Agreement as of the effective date set forth above. BioAtla, LLC</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br/>
        <w:t>BioAtla, LLC Consultant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__________________________________ ________________________________</w:t>
      </w:r>
    </w:p>
    <w:p>
      <w:pPr>
        <w:pStyle w:val="TextBody"/>
        <w:spacing w:lineRule="auto" w:line="273" w:before="0" w:after="0"/>
        <w:jc w:val="left"/>
        <w:rPr>
          <w:rFonts w:ascii="Times New Roman" w:hAnsi="Times New Roman"/>
          <w:sz w:val="20"/>
        </w:rPr>
      </w:pPr>
      <w:r>
        <w:rPr>
          <w:rFonts w:ascii="Times New Roman" w:hAnsi="Times New Roman"/>
          <w:b w:val="false"/>
          <w:sz w:val="12"/>
        </w:rPr>
        <w:br/>
      </w:r>
      <w:r>
        <w:rPr>
          <w:rFonts w:ascii="Times New Roman" w:hAnsi="Times New Roman"/>
          <w:sz w:val="20"/>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b/>
          <w:sz w:val="18"/>
        </w:rPr>
        <w:t>SCHEDULE A</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18"/>
        </w:rPr>
        <w:t xml:space="preserve">Nature of Services: </w:t>
      </w:r>
      <w:r>
        <w:rPr>
          <w:rFonts w:ascii="Times New Roman" w:hAnsi="Times New Roman"/>
          <w:b w:val="false"/>
          <w:sz w:val="18"/>
        </w:rPr>
        <w:t>Upon request of BioAtla, Consultant shall provide the following services, expertise and advice:</w:t>
      </w:r>
    </w:p>
    <w:p>
      <w:pPr>
        <w:pStyle w:val="TextBody"/>
        <w:spacing w:lineRule="auto" w:line="273" w:before="0" w:after="0"/>
        <w:jc w:val="left"/>
        <w:rPr>
          <w:rFonts w:ascii="Times New Roman" w:hAnsi="Times New Roman"/>
          <w:b w:val="false"/>
          <w:i/>
          <w:sz w:val="18"/>
        </w:rPr>
      </w:pPr>
      <w:r>
        <w:rPr>
          <w:rFonts w:ascii="Times New Roman" w:hAnsi="Times New Roman"/>
          <w:b w:val="false"/>
          <w:i/>
          <w:sz w:val="18"/>
        </w:rPr>
        <w:t>{SPECIFIC DETAILSTO BE ADDED}</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Compensation: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BioAtla shall pay Consultant US$100.00 per year beginning the Effective Date. The first payment shall be due thirty(30) days after the Effective Date, and annually thereafter.</w:t>
      </w:r>
    </w:p>
    <w:p>
      <w:pPr>
        <w:pStyle w:val="TextBody"/>
        <w:spacing w:lineRule="auto" w:line="273" w:before="120" w:after="0"/>
        <w:jc w:val="left"/>
        <w:rPr>
          <w:rFonts w:ascii="Times New Roman" w:hAnsi="Times New Roman"/>
          <w:b w:val="false"/>
          <w:i/>
          <w:sz w:val="18"/>
        </w:rPr>
      </w:pPr>
      <w:r>
        <w:rPr>
          <w:rFonts w:ascii="Times New Roman" w:hAnsi="Times New Roman"/>
          <w:b w:val="false"/>
          <w:i/>
          <w:sz w:val="18"/>
        </w:rPr>
        <w:t>2.</w:t>
      </w:r>
    </w:p>
    <w:p>
      <w:pPr>
        <w:pStyle w:val="TextBody"/>
        <w:spacing w:lineRule="auto" w:line="273" w:before="120" w:after="283"/>
        <w:jc w:val="left"/>
        <w:rPr>
          <w:rFonts w:ascii="Times New Roman" w:hAnsi="Times New Roman"/>
          <w:b w:val="false"/>
          <w:i/>
          <w:sz w:val="18"/>
        </w:rPr>
      </w:pPr>
      <w:r>
        <w:rPr>
          <w:rFonts w:ascii="Times New Roman" w:hAnsi="Times New Roman"/>
          <w:b w:val="false"/>
          <w:i/>
          <w:sz w:val="18"/>
        </w:rPr>
        <w:t>{SPECIFIC DETAILS ON HOURLY RATE TO BE ADDED}</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Consultant's Tax ID Number:</w:t>
      </w:r>
    </w:p>
    <w:p>
      <w:pPr>
        <w:pStyle w:val="HorizontalLine"/>
        <w:rPr/>
      </w:pPr>
      <w:r>
        <w:rPr/>
      </w:r>
      <w:r>
        <w:br w:type="page"/>
      </w:r>
    </w:p>
    <w:p>
      <w:pPr>
        <w:pStyle w:val="TextBody"/>
        <w:spacing w:lineRule="auto" w:line="273" w:before="0" w:after="0"/>
        <w:jc w:val="right"/>
        <w:rPr>
          <w:rFonts w:ascii="Times New Roman" w:hAnsi="Times New Roman"/>
          <w:sz w:val="20"/>
        </w:rPr>
      </w:pPr>
      <w:bookmarkStart w:id="46" w:name="bcab-ex10_21.htm"/>
      <w:bookmarkStart w:id="47" w:name="ksbcabex10_21"/>
      <w:bookmarkEnd w:id="46"/>
      <w:bookmarkEnd w:id="47"/>
      <w:r>
        <w:rPr>
          <w:rFonts w:ascii="Times New Roman" w:hAnsi="Times New Roman"/>
          <w:b/>
          <w:sz w:val="20"/>
        </w:rPr>
        <w:t>Exhibit 10.21</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June 17, 2019</w:t>
      </w:r>
    </w:p>
    <w:p>
      <w:pPr>
        <w:pStyle w:val="TextBody"/>
        <w:spacing w:lineRule="auto" w:line="273" w:before="0" w:after="0"/>
        <w:jc w:val="left"/>
        <w:rPr/>
      </w:pPr>
      <w:r>
        <w:rPr/>
        <w:t> </w:t>
      </w:r>
    </w:p>
    <w:p>
      <w:pPr>
        <w:pStyle w:val="TextBody"/>
        <w:spacing w:lineRule="auto" w:line="288" w:before="0" w:after="0"/>
        <w:jc w:val="left"/>
        <w:rPr>
          <w:rFonts w:ascii="Times New Roman" w:hAnsi="Times New Roman"/>
          <w:sz w:val="20"/>
        </w:rPr>
      </w:pPr>
      <w:r>
        <w:rPr>
          <w:rFonts w:ascii="Times New Roman" w:hAnsi="Times New Roman"/>
          <w:b w:val="false"/>
          <w:sz w:val="20"/>
        </w:rPr>
        <w:t>Eric Sievers, MD</w:t>
      </w:r>
      <w:r>
        <w:rPr>
          <w:rFonts w:ascii="Times New Roman" w:hAnsi="Times New Roman"/>
          <w:sz w:val="20"/>
        </w:rPr>
        <w:t xml:space="preserve"> </w:t>
      </w:r>
    </w:p>
    <w:p>
      <w:pPr>
        <w:pStyle w:val="TextBody"/>
        <w:spacing w:lineRule="auto" w:line="288" w:before="0" w:after="0"/>
        <w:jc w:val="left"/>
        <w:rPr>
          <w:rFonts w:ascii="Times New Roman" w:hAnsi="Times New Roman"/>
          <w:b w:val="false"/>
          <w:sz w:val="20"/>
        </w:rPr>
      </w:pPr>
      <w:r>
        <w:rPr>
          <w:rFonts w:ascii="Times New Roman" w:hAnsi="Times New Roman"/>
          <w:b w:val="false"/>
          <w:sz w:val="20"/>
        </w:rPr>
        <w:t>[***]</w:t>
      </w:r>
    </w:p>
    <w:p>
      <w:pPr>
        <w:pStyle w:val="TextBody"/>
        <w:spacing w:lineRule="auto" w:line="288" w:before="0" w:after="0"/>
        <w:jc w:val="left"/>
        <w:rPr>
          <w:rFonts w:ascii="Times New Roman" w:hAnsi="Times New Roman"/>
          <w:b w:val="false"/>
          <w:sz w:val="20"/>
        </w:rPr>
      </w:pPr>
      <w:r>
        <w:rPr>
          <w:rFonts w:ascii="Times New Roman" w:hAnsi="Times New Roman"/>
          <w:b w:val="false"/>
          <w:sz w:val="20"/>
        </w:rPr>
        <w:t>[***]</w:t>
      </w:r>
    </w:p>
    <w:p>
      <w:pPr>
        <w:pStyle w:val="TextBody"/>
        <w:spacing w:lineRule="auto" w:line="573" w:before="0" w:after="0"/>
        <w:jc w:val="left"/>
        <w:rPr/>
      </w:pPr>
      <w:r>
        <w:rPr/>
        <w:t> </w:t>
      </w:r>
    </w:p>
    <w:p>
      <w:pPr>
        <w:pStyle w:val="TextBody"/>
        <w:spacing w:lineRule="auto" w:line="573" w:before="0" w:after="0"/>
        <w:jc w:val="left"/>
        <w:rPr>
          <w:rFonts w:ascii="Times New Roman" w:hAnsi="Times New Roman"/>
          <w:b w:val="false"/>
          <w:sz w:val="20"/>
        </w:rPr>
      </w:pPr>
      <w:r>
        <w:rPr>
          <w:rFonts w:ascii="Times New Roman" w:hAnsi="Times New Roman"/>
          <w:b w:val="false"/>
          <w:sz w:val="20"/>
        </w:rPr>
        <w:t>Dear Eric:</w:t>
      </w:r>
    </w:p>
    <w:p>
      <w:pPr>
        <w:pStyle w:val="TextBody"/>
        <w:spacing w:lineRule="auto" w:line="288" w:before="0" w:after="0"/>
        <w:jc w:val="left"/>
        <w:rPr>
          <w:rFonts w:ascii="Times New Roman" w:hAnsi="Times New Roman"/>
          <w:sz w:val="20"/>
        </w:rPr>
      </w:pPr>
      <w:r>
        <w:rPr>
          <w:rFonts w:ascii="Times New Roman" w:hAnsi="Times New Roman"/>
          <w:b w:val="false"/>
          <w:sz w:val="20"/>
        </w:rPr>
        <w:t xml:space="preserve">On behalf of BioAtla LLC (the </w:t>
      </w:r>
      <w:r>
        <w:rPr>
          <w:rFonts w:ascii="Times New Roman" w:hAnsi="Times New Roman"/>
          <w:b w:val="false"/>
          <w:sz w:val="20"/>
          <w:u w:val="single"/>
        </w:rPr>
        <w:t>"Company"),</w:t>
      </w:r>
      <w:r>
        <w:rPr>
          <w:rFonts w:ascii="Times New Roman" w:hAnsi="Times New Roman"/>
          <w:sz w:val="20"/>
        </w:rPr>
        <w:t xml:space="preserve"> </w:t>
      </w:r>
      <w:r>
        <w:rPr>
          <w:rFonts w:ascii="Times New Roman" w:hAnsi="Times New Roman"/>
          <w:b w:val="false"/>
          <w:sz w:val="20"/>
        </w:rPr>
        <w:t>I am pleased to confirm the terms of your employment offered by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Position: is a full-time position as Chief Medical Officer (CMO), an officer of the Company reporting to Scott Smith, President.</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Work Location: Your principal place of employment will be the Company's offices which are currently located in San Diego, California, subject to business travel requirements. As a condition of your employment, you will be required to relocate your primary residence to the San Diego metropolitan area on or before October 15, 2019.</w:t>
      </w:r>
    </w:p>
    <w:p>
      <w:pPr>
        <w:pStyle w:val="TextBody"/>
        <w:spacing w:lineRule="auto" w:line="273" w:before="0" w:after="0"/>
        <w:jc w:val="center"/>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283"/>
        <w:jc w:val="left"/>
        <w:rPr/>
      </w:pPr>
      <w:r>
        <w:rPr>
          <w:rFonts w:ascii="Times New Roman" w:hAnsi="Times New Roman"/>
          <w:b w:val="false"/>
          <w:sz w:val="20"/>
        </w:rPr>
        <w:t xml:space="preserve">Start Date: Your first day of full-time regular employment will be June 17, 2019 (the </w:t>
      </w:r>
      <w:r>
        <w:rPr>
          <w:rFonts w:ascii="Times New Roman" w:hAnsi="Times New Roman"/>
          <w:b w:val="false"/>
          <w:sz w:val="20"/>
          <w:u w:val="single"/>
        </w:rPr>
        <w:t>"Start Date").</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Salary: You will receive an initial base salary at the annualized rate of $375,000, which shall be subject to standard payroll deductions and withholdings and paid on a regular basis in accordance with the Company's normal payroll procedures and policies. You will be eligible to participate in the Company's flexible paid time off policy, and also be eligible to participate in the other benefits that the Company offers to comparable employees, including health, life, disability and dental insurance, and participation in the Company's 401(k) retirement savings plan, pursuant to the terms and conditions of the benefit plans and applicable Company policies and procedures (as such plans, policies and procedures may be terminated or changed from time to time in the Company's discretion).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283"/>
        <w:jc w:val="left"/>
        <w:rPr/>
      </w:pPr>
      <w:r>
        <w:rPr>
          <w:rFonts w:ascii="Times New Roman" w:hAnsi="Times New Roman"/>
          <w:b w:val="false"/>
          <w:sz w:val="20"/>
        </w:rPr>
        <w:t xml:space="preserve">Annual Bonus: You will be eligible to earn annual discretionary incentive compensation up to a target amount of forty percent(40%) of your then current base salary (subject to standard payroll deductions and withholdings), based on achievement of individual and corporate performance targets, metrics and/or management-by-objectives </w:t>
      </w:r>
      <w:r>
        <w:rPr>
          <w:rFonts w:ascii="Times New Roman" w:hAnsi="Times New Roman"/>
          <w:b w:val="false"/>
          <w:sz w:val="20"/>
          <w:u w:val="single"/>
        </w:rPr>
        <w:t>("MBOs")</w:t>
      </w:r>
      <w:r>
        <w:rPr/>
        <w:t xml:space="preserve"> </w:t>
      </w:r>
      <w:r>
        <w:rPr>
          <w:rFonts w:ascii="Times New Roman" w:hAnsi="Times New Roman"/>
          <w:b w:val="false"/>
          <w:sz w:val="20"/>
        </w:rPr>
        <w:t>to be determined and approved by the Company. Annual incentive compensation is paid on an annual basis, after the close of the fiscal year and after determination by the Company of (a) the level of achievement of the applicable individual and corporate performance targets, metrics and/or MBOs, and (b) the amount of any annual incentive compensation earned by you. No annual incentive compensation amount is guaranteed and, in addition to the other conditions for earning such compensation, you must remain an employee in good standing of the Company on the scheduled annual incentive compensation payment date in order to be eligible for any annual incentive compensation. This annual incentive compensation program will be the only incentive compensation, commission, or other bonus program that will apply to you, provided that, if the Company adopts additional incentive compensation programs applicable to similarly situated employees, you shall be eligible to participate in such programs. For the 2019 annual incentive compensation period, your eligibility will be prorated based on the period of employment on a full-time basis.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6.</w:t>
      </w:r>
    </w:p>
    <w:p>
      <w:pPr>
        <w:pStyle w:val="TextBody"/>
        <w:spacing w:lineRule="auto" w:line="273" w:before="120" w:after="0"/>
        <w:jc w:val="left"/>
        <w:rPr/>
      </w:pPr>
      <w:r>
        <w:rPr>
          <w:rFonts w:ascii="Times New Roman" w:hAnsi="Times New Roman"/>
          <w:b w:val="false"/>
          <w:sz w:val="20"/>
        </w:rPr>
        <w:t xml:space="preserve">Profits Interests: Following the Start Date and subject to Board approval and your signing (within ten business days of receipt thereof) of the appropriate related agreements, you will be entitled to receive Class B Profits Interest Units of the Company (the </w:t>
      </w:r>
      <w:r>
        <w:rPr>
          <w:rFonts w:ascii="Times New Roman" w:hAnsi="Times New Roman"/>
          <w:b w:val="false"/>
          <w:sz w:val="20"/>
          <w:u w:val="single"/>
        </w:rPr>
        <w:t>"Units")</w:t>
      </w:r>
      <w:r>
        <w:rPr>
          <w:rFonts w:ascii="Times New Roman" w:hAnsi="Times New Roman"/>
          <w:b w:val="false"/>
          <w:sz w:val="20"/>
        </w:rPr>
        <w:t>under the Company's Amended and Restated Profits Interest Incentive Plan or a successor equity plan</w:t>
      </w:r>
      <w:r>
        <w:rPr>
          <w:rFonts w:ascii="Times New Roman" w:hAnsi="Times New Roman"/>
          <w:b w:val="false"/>
          <w:sz w:val="20"/>
          <w:u w:val="single"/>
        </w:rPr>
        <w:t>("Plan")</w:t>
      </w:r>
      <w:r>
        <w:rPr/>
        <w:t xml:space="preserve"> </w:t>
      </w:r>
      <w:r>
        <w:rPr>
          <w:rFonts w:ascii="Times New Roman" w:hAnsi="Times New Roman"/>
          <w:b w:val="false"/>
          <w:sz w:val="20"/>
        </w:rPr>
        <w:t xml:space="preserve">in such number as shall constitute 1.2% of the fully-diluted percentage interests of the Company under its LLC Operating Agreement. The Units will be subject to the terms of the Plan and the Unit Issuance Agreement between you and the Company evidencing the grant (the </w:t>
      </w:r>
      <w:r>
        <w:rPr>
          <w:rFonts w:ascii="Times New Roman" w:hAnsi="Times New Roman"/>
          <w:b w:val="false"/>
          <w:sz w:val="20"/>
          <w:u w:val="single"/>
        </w:rPr>
        <w:t>"Issuance Agreement")</w:t>
      </w:r>
      <w:r>
        <w:rPr/>
        <w:t xml:space="preserve"> </w:t>
      </w:r>
      <w:r>
        <w:rPr>
          <w:rFonts w:ascii="Times New Roman" w:hAnsi="Times New Roman"/>
          <w:b w:val="false"/>
          <w:sz w:val="20"/>
        </w:rPr>
        <w:t xml:space="preserve">as well as the Company's Second Amended and Restated Operating Agreement (the </w:t>
      </w:r>
      <w:r>
        <w:rPr>
          <w:rFonts w:ascii="Times New Roman" w:hAnsi="Times New Roman"/>
          <w:b w:val="false"/>
          <w:sz w:val="20"/>
          <w:u w:val="single"/>
        </w:rPr>
        <w:t>"Operating Agreement').</w:t>
      </w:r>
      <w:r>
        <w:rPr/>
        <w:t xml:space="preserve"> </w:t>
      </w:r>
      <w:r>
        <w:rPr>
          <w:rFonts w:ascii="Times New Roman" w:hAnsi="Times New Roman"/>
          <w:b w:val="false"/>
          <w:sz w:val="20"/>
        </w:rPr>
        <w:t xml:space="preserve">The Units generally are intended to qualify as "profits interests" under Revenue Procedure 93-27 and Revenue Procedure 2001-43 and thus shall not participate with respect to any Net Income or Net Loss of the Company prior to the issuance date of the Units (nor shall the Units be attributed any value of the assets of the Company held immediately prior to the issuance date of such Units). Subject to the terms of the Plan, the Issuance Agreement and the Operating Agreement, and your continuous service, the Units will vest over a period of four (4) years in accordance with the following schedule: 25% of such Units shall vest after the first 12 months of continuous service from your Start Date and the balance of such Units shall vest in equal monthly installments over the next three (3) years of continuous service. The Units shall be subject to the "Participation Threshold" as described in the Plan. The Participation Threshold will be equal to or greater than the net fair value of the Company on the date of grant in each case as determined by the Board. Please note, inasmuch as the Units are wholly subject to Board approval, the terms </w:t>
      </w:r>
    </w:p>
    <w:p>
      <w:pPr>
        <w:pStyle w:val="HorizontalLine"/>
        <w:rPr/>
      </w:pPr>
      <w:r>
        <w:rPr/>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and conditions of the Plan, the Issuance Agreement and the Operating Agreement, nothing in this Offer Letter shall vary the terms of any Issuance Agreement signed by the Company and you and in the event of a conflict between this Agreement and any Issuance Agreement, the terms of the Issuance Agreement shall govern.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7.</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Relocation Benefit: The Company will advance to you a cash payment of an amount such that after assumed federal income taxation at 35% and state income taxation at 11.3% (including all applicable withholding taxes), you will receive a net after tax benefit in the amount of $76,000, payable in a lump sum amount on the first administratively practicable payroll pay date following the Start Date (the "Relocation Benefit"). You agree and acknowledge that if (a) you do not relocate your primary residence to the San Diego metropolitan area on or before October 15, 2019, and (b) the Company terminates your employment for cause based on your failure to relocate within this time-frame, you must repay the entire Relocation Benefit to the Company within thirty-days following your termination date.</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8.</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is a full-time position and you will be expected to devote your full working time and ability to the performance of your duties. You will also be expected to give the Company your undivided loyalty, and to refrain from any activity that might interfere with your duties to the Company or create a potential or actual conflict of interest.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In your work for the Company, you will be prohibited from using or disclosing any confidential, proprietary or trade secret information of any former employer or other person to whom you have an obligation of confidentiality. Rather, you will be required to use only information that is generally known and used by persons with training and experience comparable to your own, is common knowledge in the industry or otherwise legally in the public domain, or is otherwise provided or developed by the Company. You agree that you will not bring onto Company premises or use in your work for the Company any unpublished documents or property belonging to any former employer or third party that you are not authorized to use and disclose. You represent further that you have disclosed to the Company any contract you have signed that might restrict your activities on behalf of the Company. By accepting employment with the Company, you are representing that you will be able to perform your job duties within these parameters.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9.</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offer is not to be considered a contract guaranteeing employment for any specific duration. You may terminate your employment at any time and for any reason whatsoever. Likewise, the Company may terminate your employment at any time, with or without cause or prior warning, subject to the terms hereof.</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10.</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Termination of Employment:</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Your employment with the Company may be terminated by you or the Company at any time for any reason upon written notice. In the event that your employment is terminated by the Company without Cause (as defined below), the Company shall provide you with severance in a total amount equal to six (6) months' pay at your final base salary rate, payable in the form of salary continuation, and health insurance at the Company's expense under COBRA for you and your eligible dependents during such period. Any obligation of the Company to provide you with the payments described in the preceding sentence is conditioned on your signing a timely and effective general release of claims in a form acceptable to the Company and your continued compliance with the terms of this Offer Letter. Such release shall be considered timely if it is executed and delivered (and no longer subject to revocation, if applicable) within sixty (60) days following the date of the termination of your employment and any payments to which you are entitled pursuant to this Section shall commence on the Company's first regular pay date following the effective date of the aforementioned release of claims and the first such payment shall be retroactive to the day immediately following the date of the termination of your employment.</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For purposes of this Offer Letter, "Cause" shall mean the following, as determined by the Board in its reasonable judgment: (i) your failure to perform, or material negligence in the performance of, your duties and responsibilities to the Company or any of its affiliates; (ii) your material breach of this Offer Letter or any other agreement between you and the Company or any of its affiliates which, if capable of being remedied, is not remedied within fifteen (15) days following written notice to you by the Company's CEO; (iii) willful misconduct by you that is or could reasonably be expected to be materially harmful to the business interests or reputation of the Company or any of its affiliates; (iv) your conviction of (or the pleading by you of nolo contendere to) any felony or any crime involving dishonesty or moral turpitude; (v) your failure to relocate your primary residence as required by Section 2above; or (vi) your failure to commence employment on a full-time basis as required by Section 3 above.</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Notwithstanding anything to the contrary contained in this Offer Letter, in the event that at the time of your separation from service you are a "specified employee," as hereinafter defined, any and all amounts payable under this Section in connection with such separation from service that constitute deferred compensation subject to </w:t>
      </w:r>
    </w:p>
    <w:p>
      <w:pPr>
        <w:pStyle w:val="HorizontalLine"/>
        <w:rPr/>
      </w:pPr>
      <w:r>
        <w:rPr/>
      </w:r>
    </w:p>
    <w:p>
      <w:pPr>
        <w:pStyle w:val="TextBody"/>
        <w:spacing w:lineRule="auto" w:line="273" w:before="120" w:after="283"/>
        <w:jc w:val="left"/>
        <w:rPr/>
      </w:pPr>
      <w:r>
        <w:rPr>
          <w:rFonts w:ascii="Times New Roman" w:hAnsi="Times New Roman"/>
          <w:b w:val="false"/>
          <w:sz w:val="20"/>
        </w:rPr>
        <w:t xml:space="preserve">Section 409A of the Internal Revenue Code of 1986, as amended, </w:t>
      </w:r>
      <w:r>
        <w:rPr>
          <w:rFonts w:ascii="Times New Roman" w:hAnsi="Times New Roman"/>
          <w:b w:val="false"/>
          <w:sz w:val="20"/>
          <w:u w:val="single"/>
        </w:rPr>
        <w:t>("Section 409A"),</w:t>
      </w:r>
      <w:r>
        <w:rPr/>
        <w:t xml:space="preserve"> </w:t>
      </w:r>
      <w:r>
        <w:rPr>
          <w:rFonts w:ascii="Times New Roman" w:hAnsi="Times New Roman"/>
          <w:b w:val="false"/>
          <w:sz w:val="20"/>
        </w:rPr>
        <w:t>as determined by the Company in its sole discretion, and that would (but for this sentence) be payable within six (6) months following such separation from service, shall instead be paid on the earlier of (i) the expiration of the six (6)-month period measured from the date of your separation from service, and (ii) the date of your death. For purposes of the preceding sentence, "separation from service" shall be determined in a manner consistent with subsection (a)(2)(A)(i) of Section 409A and the term "specified employee" shall mean an individual determined by the Company to be a specified employee as defined in subsection (a)(2)(B)(i) of Section 409A.For purposes of Section 409A, your right to receive installment payments pursuant to this Offer Letter shall be treated as a right to receive a series of separate and distinct payments. Except as expressly stated in this Section or as provided in any employee benefit plan of the Company, or as required by the Consolidated Omnibus Budget Reconciliation Act (COBRA), any and all payments, compensation and benefits provided to you by the Company shall cease as of the date of the termination of your employment.</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11.</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In addition to the compensation package described above, you will be reimbursed for any Company-approved and IRS permitted out-of-pocket expenses (other than Company-approved expenses which are charged by you on Company credit cards), in accordance with our policies.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12.</w:t>
      </w:r>
    </w:p>
    <w:p>
      <w:pPr>
        <w:pStyle w:val="TextBody"/>
        <w:spacing w:lineRule="auto" w:line="273" w:before="120" w:after="283"/>
        <w:jc w:val="left"/>
        <w:rPr/>
      </w:pPr>
      <w:r>
        <w:rPr>
          <w:rFonts w:ascii="Times New Roman" w:hAnsi="Times New Roman"/>
          <w:b w:val="false"/>
          <w:sz w:val="20"/>
        </w:rPr>
        <w:t xml:space="preserve">As a condition of employment, you must agree to sign and abide by the Company's Employee Inventions and Non Disclosure Agreement </w:t>
      </w:r>
      <w:r>
        <w:rPr>
          <w:rFonts w:ascii="Times New Roman" w:hAnsi="Times New Roman"/>
          <w:b w:val="false"/>
          <w:sz w:val="20"/>
          <w:u w:val="single"/>
        </w:rPr>
        <w:t>("EINDA").</w:t>
      </w:r>
      <w:r>
        <w:rPr/>
        <w:t xml:space="preserve"> </w:t>
      </w:r>
      <w:r>
        <w:rPr>
          <w:rFonts w:ascii="Times New Roman" w:hAnsi="Times New Roman"/>
          <w:b w:val="false"/>
          <w:sz w:val="20"/>
        </w:rPr>
        <w:t>You acknowledge and agree that the Company's obligation to provide you with any severance payments pursuant to Section 11 above is conditioned upon your continued compliance with all terms of the EINDA.</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13.</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You also agree to comply with the Company's rules, policies and procedures as they are issued from time to time by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Before commencing employment, you must provide proof of your identity and authorization to work in the United States, and fill out a form 1-9 as required by federal immigration laws. Further, this offer is contingent upon your successful completion of a background check to the satisfaction of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15.</w:t>
      </w:r>
    </w:p>
    <w:p>
      <w:pPr>
        <w:pStyle w:val="TextBody"/>
        <w:spacing w:lineRule="auto" w:line="273" w:before="120" w:after="283"/>
        <w:jc w:val="left"/>
        <w:rPr/>
      </w:pPr>
      <w:r>
        <w:rPr>
          <w:rFonts w:ascii="Times New Roman" w:hAnsi="Times New Roman"/>
          <w:b w:val="false"/>
          <w:sz w:val="20"/>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Offer Letter, your employment with the Company, or the termination of your employment from the Company, will be resolved pursuant to the Federal Arbitration Act, 9 U.S.C. §1-16, and to the fullest extent permitted by law, by final, binding and confidential arbitration by JAMS, Inc. </w:t>
      </w:r>
      <w:r>
        <w:rPr>
          <w:rFonts w:ascii="Times New Roman" w:hAnsi="Times New Roman"/>
          <w:b w:val="false"/>
          <w:sz w:val="20"/>
          <w:u w:val="single"/>
        </w:rPr>
        <w:t>("JAMS")</w:t>
      </w:r>
      <w:r>
        <w:rPr/>
        <w:t xml:space="preserve"> </w:t>
      </w:r>
      <w:r>
        <w:rPr>
          <w:rFonts w:ascii="Times New Roman" w:hAnsi="Times New Roman"/>
          <w:b w:val="false"/>
          <w:sz w:val="20"/>
        </w:rPr>
        <w:t xml:space="preserve">or its successors by a single arbitrator. The arbitration will be held in San Diego, California, or in such other location as then-agreed by the parties. </w:t>
      </w:r>
      <w:r>
        <w:rPr>
          <w:rFonts w:ascii="Times New Roman" w:hAnsi="Times New Roman"/>
          <w:b/>
          <w:sz w:val="20"/>
        </w:rPr>
        <w:t xml:space="preserve">Both you and the Company acknowledge that by agreeing to this arbitration procedure, you each waive the right to resolve any such dispute through a trial by jury or judge or administrative proceeding. </w:t>
      </w:r>
      <w:r>
        <w:rPr>
          <w:rFonts w:ascii="Times New Roman" w:hAnsi="Times New Roman"/>
          <w:b w:val="false"/>
          <w:sz w:val="20"/>
        </w:rPr>
        <w:t xml:space="preserve">Any such arbitration proceeding will be governed by JAMS' then applicable rules and procedures for employment disputes(which can be found at </w:t>
      </w:r>
      <w:r>
        <w:rPr>
          <w:rFonts w:ascii="Times New Roman" w:hAnsi="Times New Roman"/>
          <w:b w:val="false"/>
          <w:sz w:val="20"/>
          <w:u w:val="single"/>
        </w:rPr>
        <w:t>https://www.jamsadr.com/rules-employment-arbitration/</w:t>
      </w:r>
      <w:r>
        <w:rPr>
          <w:rFonts w:ascii="Times New Roman" w:hAnsi="Times New Roman"/>
          <w:b w:val="false"/>
          <w:sz w:val="20"/>
        </w:rPr>
        <w:t>,</w:t>
      </w:r>
      <w:r>
        <w:rPr/>
        <w:t xml:space="preserve"> </w:t>
      </w:r>
      <w:r>
        <w:rPr>
          <w:rFonts w:ascii="Times New Roman" w:hAnsi="Times New Roman"/>
          <w:b w:val="false"/>
          <w:sz w:val="20"/>
        </w:rPr>
        <w:t>and which will be provided to you on request). In any such proceeding,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Any dispute or claim subject to arbitration pursuant to this Agreement must be brought in an individual capacity only, and, unless prohibited by law (in which case such claim shall be severed and brought only in a court of competent jurisdiction), no such dispute or claim shall be brought as a class or collective action, or in a representative capacity, on behalf of any person. The arbitrator may not consolidate more than one person's claims and may not otherwise preside over any form of class, collective or representative proceeding. You and the Company shall be entitled to all rights and remedies that either would be entitled to pursue in a court of law. Nothing in this Offer Letter is intended to prevent either the Company or you from obtaining injunctive relief in court to prevent irreparable harm pending the conclusion of any such arbitration. The Company shall pay all filing fees in excess of those which would be required if the dispute were decided in a court of law, and shall pay the arbitrator's fees and any other fees or costs unique to arbitration. Any awards or orders in such arbitrations may be entered and enforced as judgments in the federal and state courts of any competent jurisdiction.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16.</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Offer Letter and the EINDA sets forth the entire agreement between you and the Company with respect to the subject matter thereof. Once signed by you and a duly authorized officer of the Company, this Offer Letter and the EINDA will become legally binding contracts, and will supersede all prior agreements, promises, and understandings (either oral or written) between you and the Company.</w:t>
      </w:r>
    </w:p>
    <w:p>
      <w:pPr>
        <w:pStyle w:val="TextBody"/>
        <w:spacing w:lineRule="auto" w:line="273" w:before="0" w:after="0"/>
        <w:jc w:val="left"/>
        <w:rPr/>
      </w:pPr>
      <w:r>
        <w:rPr/>
        <w:t> </w:t>
      </w:r>
    </w:p>
    <w:p>
      <w:pPr>
        <w:pStyle w:val="HorizontalLine"/>
        <w:rPr/>
      </w:pPr>
      <w:r>
        <w:rPr/>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17.</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Offer Letter may not be amended or modified except by a written modification signed by you and a duly authorized officer of the Company, with the exception of those changes expressly reserved to the Company's discretion in this Offer Letter. This Offer Letter will be governed by and construed in accordance with the laws of the State of California. The validity or unenforceability of any provision of this Offer Letter, or any terms hereof, shall not affect the validity or enforceability of any other provision or term of this Offer Letter.</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18.</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All payments made pursuant to this Offer Letter shall be subject to withholding of applicable income and employment taxes. The Company may withhold from any payments made under this Offer Letter all authorized or legally required deductions and withholdings, including but not limited to income, employment and social insurance taxes. Except as provided for in Section 7 of this Offer Letter, nothing in this Offer Letter shall create any obligation on the part of the Company to indemnify, reimburse, gross up, or otherwise compensate you for any taxes, interest, penalties, costs, losses, damages, or expenses arising out of any violation of tax laws or any corresponding provision of law.</w:t>
      </w:r>
    </w:p>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83" w:before="0" w:after="0"/>
        <w:jc w:val="left"/>
        <w:rPr>
          <w:rFonts w:ascii="Times New Roman" w:hAnsi="Times New Roman"/>
          <w:b w:val="false"/>
          <w:sz w:val="20"/>
        </w:rPr>
      </w:pPr>
      <w:r>
        <w:rPr>
          <w:rFonts w:ascii="Times New Roman" w:hAnsi="Times New Roman"/>
          <w:b w:val="false"/>
          <w:sz w:val="20"/>
        </w:rPr>
        <w:t>Your signature below constitutes your agreement with the Company's employment terms and conditions.</w:t>
      </w:r>
    </w:p>
    <w:p>
      <w:pPr>
        <w:pStyle w:val="TextBody"/>
        <w:spacing w:lineRule="auto" w:line="273" w:before="0" w:after="0"/>
        <w:jc w:val="left"/>
        <w:rPr/>
      </w:pPr>
      <w:r>
        <w:rPr/>
        <w:t> </w:t>
      </w:r>
    </w:p>
    <w:p>
      <w:pPr>
        <w:pStyle w:val="TextBody"/>
        <w:spacing w:lineRule="auto" w:line="288" w:before="0" w:after="0"/>
        <w:jc w:val="left"/>
        <w:rPr>
          <w:rFonts w:ascii="Times New Roman" w:hAnsi="Times New Roman"/>
          <w:b w:val="false"/>
          <w:sz w:val="20"/>
        </w:rPr>
      </w:pPr>
      <w:r>
        <w:rPr>
          <w:rFonts w:ascii="Times New Roman" w:hAnsi="Times New Roman"/>
          <w:b w:val="false"/>
          <w:sz w:val="20"/>
        </w:rPr>
        <w:t>To confirm that you agree to the terms stated in this Offer Letter, please sign and date the enclosed copy of this Offer Letter and return it to me by June 17, 2019.</w:t>
      </w:r>
    </w:p>
    <w:p>
      <w:pPr>
        <w:pStyle w:val="TextBody"/>
        <w:spacing w:lineRule="auto" w:line="273" w:before="0" w:after="0"/>
        <w:jc w:val="left"/>
        <w:rPr/>
      </w:pPr>
      <w:r>
        <w:rPr/>
        <w:t> </w:t>
      </w:r>
    </w:p>
    <w:p>
      <w:pPr>
        <w:pStyle w:val="TextBody"/>
        <w:spacing w:lineRule="auto" w:line="276" w:before="0" w:after="0"/>
        <w:jc w:val="left"/>
        <w:rPr>
          <w:rFonts w:ascii="Times New Roman" w:hAnsi="Times New Roman"/>
          <w:b w:val="false"/>
          <w:sz w:val="20"/>
        </w:rPr>
      </w:pPr>
      <w:r>
        <w:rPr>
          <w:rFonts w:ascii="Times New Roman" w:hAnsi="Times New Roman"/>
          <w:b w:val="false"/>
          <w:sz w:val="20"/>
        </w:rPr>
        <w:t>On behalf of the Company, I am very pleased to make this offer and look forward to you joining our team.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Very truly yours,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BIOATLA, LLC</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By:</w:t>
      </w:r>
    </w:p>
    <w:tbl>
      <w:tblPr>
        <w:tblW w:w="1366" w:type="dxa"/>
        <w:jc w:val="left"/>
        <w:tblInd w:w="0" w:type="dxa"/>
        <w:tblCellMar>
          <w:top w:w="28" w:type="dxa"/>
          <w:left w:w="28" w:type="dxa"/>
          <w:bottom w:w="28" w:type="dxa"/>
          <w:right w:w="28" w:type="dxa"/>
        </w:tblCellMar>
      </w:tblPr>
      <w:tblGrid>
        <w:gridCol w:w="1366"/>
      </w:tblGrid>
      <w:tr>
        <w:trPr/>
        <w:tc>
          <w:tcPr>
            <w:tcW w:w="1366"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Scott Smith</w:t>
            </w:r>
          </w:p>
        </w:tc>
      </w:tr>
      <w:tr>
        <w:trPr/>
        <w:tc>
          <w:tcPr>
            <w:tcW w:w="1366"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Scott Smith</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President</w:t>
            </w:r>
          </w:p>
        </w:tc>
      </w:tr>
    </w:tbl>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Signed:</w:t>
      </w:r>
    </w:p>
    <w:p>
      <w:pPr>
        <w:pStyle w:val="TextBody"/>
        <w:spacing w:lineRule="auto" w:line="273" w:before="0" w:after="0"/>
        <w:jc w:val="left"/>
        <w:rPr/>
      </w:pPr>
      <w:r>
        <w:rPr/>
        <w:t> </w:t>
      </w:r>
    </w:p>
    <w:tbl>
      <w:tblPr>
        <w:tblW w:w="1546" w:type="dxa"/>
        <w:jc w:val="left"/>
        <w:tblInd w:w="0" w:type="dxa"/>
        <w:tblCellMar>
          <w:top w:w="28" w:type="dxa"/>
          <w:left w:w="28" w:type="dxa"/>
          <w:bottom w:w="28" w:type="dxa"/>
          <w:right w:w="28" w:type="dxa"/>
        </w:tblCellMar>
      </w:tblPr>
      <w:tblGrid>
        <w:gridCol w:w="1546"/>
      </w:tblGrid>
      <w:tr>
        <w:trPr/>
        <w:tc>
          <w:tcPr>
            <w:tcW w:w="1546" w:type="dxa"/>
            <w:tcBorders/>
            <w:shd w:fill="auto" w:val="clear"/>
            <w:vAlign w:val="center"/>
          </w:tcPr>
          <w:p>
            <w:pPr>
              <w:pStyle w:val="TableContents"/>
              <w:spacing w:before="0" w:after="283"/>
              <w:rPr>
                <w:sz w:val="4"/>
                <w:szCs w:val="4"/>
              </w:rPr>
            </w:pPr>
            <w:r>
              <w:rPr>
                <w:sz w:val="4"/>
                <w:szCs w:val="4"/>
              </w:rPr>
            </w:r>
          </w:p>
        </w:tc>
      </w:tr>
      <w:tr>
        <w:trPr/>
        <w:tc>
          <w:tcPr>
            <w:tcW w:w="154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Eric Sievers</w:t>
            </w:r>
          </w:p>
        </w:tc>
      </w:tr>
      <w:tr>
        <w:trPr/>
        <w:tc>
          <w:tcPr>
            <w:tcW w:w="1546"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Eric Sievers, MD</w:t>
            </w:r>
          </w:p>
        </w:tc>
      </w:tr>
    </w:tbl>
    <w:p>
      <w:pPr>
        <w:pStyle w:val="TextBody"/>
        <w:spacing w:lineRule="auto" w:line="273" w:before="0" w:after="0"/>
        <w:jc w:val="left"/>
        <w:rPr>
          <w:rFonts w:ascii="Times New Roman" w:hAnsi="Times New Roman"/>
          <w:sz w:val="20"/>
        </w:rPr>
      </w:pPr>
      <w:r>
        <w:rPr>
          <w:rFonts w:ascii="Times New Roman" w:hAnsi="Times New Roman"/>
          <w:b w:val="false"/>
          <w:sz w:val="20"/>
        </w:rPr>
        <w:br/>
      </w:r>
      <w:r>
        <w:rPr>
          <w:rFonts w:ascii="Times New Roman" w:hAnsi="Times New Roman"/>
          <w:sz w:val="20"/>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48" w:name="bcab-ex10_22.htm"/>
      <w:bookmarkStart w:id="49" w:name="ksbcabex10_22"/>
      <w:bookmarkEnd w:id="48"/>
      <w:bookmarkEnd w:id="49"/>
      <w:r>
        <w:rPr>
          <w:rFonts w:ascii="Times New Roman" w:hAnsi="Times New Roman"/>
          <w:b/>
          <w:sz w:val="20"/>
        </w:rPr>
        <w:t>Exhibit 10.22</w:t>
      </w:r>
    </w:p>
    <w:p>
      <w:pPr>
        <w:pStyle w:val="TextBody"/>
        <w:spacing w:lineRule="auto" w:line="273" w:before="0" w:after="0"/>
        <w:jc w:val="right"/>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BIOATLA, LLC</w:t>
      </w:r>
    </w:p>
    <w:p>
      <w:pPr>
        <w:pStyle w:val="TextBody"/>
        <w:spacing w:lineRule="auto" w:line="273" w:before="0" w:after="0"/>
        <w:jc w:val="center"/>
        <w:rPr>
          <w:rFonts w:ascii="Times New Roman" w:hAnsi="Times New Roman"/>
          <w:sz w:val="20"/>
        </w:rPr>
      </w:pPr>
      <w:r>
        <w:rPr>
          <w:rFonts w:ascii="Times New Roman" w:hAnsi="Times New Roman"/>
          <w:b/>
          <w:sz w:val="20"/>
        </w:rPr>
        <w:t>11011 Torreyana Road</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San Diego, CA 92121</w:t>
      </w:r>
    </w:p>
    <w:p>
      <w:pPr>
        <w:pStyle w:val="TextBody"/>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October 22, 2015</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Christian J. Vasquez</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Re: Offer of Employment</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Dear Chris:</w:t>
      </w:r>
    </w:p>
    <w:p>
      <w:pPr>
        <w:pStyle w:val="TextBody"/>
        <w:spacing w:lineRule="auto" w:line="273" w:before="0" w:after="0"/>
        <w:jc w:val="left"/>
        <w:rPr/>
      </w:pPr>
      <w:r>
        <w:rPr/>
        <w:t> </w:t>
      </w:r>
    </w:p>
    <w:p>
      <w:pPr>
        <w:pStyle w:val="TextBody"/>
        <w:spacing w:lineRule="auto" w:line="302" w:before="0" w:after="0"/>
        <w:jc w:val="both"/>
        <w:rPr>
          <w:rFonts w:ascii="Times New Roman" w:hAnsi="Times New Roman"/>
          <w:sz w:val="20"/>
        </w:rPr>
      </w:pPr>
      <w:r>
        <w:rPr>
          <w:rFonts w:ascii="Times New Roman" w:hAnsi="Times New Roman"/>
          <w:b w:val="false"/>
          <w:sz w:val="20"/>
        </w:rPr>
        <w:t xml:space="preserve">I am pleased to offer you employment with BioAtla, LLC, a Delaware limited liability company </w:t>
      </w:r>
      <w:r>
        <w:rPr>
          <w:rFonts w:ascii="Times New Roman" w:hAnsi="Times New Roman"/>
          <w:b w:val="false"/>
          <w:sz w:val="20"/>
          <w:u w:val="single"/>
        </w:rPr>
        <w:t>("Company").</w:t>
      </w:r>
      <w:r>
        <w:rPr>
          <w:rFonts w:ascii="Times New Roman" w:hAnsi="Times New Roman"/>
          <w:sz w:val="20"/>
        </w:rPr>
        <w:t xml:space="preserve"> </w:t>
      </w:r>
      <w:r>
        <w:rPr>
          <w:rFonts w:ascii="Times New Roman" w:hAnsi="Times New Roman"/>
          <w:b w:val="false"/>
          <w:sz w:val="20"/>
        </w:rPr>
        <w:t>Once signed by you, this Offer Letter will confirm your acceptance of the following terms and conditions: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Your title will be Corporate Controller. Your duties and responsibilities will include financial controls, financial reporting and planning and such other duties as shall be assigned to you from time to time by the Chief Financial Officer, unless modified in the future by the Chief Executive Officer. Your main work location will be at the Company's corporate headquarters in San Diego, California, although you may be required to travel on behalf of the Company, as and when directed by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120" w:after="283"/>
        <w:jc w:val="left"/>
        <w:rPr/>
      </w:pPr>
      <w:r>
        <w:rPr>
          <w:rFonts w:ascii="Times New Roman" w:hAnsi="Times New Roman"/>
          <w:b w:val="false"/>
          <w:sz w:val="20"/>
        </w:rPr>
        <w:t>Your employment is to begin effective as of November 9, 2015 (the</w:t>
      </w:r>
      <w:r>
        <w:rPr/>
        <w:t xml:space="preserve"> </w:t>
      </w:r>
      <w:r>
        <w:rPr>
          <w:rFonts w:ascii="Times New Roman" w:hAnsi="Times New Roman"/>
          <w:b w:val="false"/>
          <w:sz w:val="20"/>
          <w:u w:val="single"/>
        </w:rPr>
        <w:t>"Start Date”).</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120" w:after="283"/>
        <w:jc w:val="left"/>
        <w:rPr/>
      </w:pPr>
      <w:r>
        <w:rPr>
          <w:rFonts w:ascii="Times New Roman" w:hAnsi="Times New Roman"/>
          <w:b w:val="false"/>
          <w:sz w:val="20"/>
        </w:rPr>
        <w:t xml:space="preserve">You will receive a base salary at the annualized rate of $145,000 (the </w:t>
      </w:r>
      <w:r>
        <w:rPr>
          <w:rFonts w:ascii="Times New Roman" w:hAnsi="Times New Roman"/>
          <w:b w:val="false"/>
          <w:sz w:val="20"/>
          <w:u w:val="single"/>
        </w:rPr>
        <w:t>"Base</w:t>
      </w:r>
      <w:r>
        <w:rPr/>
        <w:t xml:space="preserve"> </w:t>
      </w:r>
      <w:r>
        <w:rPr>
          <w:rFonts w:ascii="Times New Roman" w:hAnsi="Times New Roman"/>
          <w:b w:val="false"/>
          <w:sz w:val="20"/>
          <w:u w:val="single"/>
        </w:rPr>
        <w:t>Salary")</w:t>
      </w:r>
      <w:r>
        <w:rPr>
          <w:rFonts w:ascii="Times New Roman" w:hAnsi="Times New Roman"/>
          <w:b w:val="false"/>
          <w:sz w:val="20"/>
        </w:rPr>
        <w:t>, which shall be subject to standard payroll deductions and withholdings and paid on a regular basis in accordance with the Company's normal payroll procedures and policies. You will also be eligible to accrue paid vacation, and be eligible for the other benefits that the Company provides to comparable employees, in accordance with the Company's policies and procedures.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120" w:after="283"/>
        <w:jc w:val="left"/>
        <w:rPr/>
      </w:pPr>
      <w:r>
        <w:rPr>
          <w:rFonts w:ascii="Times New Roman" w:hAnsi="Times New Roman"/>
          <w:b w:val="false"/>
          <w:sz w:val="20"/>
        </w:rPr>
        <w:t xml:space="preserve">You will be eligible to earn annual discretionary incentive compensation up to a target amount of twenty percent (20%) of your Base Salary, based on achievement of individual and corporate performance targets, metrics and/or management-by-objectives </w:t>
      </w:r>
      <w:r>
        <w:rPr>
          <w:rFonts w:ascii="Times New Roman" w:hAnsi="Times New Roman"/>
          <w:b/>
          <w:sz w:val="20"/>
        </w:rPr>
        <w:t>("MBOs")</w:t>
      </w:r>
      <w:r>
        <w:rPr>
          <w:rFonts w:ascii="Times New Roman" w:hAnsi="Times New Roman"/>
          <w:b w:val="false"/>
          <w:sz w:val="20"/>
        </w:rPr>
        <w:t>to be determined and approved by the Company. Annual incentive compensation is paid on an annual basis, after the close of the fiscal year and after determination by the Company of (i) the level of achievement of the applicable individual and corporate performance targets, metrics and/or MBOs, and (ii) the amount of any annual incentive compensation earned by you. No annual incentive compensation is guaranteed and, in addition to the other conditions for earning such compensation, you must remain an employee in good standing of the Company on the scheduled annual incentive compensation payment date in order to be eligible for any annual incentive compensation. This annual incentive compensation program will be the only incentive compensation, commission, or other bonus program that will apply to you. For the 2015 annual incentive compensation period, your eligibility will be prorated based on the Start Date.</w:t>
      </w:r>
      <w:r>
        <w:rPr/>
        <w:t xml:space="preserve"> </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120" w:after="0"/>
        <w:jc w:val="left"/>
        <w:rPr/>
      </w:pPr>
      <w:r>
        <w:rPr>
          <w:rFonts w:ascii="Times New Roman" w:hAnsi="Times New Roman"/>
          <w:b w:val="false"/>
          <w:sz w:val="20"/>
        </w:rPr>
        <w:t xml:space="preserve">Following the Start Date and subject to Board approval and your signing of the appropriate related agreements, you will be entitled to receive 100,000 Class B Profits Interest Units of the Company(the "Units") under the Company's Amended and Restated Profits Interest Incentive Plan or a successor equity plan </w:t>
      </w:r>
      <w:r>
        <w:rPr>
          <w:rFonts w:ascii="Times New Roman" w:hAnsi="Times New Roman"/>
          <w:b w:val="false"/>
          <w:sz w:val="20"/>
          <w:u w:val="single"/>
        </w:rPr>
        <w:t>("Plan")</w:t>
      </w:r>
      <w:r>
        <w:rPr>
          <w:rFonts w:ascii="Times New Roman" w:hAnsi="Times New Roman"/>
          <w:b w:val="false"/>
          <w:sz w:val="20"/>
        </w:rPr>
        <w:t xml:space="preserve">. The Units will be subject to the terms of the Plan and the Unit Issuance Agreement between you and the Company evidencing the grant (the </w:t>
      </w:r>
      <w:r>
        <w:rPr>
          <w:rFonts w:ascii="Times New Roman" w:hAnsi="Times New Roman"/>
          <w:b w:val="false"/>
          <w:sz w:val="20"/>
          <w:u w:val="single"/>
        </w:rPr>
        <w:t>"Issuance Agreement")</w:t>
      </w:r>
      <w:r>
        <w:rPr/>
        <w:t xml:space="preserve"> </w:t>
      </w:r>
      <w:r>
        <w:rPr>
          <w:rFonts w:ascii="Times New Roman" w:hAnsi="Times New Roman"/>
          <w:b w:val="false"/>
          <w:sz w:val="20"/>
        </w:rPr>
        <w:t xml:space="preserve">as well as the Company's Second Amended and Restated Operating Agreement (the </w:t>
      </w:r>
      <w:r>
        <w:rPr>
          <w:rFonts w:ascii="Times New Roman" w:hAnsi="Times New Roman"/>
          <w:b w:val="false"/>
          <w:sz w:val="20"/>
          <w:u w:val="single"/>
        </w:rPr>
        <w:t>"Operating Agreement").</w:t>
      </w:r>
      <w:r>
        <w:rPr/>
        <w:t xml:space="preserve"> </w:t>
      </w:r>
      <w:r>
        <w:rPr>
          <w:rFonts w:ascii="Times New Roman" w:hAnsi="Times New Roman"/>
          <w:b w:val="false"/>
          <w:sz w:val="20"/>
        </w:rPr>
        <w:t xml:space="preserve">The Units generally are intended to qualify as "profits interests" under Revenue Procedure93-27 and Revenue Procedure 2001-43 and thus shall not participate with respect to any Net Income or Net Loss of the Company prior to the issuance date of the Units (nor shall the Units be attributed any value of the assets of the Company held immediately prior to the issuance date of such Units). Subject to the terms of the Plan, the Issuance Agreement and the Operating Agreement, the Units will vest over a period of four (4) years in accordance with the following schedule: 25% of the Units shall vest after the first 12 months of continuous service from your Start Date and the balance of the Units shall vest in equal monthly installments over the next three (3) years of continuous service. The Units shall be subject to the "Participation Threshold" as described in the Plan. The Participation Threshold will be equal to or greater than the net fair value of the Company on the date of grant as determined by the Board. Please note, inasmuch as the Units are wholly subject to Board approval, the terms and conditions of the Plan, the Issuance Agreement and the Operating Agreement, nothing in this Offer Letter shall vary the terms of any Issuance Agreement signed by the Company and you and in the </w:t>
      </w:r>
    </w:p>
    <w:p>
      <w:pPr>
        <w:pStyle w:val="HorizontalLine"/>
        <w:rPr/>
      </w:pPr>
      <w:r>
        <w:rPr/>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event of a conflict between this Agreement and any Issuance Agreement, the terms of the Issuance Agreement shall govern.</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6.</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is a full-time position, and you will be expected to devote your full working time and ability to the performance of your duties. You will also be expected to give the Company your undivided loyalty, and to refrain from any activity that might interfere with your duties to the Company or create a potential or actual conflict of interest.</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7.</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In your work for the Company, you will be prohibited from using or disclosing any confidential, proprietary or trade secret information of any former employer or other person to whom you have an obligation of confidentiality. Rather, you will be required to use only information that is generally known and used by persons with training and experience comparable to your own, is common knowledge in the industry or otherwise legally in the public domain, or is otherwise provided or developed by the Company. You agree that you will not bring onto Company premises or use in your work for the Company any unpublished documents or property belonging to any former employer or third party that you are not authorized to use and disclose. You represent further that you have disclosed to the Company any contract you have signed that might restrict your activities on behalf of the Company. By accepting employment with the Company, you are representing that you will be able to perform your job duties within these parameters.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8.</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offer is not to be considered a contract guaranteeing employment for any specific duration. Your employment with the Company is "at-will" and, therefore, is not guaranteed. You may terminate your employment at any time and for any reason whatsoever. Likewise, the Company may terminate your employment at any time, with or without cause or prior warning. This provision for "at-will" employment supersedes all prior agreements and understandings concerning termination of employment, whether oral, written, or implied, and it can be changed or revoked only in a writing signed by you and the Chief Executive Officer or President of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9.</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In addition to the compensation package described above, you will be reimbursed for any Company-approved and IRS permitted out-of-pocket expenses (other than Company</w:t>
        <w:softHyphen/>
        <w:t xml:space="preserve"> approved expenses which are charged by you on Company credit cards), in accordance with our policies.</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10.</w:t>
      </w:r>
    </w:p>
    <w:p>
      <w:pPr>
        <w:pStyle w:val="TextBody"/>
        <w:spacing w:lineRule="auto" w:line="273" w:before="120" w:after="283"/>
        <w:jc w:val="left"/>
        <w:rPr/>
      </w:pPr>
      <w:r>
        <w:rPr>
          <w:rFonts w:ascii="Times New Roman" w:hAnsi="Times New Roman"/>
          <w:b w:val="false"/>
          <w:sz w:val="20"/>
        </w:rPr>
        <w:t>As a condition of employment, you must agree to sign and abide by the Company's Employee Inventions and Non-Disclosure</w:t>
      </w:r>
      <w:r>
        <w:rPr/>
        <w:t xml:space="preserve"> </w:t>
      </w:r>
      <w:r>
        <w:rPr>
          <w:rFonts w:ascii="Times New Roman" w:hAnsi="Times New Roman"/>
          <w:b w:val="false"/>
          <w:sz w:val="20"/>
        </w:rPr>
        <w:t xml:space="preserve">Agreement </w:t>
      </w:r>
      <w:r>
        <w:rPr>
          <w:rFonts w:ascii="Times New Roman" w:hAnsi="Times New Roman"/>
          <w:b w:val="false"/>
          <w:sz w:val="20"/>
          <w:u w:val="single"/>
        </w:rPr>
        <w:t>("EINDA").</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11.</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You also agree to comply with the Company's rules, policies and procedures as they are issued from time to time by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12.</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Before commencing employment, you must provide proof of your identity and authorization to work in the United States, and fill out a form 1-9 as required by federal immigration laws. Further, this offer is contingent upon your successful completion of a background check to the satisfaction of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13.</w:t>
      </w:r>
    </w:p>
    <w:p>
      <w:pPr>
        <w:pStyle w:val="TextBody"/>
        <w:spacing w:lineRule="auto" w:line="273" w:before="120" w:after="283"/>
        <w:jc w:val="left"/>
        <w:rPr/>
      </w:pPr>
      <w:r>
        <w:rPr>
          <w:rFonts w:ascii="Times New Roman" w:hAnsi="Times New Roman"/>
          <w:b w:val="false"/>
          <w:sz w:val="20"/>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arising from or relating to the enforcement, breach, performance, or interpretation of this Offer Letter, your employment with the Company, or the termination of your employment from the Company, will be resolved pursuant to the Federal Arbitration Act, 9 U.S.C. § I-16, and to the fullest extent permitted by law, by final, binding and confidential arbitration conducted in San Diego, California by JAMS, Inc. </w:t>
      </w:r>
      <w:r>
        <w:rPr>
          <w:rFonts w:ascii="Times New Roman" w:hAnsi="Times New Roman"/>
          <w:b w:val="false"/>
          <w:sz w:val="20"/>
          <w:u w:val="single"/>
        </w:rPr>
        <w:t>("JAMS")</w:t>
      </w:r>
      <w:r>
        <w:rPr/>
        <w:t xml:space="preserve"> </w:t>
      </w:r>
      <w:r>
        <w:rPr>
          <w:rFonts w:ascii="Times New Roman" w:hAnsi="Times New Roman"/>
          <w:b w:val="false"/>
          <w:sz w:val="20"/>
        </w:rPr>
        <w:t xml:space="preserve">or its successors by a single arbitrator, under JAMS' then applicable rules and procedures for employment disputes(which can be found at </w:t>
      </w:r>
      <w:r>
        <w:rPr>
          <w:rFonts w:ascii="Times New Roman" w:hAnsi="Times New Roman"/>
          <w:b w:val="false"/>
          <w:sz w:val="20"/>
          <w:u w:val="single"/>
        </w:rPr>
        <w:t>http://www.jamsadr.com/rules-clauses/</w:t>
      </w:r>
      <w:r>
        <w:rPr>
          <w:rFonts w:ascii="Times New Roman" w:hAnsi="Times New Roman"/>
          <w:b w:val="false"/>
          <w:sz w:val="20"/>
        </w:rPr>
        <w:t xml:space="preserve">, and which will be provided to you on request); provided that the arbitrator shall:(a)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You and the Company shall be entitled to all rights and remedies that either would be entitled to pursue in a court of law. </w:t>
      </w:r>
      <w:r>
        <w:rPr>
          <w:rFonts w:ascii="Times New Roman" w:hAnsi="Times New Roman"/>
          <w:b/>
          <w:sz w:val="20"/>
        </w:rPr>
        <w:t xml:space="preserve">Both you and the Company acknowledge that by agreeing to this arbitration procedure, you each waive the right to resolve any such dispute through a trial by jury or judge or administrative proceeding. </w:t>
      </w:r>
      <w:r>
        <w:rPr>
          <w:rFonts w:ascii="Times New Roman" w:hAnsi="Times New Roman"/>
          <w:b w:val="false"/>
          <w:sz w:val="20"/>
        </w:rPr>
        <w:t>The Company shall pay all filing fees in excess of those which would be required if the dispute were decided in a court of law, and shall pay the arbitrator's fee. Nothing in this Offer Letter intended to prevent either the Company or you from obtaining injunctive relief in court to prevent irreparable harm pending the conclusion of any such arbitration.</w:t>
      </w:r>
    </w:p>
    <w:p>
      <w:pPr>
        <w:pStyle w:val="TextBody"/>
        <w:spacing w:lineRule="auto" w:line="273" w:before="0" w:after="0"/>
        <w:jc w:val="left"/>
        <w:rPr/>
      </w:pPr>
      <w:r>
        <w:rPr/>
        <w:t> </w:t>
      </w:r>
    </w:p>
    <w:p>
      <w:pPr>
        <w:pStyle w:val="HorizontalLine"/>
        <w:rPr/>
      </w:pPr>
      <w:r>
        <w:rPr/>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14.</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Offer Letter and the EINDA sets forth the entire agreement between you and the Company with respect to the subject matter thereof. Once signed by you and an officer of the Company, this Offer Letter and the EINDA will become legally binding contracts, and will supersede all prior agreements, promises, and understandings between you and the Company.</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15.</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This Offer Letter will be governed by and construed in accordance with the laws of the State of California. The validity or unenforceability of any provision of this Offer Letter, or any terms hereof, shall not affect the validity or enforceability of any other provision or term of this Offer Letter.</w:t>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16.</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All payments made pursuant to this Offer Letter shall be subject to withholding of applicable income and employment taxes. The Company may withhold from any payments made under this Offer Letter all authorized or legally required deductions and withholdings, including but not limited to income, employment, and social insurance taxes. Nothing in this Agreement shall create any obligation on the part of the Company to indemnify, reimburse, gross up, or otherwise compensate you for any taxes, interest, penalties, costs, losses, damages, or expenses arising out of any violation of tax laws or any corresponding provision of law. Your signature below constitutes your agreement with the Company's employment terms and conditions.</w:t>
      </w:r>
    </w:p>
    <w:p>
      <w:pPr>
        <w:pStyle w:val="TextBody"/>
        <w:spacing w:lineRule="auto" w:line="273" w:before="0" w:after="0"/>
        <w:jc w:val="left"/>
        <w:rPr/>
      </w:pPr>
      <w:r>
        <w:rPr/>
        <w:t> </w:t>
      </w:r>
    </w:p>
    <w:p>
      <w:pPr>
        <w:pStyle w:val="TextBody"/>
        <w:spacing w:lineRule="auto" w:line="290" w:before="0" w:after="0"/>
        <w:jc w:val="both"/>
        <w:rPr>
          <w:rFonts w:ascii="Times New Roman" w:hAnsi="Times New Roman"/>
          <w:b w:val="false"/>
          <w:sz w:val="20"/>
        </w:rPr>
      </w:pPr>
      <w:r>
        <w:rPr>
          <w:rFonts w:ascii="Times New Roman" w:hAnsi="Times New Roman"/>
          <w:b w:val="false"/>
          <w:sz w:val="20"/>
        </w:rPr>
        <w:t>To confirm that you agree to the terms stated in this Offer Letter, please sign and date the enclosed copy of this Offer Letter and return it to me as soon as possible, but no later than October 26, 2015.</w:t>
      </w:r>
    </w:p>
    <w:p>
      <w:pPr>
        <w:pStyle w:val="TextBody"/>
        <w:spacing w:lineRule="auto" w:line="273" w:before="0" w:after="0"/>
        <w:jc w:val="left"/>
        <w:rPr/>
      </w:pPr>
      <w:r>
        <w:rPr/>
        <w:t> </w:t>
      </w:r>
    </w:p>
    <w:p>
      <w:pPr>
        <w:pStyle w:val="TextBody"/>
        <w:spacing w:lineRule="auto" w:line="283" w:before="0" w:after="0"/>
        <w:jc w:val="both"/>
        <w:rPr>
          <w:rFonts w:ascii="Times New Roman" w:hAnsi="Times New Roman"/>
          <w:b w:val="false"/>
          <w:sz w:val="20"/>
        </w:rPr>
      </w:pPr>
      <w:r>
        <w:rPr>
          <w:rFonts w:ascii="Times New Roman" w:hAnsi="Times New Roman"/>
          <w:b w:val="false"/>
          <w:sz w:val="20"/>
        </w:rPr>
        <w:t>On behalf of the Company, I am very pleased to make this offer and look forward to you joining our team.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Very truly yours,</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BIOATLA, LLC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By:</w:t>
      </w:r>
    </w:p>
    <w:tbl>
      <w:tblPr>
        <w:tblW w:w="2041" w:type="dxa"/>
        <w:jc w:val="left"/>
        <w:tblInd w:w="0" w:type="dxa"/>
        <w:tblCellMar>
          <w:top w:w="28" w:type="dxa"/>
          <w:left w:w="28" w:type="dxa"/>
          <w:bottom w:w="28" w:type="dxa"/>
          <w:right w:w="28" w:type="dxa"/>
        </w:tblCellMar>
      </w:tblPr>
      <w:tblGrid>
        <w:gridCol w:w="2041"/>
      </w:tblGrid>
      <w:tr>
        <w:trPr/>
        <w:tc>
          <w:tcPr>
            <w:tcW w:w="204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Richard Waldron</w:t>
            </w:r>
          </w:p>
        </w:tc>
      </w:tr>
      <w:tr>
        <w:trPr/>
        <w:tc>
          <w:tcPr>
            <w:tcW w:w="204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Richard Waldron</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Chief Financial Officer</w:t>
            </w:r>
          </w:p>
        </w:tc>
      </w:tr>
    </w:tbl>
    <w:p>
      <w:pPr>
        <w:pStyle w:val="TextBody"/>
        <w:spacing w:lineRule="auto" w:line="273" w:before="0" w:after="0"/>
        <w:jc w:val="left"/>
        <w:rPr>
          <w:rFonts w:ascii="Times New Roman" w:hAnsi="Times New Roman"/>
          <w:sz w:val="20"/>
        </w:rPr>
      </w:pPr>
      <w:r>
        <w:rPr>
          <w:rFonts w:ascii="Times New Roman" w:hAnsi="Times New Roman"/>
          <w:b w:val="false"/>
          <w:sz w:val="22"/>
        </w:rPr>
        <w:br/>
      </w:r>
      <w:r>
        <w:rPr>
          <w:rFonts w:ascii="Times New Roman" w:hAnsi="Times New Roman"/>
          <w:sz w:val="20"/>
        </w:rPr>
        <w:t> </w:t>
      </w:r>
    </w:p>
    <w:p>
      <w:pPr>
        <w:pStyle w:val="TextBody"/>
        <w:spacing w:lineRule="auto" w:line="684" w:before="0" w:after="0"/>
        <w:jc w:val="left"/>
        <w:rPr>
          <w:rFonts w:ascii="Times New Roman" w:hAnsi="Times New Roman"/>
          <w:sz w:val="20"/>
        </w:rPr>
      </w:pPr>
      <w:r>
        <w:rPr>
          <w:rFonts w:ascii="Times New Roman" w:hAnsi="Times New Roman"/>
          <w:b w:val="false"/>
          <w:sz w:val="20"/>
        </w:rPr>
        <w:t>I agree to the terms stated in this letter.</w:t>
      </w:r>
      <w:r>
        <w:rPr>
          <w:rFonts w:ascii="Times New Roman" w:hAnsi="Times New Roman"/>
          <w:sz w:val="20"/>
        </w:rPr>
        <w:t xml:space="preserve"> </w:t>
      </w:r>
    </w:p>
    <w:p>
      <w:pPr>
        <w:pStyle w:val="TextBody"/>
        <w:spacing w:lineRule="auto" w:line="684" w:before="0" w:after="0"/>
        <w:jc w:val="left"/>
        <w:rPr>
          <w:rFonts w:ascii="Times New Roman" w:hAnsi="Times New Roman"/>
          <w:b w:val="false"/>
          <w:sz w:val="20"/>
        </w:rPr>
      </w:pPr>
      <w:r>
        <w:rPr>
          <w:rFonts w:ascii="Times New Roman" w:hAnsi="Times New Roman"/>
          <w:b w:val="false"/>
          <w:sz w:val="20"/>
        </w:rPr>
        <w:t>Dated: 10/26/15</w:t>
      </w:r>
    </w:p>
    <w:p>
      <w:pPr>
        <w:pStyle w:val="TextBody"/>
        <w:spacing w:lineRule="auto" w:line="273" w:before="0" w:after="0"/>
        <w:jc w:val="left"/>
        <w:rPr/>
      </w:pPr>
      <w:r>
        <w:rPr/>
        <w:t> </w:t>
      </w:r>
    </w:p>
    <w:tbl>
      <w:tblPr>
        <w:tblW w:w="1906" w:type="dxa"/>
        <w:jc w:val="left"/>
        <w:tblInd w:w="0" w:type="dxa"/>
        <w:tblCellMar>
          <w:top w:w="28" w:type="dxa"/>
          <w:left w:w="28" w:type="dxa"/>
          <w:bottom w:w="28" w:type="dxa"/>
          <w:right w:w="28" w:type="dxa"/>
        </w:tblCellMar>
      </w:tblPr>
      <w:tblGrid>
        <w:gridCol w:w="1906"/>
      </w:tblGrid>
      <w:tr>
        <w:trPr/>
        <w:tc>
          <w:tcPr>
            <w:tcW w:w="1906" w:type="dxa"/>
            <w:tcBorders/>
            <w:shd w:fill="auto" w:val="clear"/>
            <w:vAlign w:val="center"/>
          </w:tcPr>
          <w:p>
            <w:pPr>
              <w:pStyle w:val="TableContents"/>
              <w:spacing w:before="0" w:after="283"/>
              <w:rPr>
                <w:sz w:val="4"/>
                <w:szCs w:val="4"/>
              </w:rPr>
            </w:pPr>
            <w:r>
              <w:rPr>
                <w:sz w:val="4"/>
                <w:szCs w:val="4"/>
              </w:rPr>
            </w:r>
          </w:p>
        </w:tc>
      </w:tr>
      <w:tr>
        <w:trPr/>
        <w:tc>
          <w:tcPr>
            <w:tcW w:w="190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Christian Vasquez</w:t>
            </w:r>
          </w:p>
        </w:tc>
      </w:tr>
      <w:tr>
        <w:trPr/>
        <w:tc>
          <w:tcPr>
            <w:tcW w:w="1906"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Christian Vasquez</w:t>
            </w:r>
          </w:p>
        </w:tc>
      </w:tr>
    </w:tbl>
    <w:p>
      <w:pPr>
        <w:pStyle w:val="TextBody"/>
        <w:spacing w:lineRule="auto" w:line="684"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b/>
          <w:sz w:val="22"/>
        </w:rPr>
      </w:pPr>
      <w:bookmarkStart w:id="50" w:name="bcab-ex10_26.htm"/>
      <w:bookmarkStart w:id="51" w:name="ksbcabex10_26"/>
      <w:bookmarkEnd w:id="50"/>
      <w:bookmarkEnd w:id="51"/>
      <w:r>
        <w:rPr>
          <w:rFonts w:ascii="Times New Roman" w:hAnsi="Times New Roman"/>
          <w:b/>
          <w:sz w:val="22"/>
        </w:rPr>
        <w:t>Exhibit 10.26</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22"/>
        </w:rPr>
        <w:t>AMENDMENT #2 TO BIOATLA, INC.</w:t>
      </w:r>
      <w:r>
        <w:rPr>
          <w:rFonts w:ascii="Times New Roman" w:hAnsi="Times New Roman"/>
          <w:sz w:val="20"/>
        </w:rPr>
        <w:t xml:space="preserve"> </w:t>
      </w:r>
    </w:p>
    <w:p>
      <w:pPr>
        <w:pStyle w:val="TextBody"/>
        <w:spacing w:lineRule="auto" w:line="273" w:before="0" w:after="0"/>
        <w:jc w:val="center"/>
        <w:rPr>
          <w:rFonts w:ascii="Times New Roman" w:hAnsi="Times New Roman"/>
          <w:b/>
          <w:sz w:val="22"/>
        </w:rPr>
      </w:pPr>
      <w:r>
        <w:rPr>
          <w:rFonts w:ascii="Times New Roman" w:hAnsi="Times New Roman"/>
          <w:b/>
          <w:sz w:val="22"/>
        </w:rPr>
        <w:t>2020 EQUITY INCENTIVE PLAN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Pursuant to the authority reserved to it in Section 9.1 of the BioAtla, Inc. 2020 Equity Incentive Plan, adopted October 29, 2020 and as amended from time to time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the Board of Directors of BioAtla, Inc. (the “</w:t>
      </w:r>
      <w:r>
        <w:rPr>
          <w:rFonts w:ascii="Times New Roman" w:hAnsi="Times New Roman"/>
          <w:b w:val="false"/>
          <w:sz w:val="20"/>
          <w:u w:val="single"/>
        </w:rPr>
        <w:t>Board</w:t>
      </w:r>
      <w:r>
        <w:rPr>
          <w:rFonts w:ascii="Times New Roman" w:hAnsi="Times New Roman"/>
          <w:sz w:val="20"/>
        </w:rPr>
        <w:t>”</w:t>
      </w:r>
      <w:r>
        <w:rPr>
          <w:rFonts w:ascii="Times New Roman" w:hAnsi="Times New Roman"/>
          <w:b w:val="false"/>
          <w:sz w:val="20"/>
        </w:rPr>
        <w:t>) hereby amends the Plan as follows, effective September 14,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 Section 6.1(c) of the Plan is hereby amended in its entirety to read as follows:</w:t>
      </w:r>
    </w:p>
    <w:p>
      <w:pPr>
        <w:pStyle w:val="TextBody"/>
        <w:spacing w:lineRule="auto" w:line="273" w:before="0" w:after="0"/>
        <w:jc w:val="left"/>
        <w:rPr/>
      </w:pPr>
      <w:r>
        <w:rPr/>
        <w:t> </w:t>
      </w:r>
    </w:p>
    <w:p>
      <w:pPr>
        <w:pStyle w:val="TextBody"/>
        <w:spacing w:lineRule="auto" w:line="273" w:before="0" w:after="0"/>
        <w:jc w:val="left"/>
        <w:rPr/>
      </w:pPr>
      <w:r>
        <w:rPr/>
        <w:t>“</w:t>
      </w:r>
      <w:r>
        <w:rPr>
          <w:rFonts w:ascii="Times New Roman" w:hAnsi="Times New Roman"/>
          <w:b w:val="false"/>
          <w:sz w:val="20"/>
        </w:rPr>
        <w:t>Exercise of Option. Each Award Agreement with respect to an Option shall specify the time or times at which an Option may be exercised in whole or in part and the terms and conditions applicable thereto, including without limitation (i) a vesting schedule which may be based upon the passage of time, attainment of Performance Goals or a combination thereof, (ii) whether the exercise price for an Option shall be paid in cash, with Shares, with any combination of cash and Shares, or with other legal consideration that the Committee may deem appropriate and to the extent permitted by applicable law, (iii) the methods of payment, which may include payment through cashless and net exercise arrangements, to the extent permitted by applicable law and (iv) the methods by which, or the time or times at which, Shares will be delivered or deemed to be delivered to Participants upon the exercise of such Option. Payment of the exercise price shall in all events be made within three days after the date of exercise of an Option. Notwithstanding the foregoing, except as otherwise specifically approved by the Committee, with respect to any Participant who is subject to Section 16 of the Exchange Act with respect to the Company, such Participant shall pay the exercise price of an Option in (i) cash or (ii) through a broker-assisted sale-to-cover, as elected by such Participant.</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2. Section 11 of the Plan is hereby amended in its entirety to read as follows:</w:t>
      </w:r>
    </w:p>
    <w:p>
      <w:pPr>
        <w:pStyle w:val="TextBody"/>
        <w:spacing w:lineRule="auto" w:line="273" w:before="0" w:after="0"/>
        <w:jc w:val="left"/>
        <w:rPr/>
      </w:pPr>
      <w:r>
        <w:rPr/>
        <w:t> </w:t>
      </w:r>
    </w:p>
    <w:p>
      <w:pPr>
        <w:pStyle w:val="TextBody"/>
        <w:spacing w:lineRule="auto" w:line="273" w:before="0" w:after="0"/>
        <w:jc w:val="left"/>
        <w:rPr/>
      </w:pPr>
      <w:r>
        <w:rPr/>
        <w:t>“</w:t>
      </w:r>
      <w:r>
        <w:rPr>
          <w:rFonts w:ascii="Times New Roman" w:hAnsi="Times New Roman"/>
          <w:b w:val="false"/>
          <w:sz w:val="20"/>
        </w:rPr>
        <w:t>Each Participant must make appropriate arrangement for the payment of any taxes relating to an Award granted hereunder. The Company or any Subsidiary is authorized to withhold from any payment relating to an Award under the Plan, including without limitation from a distribution of Shares or cash, amounts of withholding and other taxes due in connection with any transaction involving an Award, and to take such other action as the Committee may deem advisable to enable the Company and Participants to satisfy obligations for the payment of withholding taxes and other tax obligations relating to any Award (including without limitation withholding from any payroll or other payment due to a Participant). This authority shall include the ability to withhold or receive Shares or other property and to make cash payments in respect thereof in satisfaction of a Participant’s tax obligations. Notwithstanding the foregoing, except as otherwise specifically approved by the Committee, with respect to any Participant who is subject to Section 16 of the Exchange Act with respect to the Company, such Participant shall satisfy the withholding and other taxes due in connection with any transaction involving an Award in (i) cash or (ii) through a broker-assisted sale-to-cover, as elected by such Participant. Withholding of taxes in the form of Shares with respect to an Award shall not occur at a rate that equals or exceeds the rate that would result in liability accounting treatment.”</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 [signature page follows]</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To record the adoption of this Amendment #2 to the Plan, the Board has caused its authorized officer to execute this Amendment.</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BIOATLA, INC.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By:</w:t>
      </w:r>
      <w:r>
        <w:rPr>
          <w:rFonts w:ascii="Times New Roman" w:hAnsi="Times New Roman"/>
          <w:sz w:val="20"/>
        </w:rPr>
        <w:t xml:space="preserve"> </w:t>
      </w:r>
    </w:p>
    <w:p>
      <w:pPr>
        <w:pStyle w:val="TextBody"/>
        <w:spacing w:lineRule="auto" w:line="273" w:before="0" w:after="0"/>
        <w:jc w:val="left"/>
        <w:rPr/>
      </w:pPr>
      <w:r>
        <w:rPr/>
        <w:t> </w:t>
      </w:r>
    </w:p>
    <w:tbl>
      <w:tblPr>
        <w:tblW w:w="3151" w:type="dxa"/>
        <w:jc w:val="left"/>
        <w:tblInd w:w="0" w:type="dxa"/>
        <w:tblCellMar>
          <w:top w:w="28" w:type="dxa"/>
          <w:left w:w="28" w:type="dxa"/>
          <w:bottom w:w="28" w:type="dxa"/>
          <w:right w:w="28" w:type="dxa"/>
        </w:tblCellMar>
      </w:tblPr>
      <w:tblGrid>
        <w:gridCol w:w="3151"/>
      </w:tblGrid>
      <w:tr>
        <w:trPr/>
        <w:tc>
          <w:tcPr>
            <w:tcW w:w="315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Jay M. Short, Ph.D.</w:t>
            </w:r>
          </w:p>
        </w:tc>
      </w:tr>
      <w:tr>
        <w:trPr/>
        <w:tc>
          <w:tcPr>
            <w:tcW w:w="315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Jay M. Short, Ph.D.</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Chief Executive Officer and Director</w:t>
            </w:r>
          </w:p>
          <w:p>
            <w:pPr>
              <w:pStyle w:val="TableContents"/>
              <w:spacing w:lineRule="auto" w:line="252" w:before="0" w:after="0"/>
              <w:ind w:left="0" w:right="15" w:hanging="0"/>
              <w:jc w:val="center"/>
              <w:rPr>
                <w:rFonts w:ascii="Times New Roman" w:hAnsi="Times New Roman"/>
                <w:b w:val="false"/>
                <w:i/>
                <w:sz w:val="20"/>
              </w:rPr>
            </w:pPr>
            <w:r>
              <w:rPr>
                <w:rFonts w:ascii="Times New Roman" w:hAnsi="Times New Roman"/>
                <w:b w:val="false"/>
                <w:i/>
                <w:sz w:val="20"/>
              </w:rPr>
              <w:t>(Principal Executive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center"/>
        <w:rPr/>
      </w:pPr>
      <w:r>
        <w:rPr/>
        <w:t> </w:t>
      </w:r>
    </w:p>
    <w:p>
      <w:pPr>
        <w:pStyle w:val="HorizontalLine"/>
        <w:rPr/>
      </w:pPr>
      <w:r>
        <w:rPr/>
      </w:r>
      <w:r>
        <w:br w:type="page"/>
      </w:r>
    </w:p>
    <w:p>
      <w:pPr>
        <w:pStyle w:val="TextBody"/>
        <w:spacing w:lineRule="auto" w:line="273" w:before="0" w:after="0"/>
        <w:jc w:val="right"/>
        <w:rPr>
          <w:rFonts w:ascii="Times New Roman" w:hAnsi="Times New Roman"/>
          <w:b/>
          <w:sz w:val="20"/>
        </w:rPr>
      </w:pPr>
      <w:bookmarkStart w:id="52" w:name="bcab-ex10_27.htm"/>
      <w:bookmarkStart w:id="53" w:name="ksbcabex10_27"/>
      <w:bookmarkEnd w:id="52"/>
      <w:bookmarkEnd w:id="53"/>
      <w:r>
        <w:rPr>
          <w:rFonts w:ascii="Times New Roman" w:hAnsi="Times New Roman"/>
          <w:b/>
          <w:sz w:val="20"/>
        </w:rPr>
        <w:t>Exhibit 10.27</w:t>
      </w:r>
    </w:p>
    <w:p>
      <w:pPr>
        <w:pStyle w:val="TextBody"/>
        <w:spacing w:lineRule="auto" w:line="273" w:before="0" w:after="0"/>
        <w:jc w:val="left"/>
        <w:rPr/>
      </w:pPr>
      <w:r>
        <w:rPr/>
        <w:t> </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20"/>
        </w:rPr>
      </w:pPr>
      <w:r>
        <w:rPr>
          <w:rFonts w:ascii="Times New Roman" w:hAnsi="Times New Roman"/>
          <w:b/>
          <w:sz w:val="20"/>
        </w:rPr>
        <w:t>AMENDMENT #1 TO BIOATLA, INC.</w:t>
      </w:r>
    </w:p>
    <w:p>
      <w:pPr>
        <w:pStyle w:val="TextBody"/>
        <w:spacing w:lineRule="auto" w:line="273" w:before="0" w:after="0"/>
        <w:jc w:val="center"/>
        <w:rPr>
          <w:rFonts w:ascii="Times New Roman" w:hAnsi="Times New Roman"/>
          <w:b/>
          <w:sz w:val="20"/>
        </w:rPr>
      </w:pPr>
      <w:r>
        <w:rPr>
          <w:rFonts w:ascii="Times New Roman" w:hAnsi="Times New Roman"/>
          <w:b/>
          <w:sz w:val="20"/>
        </w:rPr>
        <w:t>EMPLOYEE STOCK PURCHASE PLAN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Pursuant to the authority reserved to it in Section 20 of the BioAtla, Inc. 2020 Employee Stock Purchase Plan, adopted December 7, 2020 and as amended from time to time (the “</w:t>
      </w:r>
      <w:r>
        <w:rPr>
          <w:rFonts w:ascii="Times New Roman" w:hAnsi="Times New Roman"/>
          <w:b w:val="false"/>
          <w:sz w:val="20"/>
          <w:u w:val="single"/>
        </w:rPr>
        <w:t>Plan</w:t>
      </w:r>
      <w:r>
        <w:rPr>
          <w:rFonts w:ascii="Times New Roman" w:hAnsi="Times New Roman"/>
          <w:sz w:val="20"/>
        </w:rPr>
        <w:t>”</w:t>
      </w:r>
      <w:r>
        <w:rPr>
          <w:rFonts w:ascii="Times New Roman" w:hAnsi="Times New Roman"/>
          <w:b w:val="false"/>
          <w:sz w:val="20"/>
        </w:rPr>
        <w:t>), the Board of Directors of BioAtla, Inc. (the “</w:t>
      </w:r>
      <w:r>
        <w:rPr>
          <w:rFonts w:ascii="Times New Roman" w:hAnsi="Times New Roman"/>
          <w:b w:val="false"/>
          <w:sz w:val="20"/>
          <w:u w:val="single"/>
        </w:rPr>
        <w:t>Board</w:t>
      </w:r>
      <w:r>
        <w:rPr>
          <w:rFonts w:ascii="Times New Roman" w:hAnsi="Times New Roman"/>
          <w:sz w:val="20"/>
        </w:rPr>
        <w:t>”</w:t>
      </w:r>
      <w:r>
        <w:rPr>
          <w:rFonts w:ascii="Times New Roman" w:hAnsi="Times New Roman"/>
          <w:b w:val="false"/>
          <w:sz w:val="20"/>
        </w:rPr>
        <w:t>) hereby amends the Plan as follows, effective September 14,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1. Section 4(a) of the Plan is hereby amended in its entirety to read as follows:</w:t>
      </w:r>
    </w:p>
    <w:p>
      <w:pPr>
        <w:pStyle w:val="TextBody"/>
        <w:spacing w:lineRule="auto" w:line="273" w:before="0" w:after="0"/>
        <w:jc w:val="left"/>
        <w:rPr/>
      </w:pPr>
      <w:r>
        <w:rPr/>
        <w:t> </w:t>
      </w:r>
    </w:p>
    <w:p>
      <w:pPr>
        <w:pStyle w:val="TextBody"/>
        <w:spacing w:lineRule="auto" w:line="273" w:before="0" w:after="0"/>
        <w:jc w:val="left"/>
        <w:rPr/>
      </w:pPr>
      <w:r>
        <w:rPr/>
        <w:t>“</w:t>
      </w:r>
      <w:r>
        <w:rPr>
          <w:rFonts w:ascii="Times New Roman" w:hAnsi="Times New Roman"/>
          <w:b w:val="false"/>
          <w:sz w:val="20"/>
        </w:rPr>
        <w:t>Offering Periods. The offering periods of this Plan (each, an “</w:t>
      </w:r>
      <w:r>
        <w:rPr>
          <w:rFonts w:ascii="Times New Roman" w:hAnsi="Times New Roman"/>
          <w:b w:val="false"/>
          <w:sz w:val="20"/>
          <w:u w:val="single"/>
        </w:rPr>
        <w:t>Offering Period</w:t>
      </w:r>
      <w:r>
        <w:rPr>
          <w:rFonts w:ascii="Times New Roman" w:hAnsi="Times New Roman"/>
          <w:sz w:val="20"/>
        </w:rPr>
        <w:t>”</w:t>
      </w:r>
      <w:r>
        <w:rPr>
          <w:rFonts w:ascii="Times New Roman" w:hAnsi="Times New Roman"/>
          <w:b w:val="false"/>
          <w:sz w:val="20"/>
        </w:rPr>
        <w:t>) may be of up to twenty-four (24) months duration and shall commence and end at the times designated by the Committee.”</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 [signature page follows]</w:t>
      </w:r>
    </w:p>
    <w:p>
      <w:pPr>
        <w:pStyle w:val="TextBody"/>
        <w:spacing w:lineRule="auto" w:line="273" w:before="0" w:after="0"/>
        <w:jc w:val="left"/>
        <w:rPr/>
      </w:pPr>
      <w:r>
        <w:rPr/>
        <w:t> </w:t>
      </w:r>
    </w:p>
    <w:p>
      <w:pPr>
        <w:pStyle w:val="TextBody"/>
        <w:spacing w:lineRule="atLeast" w:line="200" w:before="0" w:after="0"/>
        <w:jc w:val="right"/>
        <w:rPr/>
      </w:pPr>
      <w:r>
        <w:rPr/>
        <w:t> </w:t>
      </w:r>
    </w:p>
    <w:p>
      <w:pPr>
        <w:pStyle w:val="TextBody"/>
        <w:spacing w:lineRule="atLeast" w:line="200" w:before="0" w:after="0"/>
        <w:jc w:val="left"/>
        <w:rPr/>
      </w:pPr>
      <w:r>
        <w:rPr/>
        <w:t> </w:t>
      </w:r>
    </w:p>
    <w:p>
      <w:pPr>
        <w:pStyle w:val="TextBody"/>
        <w:spacing w:lineRule="auto" w:line="273" w:before="0" w:after="0"/>
        <w:jc w:val="left"/>
        <w:rPr/>
      </w:pPr>
      <w:r>
        <w:rPr/>
        <w:t> </w:t>
      </w:r>
    </w:p>
    <w:p>
      <w:pPr>
        <w:pStyle w:val="TextBody"/>
        <w:spacing w:lineRule="atLeast" w:line="200"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1"/>
        </w:rPr>
      </w:pPr>
      <w:r>
        <w:rPr>
          <w:rFonts w:ascii="Times New Roman" w:hAnsi="Times New Roman"/>
          <w:b w:val="false"/>
          <w:sz w:val="21"/>
        </w:rPr>
        <w:t>To record the adoption of this Amendment #1 to the Plan, the Board has caused its authorized officer to execute this Amendment.</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1"/>
        </w:rPr>
      </w:pPr>
      <w:r>
        <w:rPr>
          <w:rFonts w:ascii="Times New Roman" w:hAnsi="Times New Roman"/>
          <w:b/>
          <w:sz w:val="21"/>
        </w:rPr>
        <w:t>BIOATLA, INC.</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1"/>
        </w:rPr>
        <w:t>By:</w:t>
      </w:r>
      <w:r>
        <w:rPr>
          <w:rFonts w:ascii="Times New Roman" w:hAnsi="Times New Roman"/>
          <w:sz w:val="20"/>
        </w:rPr>
        <w:t xml:space="preserve"> </w:t>
      </w:r>
    </w:p>
    <w:p>
      <w:pPr>
        <w:pStyle w:val="TextBody"/>
        <w:spacing w:lineRule="auto" w:line="273" w:before="0" w:after="0"/>
        <w:jc w:val="left"/>
        <w:rPr/>
      </w:pPr>
      <w:r>
        <w:rPr/>
        <w:t> </w:t>
      </w:r>
    </w:p>
    <w:tbl>
      <w:tblPr>
        <w:tblW w:w="3151" w:type="dxa"/>
        <w:jc w:val="left"/>
        <w:tblInd w:w="0" w:type="dxa"/>
        <w:tblCellMar>
          <w:top w:w="28" w:type="dxa"/>
          <w:left w:w="28" w:type="dxa"/>
          <w:bottom w:w="28" w:type="dxa"/>
          <w:right w:w="28" w:type="dxa"/>
        </w:tblCellMar>
      </w:tblPr>
      <w:tblGrid>
        <w:gridCol w:w="3151"/>
      </w:tblGrid>
      <w:tr>
        <w:trPr/>
        <w:tc>
          <w:tcPr>
            <w:tcW w:w="315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Jay M. Short, Ph.D.</w:t>
            </w:r>
          </w:p>
        </w:tc>
      </w:tr>
      <w:tr>
        <w:trPr/>
        <w:tc>
          <w:tcPr>
            <w:tcW w:w="315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Jay M. Short, Ph.D.</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Chief Executive Officer and Director</w:t>
            </w:r>
          </w:p>
          <w:p>
            <w:pPr>
              <w:pStyle w:val="TableContents"/>
              <w:spacing w:lineRule="auto" w:line="252" w:before="0" w:after="0"/>
              <w:ind w:left="0" w:right="15" w:hanging="0"/>
              <w:jc w:val="center"/>
              <w:rPr>
                <w:rFonts w:ascii="Times New Roman" w:hAnsi="Times New Roman"/>
                <w:b w:val="false"/>
                <w:i/>
                <w:sz w:val="20"/>
              </w:rPr>
            </w:pPr>
            <w:r>
              <w:rPr>
                <w:rFonts w:ascii="Times New Roman" w:hAnsi="Times New Roman"/>
                <w:b w:val="false"/>
                <w:i/>
                <w:sz w:val="20"/>
              </w:rPr>
              <w:t>(Principal Executive Officer)</w:t>
            </w:r>
          </w:p>
        </w:tc>
      </w:tr>
    </w:tbl>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240"/>
        <w:jc w:val="both"/>
        <w:rPr/>
      </w:pPr>
      <w:r>
        <w:rPr/>
        <w:t> </w:t>
      </w:r>
    </w:p>
    <w:p>
      <w:pPr>
        <w:pStyle w:val="TextBody"/>
        <w:spacing w:lineRule="atLeast" w:line="200" w:before="0" w:after="0"/>
        <w:jc w:val="right"/>
        <w:rPr/>
      </w:pPr>
      <w:r>
        <w:rPr/>
        <w:t> </w:t>
      </w:r>
    </w:p>
    <w:p>
      <w:pPr>
        <w:pStyle w:val="TextBody"/>
        <w:spacing w:lineRule="atLeast" w:line="200" w:before="0" w:after="0"/>
        <w:jc w:val="left"/>
        <w:rPr/>
      </w:pPr>
      <w:r>
        <w:rPr/>
        <w:t> </w:t>
      </w:r>
    </w:p>
    <w:p>
      <w:pPr>
        <w:pStyle w:val="TextBody"/>
        <w:spacing w:lineRule="auto" w:line="273" w:before="0" w:after="0"/>
        <w:jc w:val="left"/>
        <w:rPr/>
      </w:pPr>
      <w:r>
        <w:rPr/>
        <w:t> </w:t>
      </w:r>
    </w:p>
    <w:p>
      <w:pPr>
        <w:pStyle w:val="TextBody"/>
        <w:spacing w:lineRule="atLeast" w:line="200" w:before="0" w:after="0"/>
        <w:jc w:val="left"/>
        <w:rPr/>
      </w:pPr>
      <w:r>
        <w:rPr/>
        <w:t> </w:t>
      </w:r>
    </w:p>
    <w:p>
      <w:pPr>
        <w:pStyle w:val="HorizontalLine"/>
        <w:rPr/>
      </w:pPr>
      <w:r>
        <w:rPr/>
      </w:r>
      <w:r>
        <w:br w:type="page"/>
      </w:r>
    </w:p>
    <w:p>
      <w:pPr>
        <w:pStyle w:val="TextBody"/>
        <w:spacing w:lineRule="auto" w:line="273" w:before="0" w:after="0"/>
        <w:jc w:val="right"/>
        <w:rPr/>
      </w:pPr>
      <w:bookmarkStart w:id="54" w:name="bcab-ex10_28.htm"/>
      <w:bookmarkStart w:id="55" w:name="ksbcabex10_28"/>
      <w:bookmarkEnd w:id="54"/>
      <w:bookmarkEnd w:id="55"/>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10.28</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240"/>
        <w:jc w:val="center"/>
        <w:rPr>
          <w:rFonts w:ascii="Times New Roman" w:hAnsi="Times New Roman"/>
          <w:b/>
          <w:sz w:val="18"/>
        </w:rPr>
      </w:pPr>
      <w:r>
        <w:rPr>
          <w:rFonts w:ascii="Times New Roman" w:hAnsi="Times New Roman"/>
          <w:b/>
          <w:sz w:val="18"/>
        </w:rPr>
        <w:t>CERTAIN IDENTIFIED INFORMATION HAS BEEN EXCLUDED FROM THE EXHIBIT BECAUSE IT IS BOTH NOT MATERIAL AND IS THE TYPE THAT THE REGISTRANT TREATS AS PRVIATE OR CONFIDENTIAL. SUCH EXCLUDED INFORMATION HAS BEEN MARKED WITH “[***].”</w:t>
      </w:r>
    </w:p>
    <w:p>
      <w:pPr>
        <w:pStyle w:val="TextBody"/>
        <w:spacing w:lineRule="auto" w:line="273" w:before="0" w:after="0"/>
        <w:jc w:val="center"/>
        <w:rPr/>
      </w:pPr>
      <w:r>
        <w:rPr/>
        <w:t> </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18"/>
        </w:rPr>
      </w:pPr>
      <w:r>
        <w:rPr>
          <w:rFonts w:ascii="Times New Roman" w:hAnsi="Times New Roman"/>
          <w:b/>
          <w:sz w:val="18"/>
        </w:rPr>
        <w:t>AMENDMENT NO. 3 TO GLOBAL CO-DEVELOPMENT</w:t>
      </w:r>
    </w:p>
    <w:p>
      <w:pPr>
        <w:pStyle w:val="TextBody"/>
        <w:spacing w:lineRule="auto" w:line="273" w:before="0" w:after="0"/>
        <w:jc w:val="center"/>
        <w:rPr>
          <w:rFonts w:ascii="Times New Roman" w:hAnsi="Times New Roman"/>
          <w:b/>
          <w:sz w:val="18"/>
        </w:rPr>
      </w:pPr>
      <w:r>
        <w:rPr>
          <w:rFonts w:ascii="Times New Roman" w:hAnsi="Times New Roman"/>
          <w:b/>
          <w:sz w:val="18"/>
        </w:rPr>
        <w:t>AND COLLABORATION AGREEMENT</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8"/>
        </w:rPr>
        <w:t>THIS AMENDMENT NO. 3 TO GLOBAL CO-DEVELOPMENT AND COLLABORATION AGREEMENT (this “</w:t>
      </w:r>
      <w:r>
        <w:rPr>
          <w:rFonts w:ascii="Times New Roman" w:hAnsi="Times New Roman"/>
          <w:b w:val="false"/>
          <w:sz w:val="18"/>
          <w:u w:val="single"/>
        </w:rPr>
        <w:t>Amendment</w:t>
      </w:r>
      <w:r>
        <w:rPr>
          <w:rFonts w:ascii="Times New Roman" w:hAnsi="Times New Roman"/>
          <w:sz w:val="20"/>
        </w:rPr>
        <w:t>”</w:t>
      </w:r>
      <w:r>
        <w:rPr>
          <w:rFonts w:ascii="Times New Roman" w:hAnsi="Times New Roman"/>
          <w:b w:val="false"/>
          <w:sz w:val="18"/>
        </w:rPr>
        <w:t>), dated as of November 18, 2021 (the “</w:t>
      </w:r>
      <w:r>
        <w:rPr>
          <w:rFonts w:ascii="Times New Roman" w:hAnsi="Times New Roman"/>
          <w:b w:val="false"/>
          <w:sz w:val="18"/>
          <w:u w:val="single"/>
        </w:rPr>
        <w:t>Amendment Effective Date</w:t>
      </w:r>
      <w:r>
        <w:rPr>
          <w:rFonts w:ascii="Times New Roman" w:hAnsi="Times New Roman"/>
          <w:sz w:val="20"/>
        </w:rPr>
        <w:t>”</w:t>
      </w:r>
      <w:r>
        <w:rPr>
          <w:rFonts w:ascii="Times New Roman" w:hAnsi="Times New Roman"/>
          <w:b w:val="false"/>
          <w:sz w:val="18"/>
        </w:rPr>
        <w:t>), is among BioAtla, Inc., a Delaware corporation (“</w:t>
      </w:r>
      <w:r>
        <w:rPr>
          <w:rFonts w:ascii="Times New Roman" w:hAnsi="Times New Roman"/>
          <w:b w:val="false"/>
          <w:sz w:val="18"/>
          <w:u w:val="single"/>
        </w:rPr>
        <w:t>BioAtla</w:t>
      </w:r>
      <w:r>
        <w:rPr>
          <w:rFonts w:ascii="Times New Roman" w:hAnsi="Times New Roman"/>
          <w:sz w:val="20"/>
        </w:rPr>
        <w:t>”</w:t>
      </w:r>
      <w:r>
        <w:rPr>
          <w:rFonts w:ascii="Times New Roman" w:hAnsi="Times New Roman"/>
          <w:b w:val="false"/>
          <w:sz w:val="18"/>
        </w:rPr>
        <w:t>), BeiGene, Ltd., a Cayman Islands corporation (“</w:t>
      </w:r>
      <w:r>
        <w:rPr>
          <w:rFonts w:ascii="Times New Roman" w:hAnsi="Times New Roman"/>
          <w:b w:val="false"/>
          <w:sz w:val="18"/>
          <w:u w:val="single"/>
        </w:rPr>
        <w:t>BeiGene Cayman</w:t>
      </w:r>
      <w:r>
        <w:rPr>
          <w:rFonts w:ascii="Times New Roman" w:hAnsi="Times New Roman"/>
          <w:sz w:val="20"/>
        </w:rPr>
        <w:t>”</w:t>
      </w:r>
      <w:r>
        <w:rPr>
          <w:rFonts w:ascii="Times New Roman" w:hAnsi="Times New Roman"/>
          <w:b w:val="false"/>
          <w:sz w:val="18"/>
        </w:rPr>
        <w:t>), and BeiGene Switzerland GmbH, a company organized under the laws of Switzerland having an address of c/o VISCHER AG, Aeschenvorstadt 4, 4051 Basel, Switzerland (“</w:t>
      </w:r>
      <w:r>
        <w:rPr>
          <w:rFonts w:ascii="Times New Roman" w:hAnsi="Times New Roman"/>
          <w:b w:val="false"/>
          <w:sz w:val="18"/>
          <w:u w:val="single"/>
        </w:rPr>
        <w:t>BeiGene Switzerland</w:t>
      </w:r>
      <w:r>
        <w:rPr>
          <w:rFonts w:ascii="Times New Roman" w:hAnsi="Times New Roman"/>
          <w:sz w:val="20"/>
        </w:rPr>
        <w:t>”</w:t>
      </w:r>
      <w:r>
        <w:rPr>
          <w:rFonts w:ascii="Times New Roman" w:hAnsi="Times New Roman"/>
          <w:b w:val="false"/>
          <w:sz w:val="18"/>
        </w:rPr>
        <w:t>) (BeiGene Cayman and BeiGene Switzerland together, “</w:t>
      </w:r>
      <w:r>
        <w:rPr>
          <w:rFonts w:ascii="Times New Roman" w:hAnsi="Times New Roman"/>
          <w:b w:val="false"/>
          <w:sz w:val="18"/>
          <w:u w:val="single"/>
        </w:rPr>
        <w:t>BeiGene</w:t>
      </w:r>
      <w:r>
        <w:rPr>
          <w:rFonts w:ascii="Times New Roman" w:hAnsi="Times New Roman"/>
          <w:sz w:val="20"/>
        </w:rPr>
        <w:t>”</w:t>
      </w:r>
      <w:r>
        <w:rPr>
          <w:rFonts w:ascii="Times New Roman" w:hAnsi="Times New Roman"/>
          <w:b w:val="false"/>
          <w:sz w:val="18"/>
        </w:rPr>
        <w:t>). BioAtla and BeiGene are each referred to as a “</w:t>
      </w:r>
      <w:r>
        <w:rPr>
          <w:rFonts w:ascii="Times New Roman" w:hAnsi="Times New Roman"/>
          <w:b w:val="false"/>
          <w:sz w:val="18"/>
          <w:u w:val="single"/>
        </w:rPr>
        <w:t>Party</w:t>
      </w:r>
      <w:r>
        <w:rPr>
          <w:rFonts w:ascii="Times New Roman" w:hAnsi="Times New Roman"/>
          <w:sz w:val="20"/>
        </w:rPr>
        <w:t xml:space="preserve">” </w:t>
      </w:r>
      <w:r>
        <w:rPr>
          <w:rFonts w:ascii="Times New Roman" w:hAnsi="Times New Roman"/>
          <w:b w:val="false"/>
          <w:sz w:val="18"/>
        </w:rPr>
        <w:t>and collectively as the “</w:t>
      </w:r>
      <w:r>
        <w:rPr>
          <w:rFonts w:ascii="Times New Roman" w:hAnsi="Times New Roman"/>
          <w:b w:val="false"/>
          <w:sz w:val="18"/>
          <w:u w:val="single"/>
        </w:rPr>
        <w:t>Parties</w:t>
      </w:r>
      <w:r>
        <w:rPr>
          <w:rFonts w:ascii="Times New Roman" w:hAnsi="Times New Roman"/>
          <w:sz w:val="20"/>
        </w:rPr>
        <w:t>”</w:t>
      </w:r>
      <w:r>
        <w:rPr>
          <w:rFonts w:ascii="Times New Roman" w:hAnsi="Times New Roman"/>
          <w:b w:val="false"/>
          <w:sz w:val="18"/>
        </w:rPr>
        <w:t>.</w:t>
      </w:r>
    </w:p>
    <w:p>
      <w:pPr>
        <w:pStyle w:val="TextBody"/>
        <w:spacing w:lineRule="auto" w:line="273" w:before="216" w:after="0"/>
        <w:jc w:val="center"/>
        <w:rPr>
          <w:rFonts w:ascii="Times New Roman" w:hAnsi="Times New Roman"/>
          <w:b w:val="false"/>
          <w:sz w:val="18"/>
          <w:u w:val="single"/>
        </w:rPr>
      </w:pPr>
      <w:r>
        <w:rPr>
          <w:rFonts w:ascii="Times New Roman" w:hAnsi="Times New Roman"/>
          <w:b w:val="false"/>
          <w:sz w:val="18"/>
          <w:u w:val="single"/>
        </w:rPr>
        <w:t>Background</w:t>
      </w:r>
    </w:p>
    <w:p>
      <w:pPr>
        <w:pStyle w:val="TextBody"/>
        <w:spacing w:lineRule="auto" w:line="273" w:before="0" w:after="0"/>
        <w:jc w:val="center"/>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8"/>
        </w:rPr>
        <w:t>A. WHEREAS, (i) BioAtla and BeiGene entered into that certain Global Co-Development and Collaboration Agreement, dated as of April 8, 2019, as amended by that certain Amendment No. 1 to the Global Co-Development and Collaboration Agreement, dated December 24, 2019 (the “</w:t>
      </w:r>
      <w:r>
        <w:rPr>
          <w:rFonts w:ascii="Times New Roman" w:hAnsi="Times New Roman"/>
          <w:b w:val="false"/>
          <w:sz w:val="18"/>
          <w:u w:val="single"/>
        </w:rPr>
        <w:t>Amendment No. 1</w:t>
      </w:r>
      <w:r>
        <w:rPr>
          <w:rFonts w:ascii="Times New Roman" w:hAnsi="Times New Roman"/>
          <w:sz w:val="20"/>
        </w:rPr>
        <w:t>”</w:t>
      </w:r>
      <w:r>
        <w:rPr>
          <w:rFonts w:ascii="Times New Roman" w:hAnsi="Times New Roman"/>
          <w:b w:val="false"/>
          <w:sz w:val="18"/>
        </w:rPr>
        <w:t>), and that certain Amendment No. 2 to the Global Co-Development and Collaboration Agreement, dated October 5, 2020 (the “</w:t>
      </w:r>
      <w:r>
        <w:rPr>
          <w:rFonts w:ascii="Times New Roman" w:hAnsi="Times New Roman"/>
          <w:b w:val="false"/>
          <w:sz w:val="18"/>
          <w:u w:val="single"/>
        </w:rPr>
        <w:t>Amendment No. 2</w:t>
      </w:r>
      <w:r>
        <w:rPr>
          <w:rFonts w:ascii="Times New Roman" w:hAnsi="Times New Roman"/>
          <w:sz w:val="20"/>
        </w:rPr>
        <w:t>”</w:t>
      </w:r>
      <w:r>
        <w:rPr>
          <w:rFonts w:ascii="Times New Roman" w:hAnsi="Times New Roman"/>
          <w:b w:val="false"/>
          <w:sz w:val="18"/>
        </w:rPr>
        <w:t>) (collectively, the “</w:t>
      </w:r>
      <w:r>
        <w:rPr>
          <w:rFonts w:ascii="Times New Roman" w:hAnsi="Times New Roman"/>
          <w:b w:val="false"/>
          <w:sz w:val="18"/>
          <w:u w:val="single"/>
        </w:rPr>
        <w:t>Collaboration Agreement</w:t>
      </w:r>
      <w:r>
        <w:rPr>
          <w:rFonts w:ascii="Times New Roman" w:hAnsi="Times New Roman"/>
          <w:sz w:val="20"/>
        </w:rPr>
        <w:t>”</w:t>
      </w:r>
      <w:r>
        <w:rPr>
          <w:rFonts w:ascii="Times New Roman" w:hAnsi="Times New Roman"/>
          <w:b w:val="false"/>
          <w:sz w:val="18"/>
        </w:rPr>
        <w:t>).</w:t>
      </w:r>
      <w:r>
        <w:rPr>
          <w:rFonts w:ascii="Times New Roman" w:hAnsi="Times New Roman"/>
          <w:sz w:val="20"/>
        </w:rPr>
        <w:t xml:space="preserve"> </w:t>
      </w:r>
    </w:p>
    <w:p>
      <w:pPr>
        <w:pStyle w:val="TextBody"/>
        <w:spacing w:lineRule="auto" w:line="273" w:before="108" w:after="0"/>
        <w:jc w:val="both"/>
        <w:rPr>
          <w:rFonts w:ascii="Times New Roman" w:hAnsi="Times New Roman"/>
          <w:sz w:val="20"/>
        </w:rPr>
      </w:pPr>
      <w:r>
        <w:rPr>
          <w:rFonts w:ascii="Times New Roman" w:hAnsi="Times New Roman"/>
          <w:b w:val="false"/>
          <w:sz w:val="18"/>
        </w:rPr>
        <w:t>B. WHEREAS, the Parties now desire (i) to amend the Collaboration Agreement, (ii) to provide for the conveyance, as described below, of rights in certain intellectual property, data and tangible and intangible materials from BeiGene to BioAtla relating to the Candidate and Product, which was researched and developed under the Collaboration Agreement; and (iii) for BioAtla to make certain payments to BeiGene in consideration for the rights transferred to BioAtla hereunder in the event of additional development and commercialization of the Candidate or Product.</w:t>
      </w:r>
      <w:r>
        <w:rPr>
          <w:rFonts w:ascii="Times New Roman" w:hAnsi="Times New Roman"/>
          <w:sz w:val="20"/>
        </w:rPr>
        <w:t xml:space="preserve"> </w:t>
      </w:r>
    </w:p>
    <w:p>
      <w:pPr>
        <w:pStyle w:val="TextBody"/>
        <w:spacing w:lineRule="auto" w:line="273" w:before="216" w:after="0"/>
        <w:jc w:val="center"/>
        <w:rPr>
          <w:rFonts w:ascii="Times New Roman" w:hAnsi="Times New Roman"/>
          <w:b w:val="false"/>
          <w:sz w:val="18"/>
          <w:u w:val="single"/>
        </w:rPr>
      </w:pPr>
      <w:r>
        <w:rPr>
          <w:rFonts w:ascii="Times New Roman" w:hAnsi="Times New Roman"/>
          <w:b w:val="false"/>
          <w:sz w:val="18"/>
          <w:u w:val="single"/>
        </w:rPr>
        <w:t>Terms</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NOW, THEREFORE, in consideration of the foregoing and the mutual covenants and agreements of the Parties contained in this Amendment, the Parties hereby agree as follows:</w:t>
      </w:r>
    </w:p>
    <w:p>
      <w:pPr>
        <w:pStyle w:val="TextBody"/>
        <w:spacing w:lineRule="auto" w:line="273" w:before="108" w:after="0"/>
        <w:jc w:val="left"/>
        <w:rPr>
          <w:rFonts w:ascii="Times New Roman" w:hAnsi="Times New Roman"/>
          <w:b/>
          <w:sz w:val="18"/>
        </w:rPr>
      </w:pPr>
      <w:r>
        <w:rPr>
          <w:rFonts w:ascii="Times New Roman" w:hAnsi="Times New Roman"/>
          <w:b/>
          <w:sz w:val="18"/>
        </w:rPr>
        <w:t>1. DEFINITIONS.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As used in this Amendment, the following terms (and their correlatives) have the meanings set forth in this Section 1(and, for clarity, the definitions of “Net Sales” and “Selling Party” and “Product Data” shall be amended and replaced as set forth in this Amendment). Any other capitalized terms that are not otherwise defined herein shall have the meanings ascribed to such terms in the Collaboration Agreement, and any amendments thereto.</w:t>
      </w:r>
    </w:p>
    <w:p>
      <w:pPr>
        <w:pStyle w:val="TextBody"/>
        <w:spacing w:lineRule="auto" w:line="273" w:before="108" w:after="0"/>
        <w:jc w:val="left"/>
        <w:rPr>
          <w:rFonts w:ascii="Times New Roman" w:hAnsi="Times New Roman"/>
          <w:sz w:val="20"/>
        </w:rPr>
      </w:pPr>
      <w:r>
        <w:rPr>
          <w:rFonts w:ascii="Times New Roman" w:hAnsi="Times New Roman"/>
          <w:b w:val="false"/>
          <w:sz w:val="18"/>
        </w:rPr>
        <w:t>1.1 “</w:t>
      </w:r>
      <w:r>
        <w:rPr>
          <w:rFonts w:ascii="Times New Roman" w:hAnsi="Times New Roman"/>
          <w:b w:val="false"/>
          <w:sz w:val="18"/>
          <w:u w:val="single"/>
        </w:rPr>
        <w:t>Net Sales</w:t>
      </w:r>
      <w:r>
        <w:rPr>
          <w:rFonts w:ascii="Times New Roman" w:hAnsi="Times New Roman"/>
          <w:sz w:val="20"/>
        </w:rPr>
        <w:t xml:space="preserve">” </w:t>
      </w:r>
      <w:r>
        <w:rPr>
          <w:rFonts w:ascii="Times New Roman" w:hAnsi="Times New Roman"/>
          <w:b w:val="false"/>
          <w:sz w:val="18"/>
        </w:rPr>
        <w:t>means, with respect to any Product, the gross amounts invoiced by BioAtla, its Affiliates, Licensee Partners and assignees (each, a “Selling Party”) to Third Parties (that are not Licensee Partners) for sales or other commercial dispositions of such Product, less the following deductions actually incurred, allowed, paid, accrued or specifically allocated in its financial statements and calculated in accordance with the Accounting Standards as consistently applied, for:</w:t>
      </w:r>
    </w:p>
    <w:p>
      <w:pPr>
        <w:pStyle w:val="TextBody"/>
        <w:spacing w:lineRule="auto" w:line="273" w:before="0" w:after="0"/>
        <w:jc w:val="both"/>
        <w:rPr/>
      </w:pPr>
      <w:r>
        <w:rPr/>
        <w:t> </w:t>
      </w:r>
    </w:p>
    <w:p>
      <w:pPr>
        <w:pStyle w:val="TextBody"/>
        <w:spacing w:lineRule="auto" w:line="273" w:before="120" w:after="0"/>
        <w:jc w:val="both"/>
        <w:rPr>
          <w:rFonts w:ascii="Times New Roman" w:hAnsi="Times New Roman"/>
          <w:b w:val="false"/>
          <w:sz w:val="18"/>
        </w:rPr>
      </w:pPr>
      <w:r>
        <w:rPr>
          <w:rFonts w:ascii="Times New Roman" w:hAnsi="Times New Roman"/>
          <w:b w:val="false"/>
          <w:sz w:val="18"/>
        </w:rPr>
        <w:t>(a) Discounts [***] coupons, [***] price [***] granted [***], purchasers, [***] and group [***] or [***];</w:t>
      </w:r>
    </w:p>
    <w:p>
      <w:pPr>
        <w:pStyle w:val="TextBody"/>
        <w:spacing w:lineRule="auto" w:line="273" w:before="120" w:after="0"/>
        <w:jc w:val="both"/>
        <w:rPr>
          <w:rFonts w:ascii="Times New Roman" w:hAnsi="Times New Roman"/>
          <w:b w:val="false"/>
          <w:sz w:val="18"/>
        </w:rPr>
      </w:pPr>
      <w:r>
        <w:rPr>
          <w:rFonts w:ascii="Times New Roman" w:hAnsi="Times New Roman"/>
          <w:b w:val="false"/>
          <w:sz w:val="18"/>
        </w:rPr>
        <w:t>(b) [***], if any, [***] sold [***] in connection with [***] by reason of [***] is thereafter paid, [***]during which it is paid;</w:t>
      </w:r>
    </w:p>
    <w:p>
      <w:pPr>
        <w:pStyle w:val="TextBody"/>
        <w:spacing w:lineRule="auto" w:line="273" w:before="120" w:after="0"/>
        <w:jc w:val="both"/>
        <w:rPr>
          <w:rFonts w:ascii="Times New Roman" w:hAnsi="Times New Roman"/>
          <w:b w:val="false"/>
          <w:sz w:val="18"/>
        </w:rPr>
      </w:pPr>
      <w:r>
        <w:rPr>
          <w:rFonts w:ascii="Times New Roman" w:hAnsi="Times New Roman"/>
          <w:b w:val="false"/>
          <w:sz w:val="18"/>
        </w:rPr>
        <w:t>(c) [***] similar allowances [***], purchasers, [***], and group[***] organizations [***] or gross sales [***] customary inventory [***] to [***] and [***];</w:t>
      </w:r>
    </w:p>
    <w:p>
      <w:pPr>
        <w:pStyle w:val="TextBody"/>
        <w:spacing w:lineRule="auto" w:line="273" w:before="120" w:after="0"/>
        <w:jc w:val="both"/>
        <w:rPr>
          <w:rFonts w:ascii="Times New Roman" w:hAnsi="Times New Roman"/>
          <w:b w:val="false"/>
          <w:sz w:val="18"/>
        </w:rPr>
      </w:pPr>
      <w:r>
        <w:rPr>
          <w:rFonts w:ascii="Times New Roman" w:hAnsi="Times New Roman"/>
          <w:b w:val="false"/>
          <w:sz w:val="18"/>
        </w:rPr>
        <w:t>(d) [***], freight, [***] incurred [***] in [***] to a [***]; and</w:t>
      </w:r>
    </w:p>
    <w:p>
      <w:pPr>
        <w:pStyle w:val="TextBody"/>
        <w:spacing w:lineRule="auto" w:line="273" w:before="120" w:after="0"/>
        <w:jc w:val="both"/>
        <w:rPr>
          <w:rFonts w:ascii="Times New Roman" w:hAnsi="Times New Roman"/>
          <w:b w:val="false"/>
          <w:sz w:val="18"/>
        </w:rPr>
      </w:pPr>
      <w:r>
        <w:rPr>
          <w:rFonts w:ascii="Times New Roman" w:hAnsi="Times New Roman"/>
          <w:b w:val="false"/>
          <w:sz w:val="18"/>
        </w:rPr>
        <w:t>(e) [***] due [***]of the [***] sales [***] [***], absorbed [***] with respect to [***] of any kind).</w:t>
      </w:r>
    </w:p>
    <w:p>
      <w:pPr>
        <w:pStyle w:val="TextBody"/>
        <w:spacing w:lineRule="auto" w:line="273" w:before="120" w:after="0"/>
        <w:jc w:val="both"/>
        <w:rPr>
          <w:rFonts w:ascii="Times New Roman" w:hAnsi="Times New Roman"/>
          <w:b w:val="false"/>
          <w:sz w:val="18"/>
        </w:rPr>
      </w:pPr>
      <w:r>
        <w:rPr>
          <w:rFonts w:ascii="Times New Roman" w:hAnsi="Times New Roman"/>
          <w:b w:val="false"/>
          <w:sz w:val="18"/>
        </w:rPr>
        <w:t>There should be no double counting in determining the foregoing deductions from gross amounts invoiced to calculate “Net Sales” hereunder. The calculations set forth in this definition shall be determined in accordance with Accounting Standards consistently applied.</w:t>
      </w:r>
    </w:p>
    <w:p>
      <w:pPr>
        <w:pStyle w:val="TextBody"/>
        <w:spacing w:lineRule="auto" w:line="273" w:before="120" w:after="0"/>
        <w:jc w:val="both"/>
        <w:rPr>
          <w:rFonts w:ascii="Times New Roman" w:hAnsi="Times New Roman"/>
          <w:b w:val="false"/>
          <w:sz w:val="18"/>
        </w:rPr>
      </w:pPr>
      <w:r>
        <w:rPr>
          <w:rFonts w:ascii="Times New Roman" w:hAnsi="Times New Roman"/>
          <w:b w:val="false"/>
          <w:sz w:val="18"/>
        </w:rPr>
        <w:t>If non-monetary consideration is received by a Selling Party for any Product in the relevant country, Net Sales will be calculated based on the average price charged for such Product during the preceding royalty period, or in the absence of such sales, the fair market value of such Product as determined by the Parties in good faith. Notwithstanding the foregoing, Net Sales shall not be imputed to transfers of a Product for use in Clinical Trials, non-clinical development activities or other development activities with respect to a Product by or on behalf of the Parties, for bona fide charitable purposes or for compassionate use or for Product samples, if no monetary consideration is received for such transfers.</w:t>
      </w:r>
    </w:p>
    <w:p>
      <w:pPr>
        <w:pStyle w:val="TextBody"/>
        <w:spacing w:lineRule="auto" w:line="273" w:before="0" w:after="0"/>
        <w:jc w:val="left"/>
        <w:rPr/>
      </w:pPr>
      <w:r>
        <w:rPr/>
        <w:t> </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Net Sales shall be determined on, and only on, the first sale by a Selling Party or any of its Affiliates or (sub)licensees to a non-(sub)licensee Third Party.</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If a Product is sold as part of a Combination Product (as defined below), Net Sales will be the product of [***] calculated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1</w:t>
      </w:r>
    </w:p>
    <w:p>
      <w:pPr>
        <w:pStyle w:val="HorizontalLine"/>
        <w:rPr/>
      </w:pPr>
      <w:r>
        <w:rPr/>
      </w:r>
    </w:p>
    <w:p>
      <w:pPr>
        <w:pStyle w:val="TextBody"/>
        <w:spacing w:lineRule="auto" w:line="273" w:before="0" w:after="0"/>
        <w:jc w:val="right"/>
        <w:rPr/>
      </w:pPr>
      <w:r>
        <w:rPr/>
        <w:t>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 price [***]in such [***] contained in the [***].</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 cannot be determined [***] as described above[***], but the [***] above equation [***] reached[***] by the Parties [***] based on an [***] that takes into account, [***] and the [***] of each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 means a [***]or more [***] that are [***] or other [***] shall be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sz w:val="20"/>
        </w:rPr>
      </w:pPr>
      <w:r>
        <w:rPr>
          <w:rFonts w:ascii="Times New Roman" w:hAnsi="Times New Roman"/>
          <w:b w:val="false"/>
          <w:sz w:val="18"/>
        </w:rPr>
        <w:t xml:space="preserve">If a Product is sold by or on behalf of BioAtla, its Affiliates or Licensee Partners to any Third Party for use as a Combination Regimen where each of the Other Product(s) and such Product is sold or reimbursed at a single price (“Single Price Combination Regimen”), [***] where there is [***] above in this [***] there is not [***] and the [***] will be [***] reached [***] in question [***] </w:t>
      </w:r>
      <w:r>
        <w:rPr>
          <w:rFonts w:ascii="Times New Roman" w:hAnsi="Times New Roman"/>
          <w:b w:val="false"/>
          <w:sz w:val="18"/>
          <w:u w:val="single"/>
        </w:rPr>
        <w:t>into [***]</w:t>
      </w:r>
      <w:r>
        <w:rPr>
          <w:rFonts w:ascii="Times New Roman" w:hAnsi="Times New Roman"/>
          <w:b w:val="false"/>
          <w:sz w:val="18"/>
        </w:rPr>
        <w:t>and the [***] and such [***].</w:t>
      </w:r>
    </w:p>
    <w:p>
      <w:pPr>
        <w:pStyle w:val="TextBody"/>
        <w:spacing w:lineRule="auto" w:line="273" w:before="0" w:after="0"/>
        <w:jc w:val="both"/>
        <w:rPr/>
      </w:pPr>
      <w:r>
        <w:rPr/>
        <w:t> </w:t>
      </w:r>
    </w:p>
    <w:p>
      <w:pPr>
        <w:pStyle w:val="TextBody"/>
        <w:spacing w:lineRule="auto" w:line="273" w:before="0" w:after="0"/>
        <w:jc w:val="both"/>
        <w:rPr>
          <w:rFonts w:ascii="Times New Roman" w:hAnsi="Times New Roman"/>
          <w:b w:val="false"/>
          <w:sz w:val="18"/>
        </w:rPr>
      </w:pPr>
      <w:r>
        <w:rPr>
          <w:rFonts w:ascii="Times New Roman" w:hAnsi="Times New Roman"/>
          <w:b w:val="false"/>
          <w:sz w:val="18"/>
        </w:rPr>
        <w:t>For purposes of this definition, “Combination Regimen” means, with respect to a Product for a given Indication, intended use of such Product for such Indication together with one or more other pharmaceutical products (the “Other Product”) as two or more entities of active ingredients in a combination therapy, [***], either (a) in a Clinical Trial for such Product for such Indication as set forth in the protocol for such Clinical Trial or (b) for commercial sale for such Indication as set forth in the approved label for such Product.</w:t>
      </w:r>
    </w:p>
    <w:p>
      <w:pPr>
        <w:pStyle w:val="TextBody"/>
        <w:spacing w:lineRule="auto" w:line="273" w:before="0" w:after="0"/>
        <w:jc w:val="both"/>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1.2 “</w:t>
      </w:r>
      <w:r>
        <w:rPr>
          <w:rFonts w:ascii="Times New Roman" w:hAnsi="Times New Roman"/>
          <w:b w:val="false"/>
          <w:sz w:val="18"/>
          <w:u w:val="single"/>
        </w:rPr>
        <w:t>Product Data</w:t>
      </w:r>
      <w:r>
        <w:rPr>
          <w:rFonts w:ascii="Times New Roman" w:hAnsi="Times New Roman"/>
          <w:sz w:val="20"/>
        </w:rPr>
        <w:t xml:space="preserve">” </w:t>
      </w:r>
      <w:r>
        <w:rPr>
          <w:rFonts w:ascii="Times New Roman" w:hAnsi="Times New Roman"/>
          <w:b w:val="false"/>
          <w:sz w:val="18"/>
        </w:rPr>
        <w:t>means all Data that relates solely to the use in the Field of a Candidate, a Product or a Companion Diagnostic that is either: (a) Controlled by a Party as of the Amendment Effective Date; or (b) generated by a Party from Collaboration Activities conducted by or on behalf of a Party under the Development Plan and, in each case, is required for any Regulatory Documentation, including an application for Regulatory Approval of a Product in the Field and in the Territory.</w:t>
      </w:r>
    </w:p>
    <w:p>
      <w:pPr>
        <w:pStyle w:val="TextBody"/>
        <w:spacing w:lineRule="auto" w:line="273" w:before="108" w:after="0"/>
        <w:jc w:val="left"/>
        <w:rPr>
          <w:rFonts w:ascii="Times New Roman" w:hAnsi="Times New Roman"/>
          <w:sz w:val="20"/>
        </w:rPr>
      </w:pPr>
      <w:r>
        <w:rPr>
          <w:rFonts w:ascii="Times New Roman" w:hAnsi="Times New Roman"/>
          <w:b w:val="false"/>
          <w:sz w:val="18"/>
        </w:rPr>
        <w:t>1.3 “</w:t>
      </w:r>
      <w:r>
        <w:rPr>
          <w:rFonts w:ascii="Times New Roman" w:hAnsi="Times New Roman"/>
          <w:b w:val="false"/>
          <w:sz w:val="18"/>
          <w:u w:val="single"/>
        </w:rPr>
        <w:t>Territory</w:t>
      </w:r>
      <w:r>
        <w:rPr>
          <w:rFonts w:ascii="Times New Roman" w:hAnsi="Times New Roman"/>
          <w:sz w:val="20"/>
        </w:rPr>
        <w:t xml:space="preserve">” </w:t>
      </w:r>
      <w:r>
        <w:rPr>
          <w:rFonts w:ascii="Times New Roman" w:hAnsi="Times New Roman"/>
          <w:b w:val="false"/>
          <w:sz w:val="18"/>
        </w:rPr>
        <w:t>means worldwide.</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2. TERMINATION OF THE COLLABORATION AGREEMENT.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2.1 </w:t>
      </w:r>
      <w:r>
        <w:rPr>
          <w:rFonts w:ascii="Times New Roman" w:hAnsi="Times New Roman"/>
          <w:b w:val="false"/>
          <w:sz w:val="18"/>
          <w:u w:val="single"/>
        </w:rPr>
        <w:t>Termination of the Collaboration Agreement</w:t>
      </w:r>
      <w:r>
        <w:rPr>
          <w:rFonts w:ascii="Times New Roman" w:hAnsi="Times New Roman"/>
          <w:b w:val="false"/>
          <w:sz w:val="18"/>
        </w:rPr>
        <w:t>. The Parties hereby agree that the Collaboration Agreement is hereby terminated in its entirety as of the Amendment Effective Date hereof. Except as expressly provided herein, no rights or obligations under the Collaboration Agreement shall survive such termination. Notwithstanding anything to the contrary, the following provisions of the Collaboration Agreement shall survive such termination: Sections 1 (except where modified herein,) and Sections 11.1, 11.2, 11.3, 11.5 and 11.6 and Article XV (other than Sections 15.19 and 15.20).</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2.2 </w:t>
      </w:r>
      <w:r>
        <w:rPr>
          <w:rFonts w:ascii="Times New Roman" w:hAnsi="Times New Roman"/>
          <w:b w:val="false"/>
          <w:sz w:val="18"/>
          <w:u w:val="single"/>
        </w:rPr>
        <w:t>Releases</w:t>
      </w:r>
      <w:r>
        <w:rPr>
          <w:rFonts w:ascii="Times New Roman" w:hAnsi="Times New Roman"/>
          <w:b w:val="false"/>
          <w:sz w:val="18"/>
        </w:rPr>
        <w:t>. In consideration of the covenants, agreements and undertakings of the Parties under this Amendment, each Party, on behalf of itself and its respective present and former parents, subsidiaries, Affiliates, officers, directors, shareholders, members, successors and assigns (collectively, “</w:t>
      </w:r>
      <w:r>
        <w:rPr>
          <w:rFonts w:ascii="Times New Roman" w:hAnsi="Times New Roman"/>
          <w:b w:val="false"/>
          <w:sz w:val="18"/>
          <w:u w:val="single"/>
        </w:rPr>
        <w:t>Releasors</w:t>
      </w:r>
      <w:r>
        <w:rPr>
          <w:rFonts w:ascii="Times New Roman" w:hAnsi="Times New Roman"/>
          <w:sz w:val="20"/>
        </w:rPr>
        <w:t>”</w:t>
      </w:r>
      <w:r>
        <w:rPr>
          <w:rFonts w:ascii="Times New Roman" w:hAnsi="Times New Roman"/>
          <w:b w:val="false"/>
          <w:sz w:val="18"/>
        </w:rPr>
        <w:t>) hereby releases, waives and forever discharges the other Party and its respective present and former direct and indirect, parents, subsidiaries, Affiliates, employees, officers, directors, shareholders, members, agents, Representatives, permitted successors and permitted assigns (collectively, “</w:t>
      </w:r>
      <w:r>
        <w:rPr>
          <w:rFonts w:ascii="Times New Roman" w:hAnsi="Times New Roman"/>
          <w:b w:val="false"/>
          <w:sz w:val="18"/>
          <w:u w:val="single"/>
        </w:rPr>
        <w:t>Releasees</w:t>
      </w:r>
      <w:r>
        <w:rPr>
          <w:rFonts w:ascii="Times New Roman" w:hAnsi="Times New Roman"/>
          <w:sz w:val="20"/>
        </w:rPr>
        <w:t>”</w:t>
      </w:r>
      <w:r>
        <w:rPr>
          <w:rFonts w:ascii="Times New Roman" w:hAnsi="Times New Roman"/>
          <w:b w:val="false"/>
          <w:sz w:val="18"/>
        </w:rPr>
        <w:t>) of and from any and all actions, causes of action, suits, losses, liabilities, rights, debts, dues, sums of money, accounts, reckonings, obligations, costs, expenses, liens, bonds, bills, specialties, covenants, contracts, controversies, agreements, promises, variances, trespasses, damages, judgments, extents, executions, claims, and demands, of every kind and nature whatsoever, whether now known or unknown, foreseen or unforeseen, matured or unmatured, suspected or unsuspected, in law, admiralty or equity (collectively, “</w:t>
      </w:r>
      <w:r>
        <w:rPr>
          <w:rFonts w:ascii="Times New Roman" w:hAnsi="Times New Roman"/>
          <w:b w:val="false"/>
          <w:sz w:val="18"/>
          <w:u w:val="single"/>
        </w:rPr>
        <w:t>Claims</w:t>
      </w:r>
      <w:r>
        <w:rPr>
          <w:rFonts w:ascii="Times New Roman" w:hAnsi="Times New Roman"/>
          <w:sz w:val="20"/>
        </w:rPr>
        <w:t>”</w:t>
      </w:r>
      <w:r>
        <w:rPr>
          <w:rFonts w:ascii="Times New Roman" w:hAnsi="Times New Roman"/>
          <w:b w:val="false"/>
          <w:sz w:val="18"/>
        </w:rPr>
        <w:t>), which any of such Releasors ever had, now have, or hereafter can, shall, or may have against any of such Releasees for, upon, or by reason of any matter, cause, or thing whatsoever from the beginning of time through the Amendment Effective Date arising out of or relating to the Collaboration Agreement, including any breach thereof, except for any Claims relating to rights and obligations preserved by (including terms surviving pursuant to Section 2.1 above), created by or otherwise arising out of this Amendment.</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3. HANDBACK.</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3.1 </w:t>
      </w:r>
      <w:r>
        <w:rPr>
          <w:rFonts w:ascii="Times New Roman" w:hAnsi="Times New Roman"/>
          <w:b w:val="false"/>
          <w:sz w:val="18"/>
          <w:u w:val="single"/>
        </w:rPr>
        <w:t>Cell Line, Cell, Bank, Associated Documentation, Inventory and Manufacturing Technology</w:t>
      </w:r>
      <w:r>
        <w:rPr>
          <w:rFonts w:ascii="Times New Roman" w:hAnsi="Times New Roman"/>
          <w:b w:val="false"/>
          <w:sz w:val="18"/>
        </w:rPr>
        <w:t>. BeiGene and its Affiliates hereby transfer and assign to BioAtla all of its rights, titles and interests in and to the (i) Product cell line, (ii) Product master cell bank, (iii) process documentation, (iv) inventory of Product, and (v) Manufacturing Technology and all materials, technology and Know-How that BeiGene or its designated Affiliate received under the Collaboration Agreement, including without limitation as part of the Initial Technology Transfer and Technology Transfer pursuant to Amendment No. 2 thereto.</w:t>
      </w:r>
      <w:r>
        <w:rPr>
          <w:rFonts w:ascii="Times New Roman" w:hAnsi="Times New Roman"/>
          <w:sz w:val="20"/>
        </w:rPr>
        <w:t xml:space="preserve"> </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3.2 </w:t>
      </w:r>
      <w:r>
        <w:rPr>
          <w:rFonts w:ascii="Times New Roman" w:hAnsi="Times New Roman"/>
          <w:b w:val="false"/>
          <w:sz w:val="18"/>
          <w:u w:val="single"/>
        </w:rPr>
        <w:t>Agreements</w:t>
      </w:r>
      <w:r>
        <w:rPr>
          <w:rFonts w:ascii="Times New Roman" w:hAnsi="Times New Roman"/>
          <w:b w:val="false"/>
          <w:sz w:val="18"/>
        </w:rPr>
        <w:t>. BeiGene and its Affiliates hereby transfer and assign to BioAtla all of its rights, titles and interests in and to the agreements with or between BioAtla and Third Party service providers and contract manufacturers that BeiGene or its designee received under Amendment No. 2), including without limitation any such agreements as part of the Initial Technology Transfer and Technology Transfer pursuant to Amendment No. 2 thereto.</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3.3 </w:t>
      </w:r>
      <w:r>
        <w:rPr>
          <w:rFonts w:ascii="Times New Roman" w:hAnsi="Times New Roman"/>
          <w:b w:val="false"/>
          <w:sz w:val="18"/>
          <w:u w:val="single"/>
        </w:rPr>
        <w:t>Collaboration Intellectual Property and Product Data</w:t>
      </w:r>
      <w:r>
        <w:rPr>
          <w:rFonts w:ascii="Times New Roman" w:hAnsi="Times New Roman"/>
          <w:b w:val="false"/>
          <w:sz w:val="18"/>
        </w:rPr>
        <w:t>. BeiGene and its Affiliates hereby relinquish and assign to BioAtla all rights, titles and interests in and to any Collaboration Intellectual Property and Product Data, including without limitation any Collaboration Intellectual Property and Product Data as part of the Initial Technology Transfer and Technology Transfer pursuant to Amendment No. 2 thereto.</w:t>
      </w:r>
      <w:r>
        <w:rPr>
          <w:rFonts w:ascii="Times New Roman" w:hAnsi="Times New Roman"/>
          <w:sz w:val="20"/>
        </w:rPr>
        <w:t xml:space="preserve"> </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3.4 </w:t>
      </w:r>
      <w:r>
        <w:rPr>
          <w:rFonts w:ascii="Times New Roman" w:hAnsi="Times New Roman"/>
          <w:b w:val="false"/>
          <w:sz w:val="18"/>
          <w:u w:val="single"/>
        </w:rPr>
        <w:t>Regulatory Transfer</w:t>
      </w:r>
      <w:r>
        <w:rPr>
          <w:rFonts w:ascii="Times New Roman" w:hAnsi="Times New Roman"/>
          <w:b w:val="false"/>
          <w:sz w:val="18"/>
        </w:rPr>
        <w:t>. BeiGene and its Affiliates hereby transfer and assign to BioAtla all rights, titles and interests in Regulatory Documentation in connection with the Collaboration Agreement, all BioAtla Know-How and any materials constituting BioAtla Know-How related to Candidates and the Products that BeiGene or its Affiliates received under the Collaboration Agreement, including without limitation any Regulatory Documentation and Regulatory Approvals as part of the Initial Technology Transfer and Technology Transfer pursuant to Amendment No. 2 thereto.</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2</w:t>
      </w:r>
    </w:p>
    <w:p>
      <w:pPr>
        <w:pStyle w:val="HorizontalLine"/>
        <w:rPr/>
      </w:pPr>
      <w:r>
        <w:rPr/>
      </w:r>
    </w:p>
    <w:p>
      <w:pPr>
        <w:pStyle w:val="TextBody"/>
        <w:spacing w:lineRule="auto" w:line="273" w:before="0" w:after="0"/>
        <w:jc w:val="right"/>
        <w:rPr/>
      </w:pPr>
      <w:r>
        <w:rPr/>
        <w:t> </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3.5 </w:t>
      </w:r>
      <w:r>
        <w:rPr>
          <w:rFonts w:ascii="Times New Roman" w:hAnsi="Times New Roman"/>
          <w:b w:val="false"/>
          <w:sz w:val="18"/>
          <w:u w:val="single"/>
        </w:rPr>
        <w:t>Return of Confidential Information</w:t>
      </w:r>
      <w:r>
        <w:rPr>
          <w:rFonts w:ascii="Times New Roman" w:hAnsi="Times New Roman"/>
          <w:b w:val="false"/>
          <w:sz w:val="18"/>
        </w:rPr>
        <w:t>. Pursuant to Section 11.6 of the Collaboration Agreement, each Party will promptly return to the other Party, or destroy, all of such other Party’s Confidential Information and any materials, Candidates and Products provided by or on behalf of such other Party that are in such Party’s (or its Affiliates’ or sublicensees’) possession or control immediately prior to the Amendment Effective Date, save that such Party will have the right to retain Confidential Information of the other Party solely as set forth in Sections 11.6(c) and (d) of the Collaboration Agreement.</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3.6 </w:t>
      </w:r>
      <w:r>
        <w:rPr>
          <w:rFonts w:ascii="Times New Roman" w:hAnsi="Times New Roman"/>
          <w:b w:val="false"/>
          <w:sz w:val="18"/>
          <w:u w:val="single"/>
        </w:rPr>
        <w:t>Further Assurances</w:t>
      </w:r>
      <w:r>
        <w:rPr>
          <w:rFonts w:ascii="Times New Roman" w:hAnsi="Times New Roman"/>
          <w:b w:val="false"/>
          <w:sz w:val="18"/>
        </w:rPr>
        <w:t>. BeiGene and its Affiliates, at the request and expense of BioAtla, shall execute and deliver (or, where applicable, cause its Affiliates to execute and deliver) to BioAtla all such instruments and documents or further assurances as BioAtla may reasonably request in order to complete the assignments, conveyances, and transfers contemplated in this Amendment.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4. LICENSE; PAYMENT OBLIGATIONS.</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4.1 </w:t>
      </w:r>
      <w:r>
        <w:rPr>
          <w:rFonts w:ascii="Times New Roman" w:hAnsi="Times New Roman"/>
          <w:b w:val="false"/>
          <w:sz w:val="18"/>
          <w:u w:val="single"/>
        </w:rPr>
        <w:t>License</w:t>
      </w:r>
      <w:r>
        <w:rPr>
          <w:rFonts w:ascii="Times New Roman" w:hAnsi="Times New Roman"/>
          <w:b w:val="false"/>
          <w:sz w:val="18"/>
        </w:rPr>
        <w:t>. With respect to the Products, notwithstanding any other transfer and conveyance under this Amendment, BeiGene hereby grants to BioAtla an exclusive (even as to BeiGene and its Affiliates), worldwide, irrevocable, royalty-bearing, freely sublicensable (through multiple tiers) license under and to the BeiGene Collaboration Intellectual Property as of the Amendment Effective Date solely to Develop, use, Manufacture, have Manufactured, offer for sale, sell, import and otherwise Commercialize such Products and Companion Diagnostics solely for use in connection with such Products.</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4.2 </w:t>
      </w:r>
      <w:r>
        <w:rPr>
          <w:rFonts w:ascii="Times New Roman" w:hAnsi="Times New Roman"/>
          <w:b w:val="false"/>
          <w:sz w:val="18"/>
          <w:u w:val="single"/>
        </w:rPr>
        <w:t>Payment Obligations</w:t>
      </w:r>
      <w:r>
        <w:rPr>
          <w:rFonts w:ascii="Times New Roman" w:hAnsi="Times New Roman"/>
          <w:b w:val="false"/>
          <w:sz w:val="18"/>
        </w:rPr>
        <w:t>.</w:t>
      </w:r>
      <w:r>
        <w:rPr>
          <w:rFonts w:ascii="Times New Roman" w:hAnsi="Times New Roman"/>
          <w:sz w:val="20"/>
        </w:rPr>
        <w:t xml:space="preserve"> </w:t>
      </w:r>
    </w:p>
    <w:p>
      <w:pPr>
        <w:pStyle w:val="TextBody"/>
        <w:spacing w:lineRule="auto" w:line="273" w:before="108" w:after="0"/>
        <w:jc w:val="both"/>
        <w:rPr>
          <w:rFonts w:ascii="Times New Roman" w:hAnsi="Times New Roman"/>
          <w:sz w:val="20"/>
        </w:rPr>
      </w:pPr>
      <w:r>
        <w:rPr>
          <w:rFonts w:ascii="Times New Roman" w:hAnsi="Times New Roman"/>
          <w:b w:val="false"/>
          <w:sz w:val="18"/>
        </w:rPr>
        <w:t xml:space="preserve">(a) </w:t>
      </w:r>
      <w:r>
        <w:rPr>
          <w:rFonts w:ascii="Times New Roman" w:hAnsi="Times New Roman"/>
          <w:b w:val="false"/>
          <w:sz w:val="18"/>
          <w:u w:val="single"/>
        </w:rPr>
        <w:t>Payment Amounts</w:t>
      </w:r>
      <w:r>
        <w:rPr>
          <w:rFonts w:ascii="Times New Roman" w:hAnsi="Times New Roman"/>
          <w:b w:val="false"/>
          <w:sz w:val="18"/>
        </w:rPr>
        <w:t>. In consideration of those handback activities to be performed by BeiGene under Article 3 and the license hereby granted by BeiGene under Section 4.1, and the other terms and conditions of this Amendment, BioAtla hereby agrees to pay to BeiGene Switzerland the following amount(s):</w:t>
      </w:r>
    </w:p>
    <w:p>
      <w:pPr>
        <w:pStyle w:val="TextBody"/>
        <w:spacing w:lineRule="auto" w:line="273" w:before="108" w:after="0"/>
        <w:jc w:val="both"/>
        <w:rPr>
          <w:rFonts w:ascii="Times New Roman" w:hAnsi="Times New Roman"/>
          <w:b w:val="false"/>
          <w:sz w:val="18"/>
        </w:rPr>
      </w:pPr>
      <w:r>
        <w:rPr>
          <w:rFonts w:ascii="Times New Roman" w:hAnsi="Times New Roman"/>
          <w:b w:val="false"/>
          <w:sz w:val="18"/>
        </w:rPr>
        <w:t>(i) a royalty equal to [***] of all Net Sales of (i) Products in the Territory and (ii) Companion Diagnostics that are used solely in connection with such Products in the Territory, subject to Section 4.2(b); and</w:t>
      </w:r>
    </w:p>
    <w:p>
      <w:pPr>
        <w:pStyle w:val="TextBody"/>
        <w:spacing w:lineRule="auto" w:line="273" w:before="108" w:after="0"/>
        <w:jc w:val="both"/>
        <w:rPr>
          <w:rFonts w:ascii="Times New Roman" w:hAnsi="Times New Roman"/>
          <w:b w:val="false"/>
          <w:sz w:val="18"/>
        </w:rPr>
      </w:pPr>
      <w:r>
        <w:rPr>
          <w:rFonts w:ascii="Times New Roman" w:hAnsi="Times New Roman"/>
          <w:b w:val="false"/>
          <w:sz w:val="18"/>
        </w:rPr>
        <w:t>(ii) a payment amount equal to [***] of all upfront and milestone consideration received by BioAtla from any and all Third Party sublicensees and Licensee Partners (as defined in the Collaboration Agreement) in connection with the Manufacture, Development, and/or Commercialization of Candidates, Products, and Companion Diagnostics that are used solely in connection with such Products; it being understood that (x) in order to avoid double-counting, none of the payments referred to in this Section 4.2(a)(ii) shall include royalty amounts based on Net Sales referred to in Section 4.2(a)(i) above, and (y) the maximum amounts payable under this Section 4.2(a)(ii) shall be [***]in the aggregate.</w:t>
      </w:r>
    </w:p>
    <w:p>
      <w:pPr>
        <w:pStyle w:val="TextBody"/>
        <w:spacing w:lineRule="auto" w:line="273" w:before="0" w:after="0"/>
        <w:jc w:val="both"/>
        <w:rPr/>
      </w:pPr>
      <w:r>
        <w:rPr/>
        <w:t> </w:t>
      </w:r>
    </w:p>
    <w:p>
      <w:pPr>
        <w:pStyle w:val="TextBody"/>
        <w:spacing w:lineRule="auto" w:line="273" w:before="108" w:after="0"/>
        <w:jc w:val="both"/>
        <w:rPr>
          <w:rFonts w:ascii="Times New Roman" w:hAnsi="Times New Roman"/>
          <w:sz w:val="20"/>
        </w:rPr>
      </w:pPr>
      <w:r>
        <w:rPr>
          <w:rFonts w:ascii="Times New Roman" w:hAnsi="Times New Roman"/>
          <w:b w:val="false"/>
          <w:sz w:val="18"/>
        </w:rPr>
        <w:t xml:space="preserve">(b) </w:t>
      </w:r>
      <w:r>
        <w:rPr>
          <w:rFonts w:ascii="Times New Roman" w:hAnsi="Times New Roman"/>
          <w:b w:val="false"/>
          <w:sz w:val="18"/>
          <w:u w:val="single"/>
        </w:rPr>
        <w:t>Royalty Payment Terms</w:t>
      </w:r>
      <w:r>
        <w:rPr>
          <w:rFonts w:ascii="Times New Roman" w:hAnsi="Times New Roman"/>
          <w:b w:val="false"/>
          <w:sz w:val="18"/>
        </w:rPr>
        <w:t>. The royalties due under Section 4.2(a)(i)will be payable on a Product-by-Product and country-by-country basis on Net Sales from the First Commercial Sale of a particular Product until the latest of, on a country-by-country basis, (i) the date on which there is no longer a pending patent application Controlled by BioAtla or any of its Affiliates relating to, or a Valid Claim of [***] claiming, the use, sale, offer for sale or importation of such Product in such country, (ii) [***] after the First Commercial Sale of such Product following Regulatory Approval for such Product in such country, and (iii) expiration of regulatory exclusivity of such Product in such country.</w:t>
      </w:r>
      <w:r>
        <w:rPr>
          <w:rFonts w:ascii="Times New Roman" w:hAnsi="Times New Roman"/>
          <w:sz w:val="20"/>
        </w:rPr>
        <w:t xml:space="preserve"> </w:t>
      </w:r>
    </w:p>
    <w:p>
      <w:pPr>
        <w:pStyle w:val="TextBody"/>
        <w:spacing w:lineRule="auto" w:line="273" w:before="108" w:after="0"/>
        <w:jc w:val="both"/>
        <w:rPr>
          <w:rFonts w:ascii="Times New Roman" w:hAnsi="Times New Roman"/>
          <w:sz w:val="20"/>
        </w:rPr>
      </w:pPr>
      <w:r>
        <w:rPr>
          <w:rFonts w:ascii="Times New Roman" w:hAnsi="Times New Roman"/>
          <w:b w:val="false"/>
          <w:sz w:val="18"/>
        </w:rPr>
        <w:t xml:space="preserve">(c) </w:t>
      </w:r>
      <w:r>
        <w:rPr>
          <w:rFonts w:ascii="Times New Roman" w:hAnsi="Times New Roman"/>
          <w:b w:val="false"/>
          <w:sz w:val="18"/>
          <w:u w:val="single"/>
        </w:rPr>
        <w:t>Royalty Reports; Payments</w:t>
      </w:r>
      <w:r>
        <w:rPr>
          <w:rFonts w:ascii="Times New Roman" w:hAnsi="Times New Roman"/>
          <w:b w:val="false"/>
          <w:sz w:val="18"/>
        </w:rPr>
        <w:t>. Within [***] after the end of each [***], BioAtla with respect to each Product shall provide BeiGene with a report stating the sales in units and in value of such Product made by BioAtla, its Affiliates, and Selling Parties, as applicable, on a country-by-country basis, together with the calculation of the royalties due to BeiGene, including the method used to calculate the royalties, the exchange rates used, and itemized deductions. Royalty payments payable under Section 4.2(a)(i)shall be made by BioAtla within [***] from the end of each [***] in which such payment accrues. Payments payable under Section 4.2(a)(ii) shall be made by BioAtla within [***] after BioAtla’s receipt of the applicable upfront and milestone consideration from Third Party sublicensees or Licensee Partners pursuant to Section 4.2(a)(ii).</w:t>
      </w:r>
      <w:r>
        <w:rPr>
          <w:rFonts w:ascii="Times New Roman" w:hAnsi="Times New Roman"/>
          <w:sz w:val="20"/>
        </w:rPr>
        <w:t xml:space="preserve"> </w:t>
      </w:r>
    </w:p>
    <w:p>
      <w:pPr>
        <w:pStyle w:val="TextBody"/>
        <w:spacing w:lineRule="auto" w:line="273" w:before="108" w:after="0"/>
        <w:jc w:val="both"/>
        <w:rPr>
          <w:rFonts w:ascii="Times New Roman" w:hAnsi="Times New Roman"/>
          <w:sz w:val="20"/>
        </w:rPr>
      </w:pPr>
      <w:r>
        <w:rPr>
          <w:rFonts w:ascii="Times New Roman" w:hAnsi="Times New Roman"/>
          <w:b w:val="false"/>
          <w:sz w:val="18"/>
        </w:rPr>
        <w:t xml:space="preserve">(d) Sections 9.7, 9.8, 9.9, 9.10 and 9.11 of the Collaboration Agreement shall apply to the payments due to BeiGene pursuant to this Amendment </w:t>
      </w:r>
      <w:r>
        <w:rPr>
          <w:rFonts w:ascii="Times New Roman" w:hAnsi="Times New Roman"/>
          <w:b w:val="false"/>
          <w:i/>
          <w:sz w:val="18"/>
        </w:rPr>
        <w:t>(mutatis mutandis)</w:t>
      </w:r>
      <w:r>
        <w:rPr>
          <w:rFonts w:ascii="Times New Roman" w:hAnsi="Times New Roman"/>
          <w:b w:val="false"/>
          <w:sz w:val="18"/>
        </w:rPr>
        <w: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5. REPRESENTATIONS AND WARRANTIES</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5.1 </w:t>
      </w:r>
      <w:r>
        <w:rPr>
          <w:rFonts w:ascii="Times New Roman" w:hAnsi="Times New Roman"/>
          <w:b w:val="false"/>
          <w:sz w:val="18"/>
          <w:u w:val="single"/>
        </w:rPr>
        <w:t>Representations and Warranties of Both Parties</w:t>
      </w:r>
      <w:r>
        <w:rPr>
          <w:rFonts w:ascii="Times New Roman" w:hAnsi="Times New Roman"/>
          <w:b w:val="false"/>
          <w:sz w:val="18"/>
        </w:rPr>
        <w:t>. Each Party represents and warrants to the other Party that, as of the Amendment Effective Date:</w:t>
      </w:r>
    </w:p>
    <w:p>
      <w:pPr>
        <w:pStyle w:val="TextBody"/>
        <w:spacing w:lineRule="auto" w:line="273" w:before="108" w:after="0"/>
        <w:jc w:val="both"/>
        <w:rPr>
          <w:rFonts w:ascii="Times New Roman" w:hAnsi="Times New Roman"/>
          <w:b w:val="false"/>
          <w:sz w:val="18"/>
        </w:rPr>
      </w:pPr>
      <w:r>
        <w:rPr>
          <w:rFonts w:ascii="Times New Roman" w:hAnsi="Times New Roman"/>
          <w:b w:val="false"/>
          <w:sz w:val="18"/>
        </w:rPr>
        <w:t>(a) such Party is duly organized, validly existing and in good standing under the laws of the jurisdiction in which it is organized, and it has full right and authority to enter into this Amendment and to grant the licenses and other rights to the other Party as herein described;</w:t>
      </w:r>
    </w:p>
    <w:p>
      <w:pPr>
        <w:pStyle w:val="TextBody"/>
        <w:spacing w:lineRule="auto" w:line="273" w:before="108" w:after="0"/>
        <w:jc w:val="both"/>
        <w:rPr>
          <w:rFonts w:ascii="Times New Roman" w:hAnsi="Times New Roman"/>
          <w:b w:val="false"/>
          <w:sz w:val="18"/>
        </w:rPr>
      </w:pPr>
      <w:r>
        <w:rPr>
          <w:rFonts w:ascii="Times New Roman" w:hAnsi="Times New Roman"/>
          <w:b w:val="false"/>
          <w:sz w:val="18"/>
        </w:rPr>
        <w:t>(b) this Amendment has been duly authorized by all requisite corporate action, and when executed and delivered will become a valid and binding contract of such Party enforceable against such Party in accordance with its terms, subject to applicable bankruptcy, insolvency, reorganization, moratorium and other Law affecting creditors’ rights generally from time to time in effect, and to general principles of equity;</w:t>
      </w:r>
    </w:p>
    <w:p>
      <w:pPr>
        <w:pStyle w:val="TextBody"/>
        <w:spacing w:lineRule="auto" w:line="273" w:before="108" w:after="0"/>
        <w:jc w:val="both"/>
        <w:rPr>
          <w:rFonts w:ascii="Times New Roman" w:hAnsi="Times New Roman"/>
          <w:b w:val="false"/>
          <w:sz w:val="18"/>
        </w:rPr>
      </w:pPr>
      <w:r>
        <w:rPr>
          <w:rFonts w:ascii="Times New Roman" w:hAnsi="Times New Roman"/>
          <w:b w:val="false"/>
          <w:sz w:val="18"/>
        </w:rPr>
        <w:t>(c) the execution, delivery and performance of this Amendment does not conflict with any other agreement, contract, instrument or understanding, oral or written, to which such Party is a party, or by which it is bound, nor will it violate any applicable Laws; and</w:t>
      </w:r>
    </w:p>
    <w:p>
      <w:pPr>
        <w:pStyle w:val="TextBody"/>
        <w:spacing w:lineRule="auto" w:line="273" w:before="108" w:after="0"/>
        <w:jc w:val="both"/>
        <w:rPr>
          <w:rFonts w:ascii="Times New Roman" w:hAnsi="Times New Roman"/>
          <w:b w:val="false"/>
          <w:sz w:val="18"/>
        </w:rPr>
      </w:pPr>
      <w:r>
        <w:rPr>
          <w:rFonts w:ascii="Times New Roman" w:hAnsi="Times New Roman"/>
          <w:b w:val="false"/>
          <w:sz w:val="18"/>
        </w:rPr>
        <w:t>(d) all necessary consents, approvals and authorizations of all Governmental Authorities and other Persons required to be obtained by such Party in connection with the execution and delivery of this Amendment and the performance of its obligations hereunder have been obtained.</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6. CONFIDENTIAL INFORMATION.</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6.1 </w:t>
      </w:r>
      <w:r>
        <w:rPr>
          <w:rFonts w:ascii="Times New Roman" w:hAnsi="Times New Roman"/>
          <w:b w:val="false"/>
          <w:sz w:val="18"/>
          <w:u w:val="single"/>
        </w:rPr>
        <w:t>Confidentiality</w:t>
      </w:r>
      <w:r>
        <w:rPr>
          <w:rFonts w:ascii="Times New Roman" w:hAnsi="Times New Roman"/>
          <w:b w:val="false"/>
          <w:sz w:val="18"/>
        </w:rPr>
        <w:t>. For clarity, from and after the Amendment Effective Date, all documents and information relating to the Candidate or Product assigned or transferred by BeiGene to BioAtla under this Amendment will be BioAtla’s Confidential Information.</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3</w:t>
      </w:r>
    </w:p>
    <w:p>
      <w:pPr>
        <w:pStyle w:val="HorizontalLine"/>
        <w:rPr/>
      </w:pPr>
      <w:r>
        <w:rPr/>
      </w:r>
    </w:p>
    <w:p>
      <w:pPr>
        <w:pStyle w:val="TextBody"/>
        <w:spacing w:lineRule="auto" w:line="273" w:before="0" w:after="0"/>
        <w:jc w:val="right"/>
        <w:rPr/>
      </w:pPr>
      <w:r>
        <w:rPr/>
        <w:t> </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6.2 </w:t>
      </w:r>
      <w:r>
        <w:rPr>
          <w:rFonts w:ascii="Times New Roman" w:hAnsi="Times New Roman"/>
          <w:b w:val="false"/>
          <w:sz w:val="18"/>
          <w:u w:val="single"/>
        </w:rPr>
        <w:t>Publicity</w:t>
      </w:r>
      <w:r>
        <w:rPr>
          <w:rFonts w:ascii="Times New Roman" w:hAnsi="Times New Roman"/>
          <w:b w:val="false"/>
          <w:sz w:val="18"/>
        </w:rPr>
        <w:t xml:space="preserve">. The Parties have mutually approved the content for Form 8-K attached hereto as </w:t>
      </w:r>
      <w:r>
        <w:rPr>
          <w:rFonts w:ascii="Times New Roman" w:hAnsi="Times New Roman"/>
          <w:b w:val="false"/>
          <w:sz w:val="18"/>
          <w:u w:val="single"/>
        </w:rPr>
        <w:t>Exhibit A</w:t>
      </w:r>
      <w:r>
        <w:rPr>
          <w:rFonts w:ascii="Times New Roman" w:hAnsi="Times New Roman"/>
          <w:b w:val="false"/>
          <w:sz w:val="18"/>
        </w:rPr>
        <w:t>with respect to this Amendment and to be filed by BioAtla. Either Party may make subsequent public disclosure of the contents. Subject to the foregoing, any public announcements by either Party of this Amendment shall be made in accordance with Section 11.3 of the Collaboration Agreement.</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7. INDEMNIFICATION</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7.1 </w:t>
      </w:r>
      <w:r>
        <w:rPr>
          <w:rFonts w:ascii="Times New Roman" w:hAnsi="Times New Roman"/>
          <w:b w:val="false"/>
          <w:sz w:val="18"/>
          <w:u w:val="single"/>
        </w:rPr>
        <w:t>BioAtla Indemnity</w:t>
      </w:r>
      <w:r>
        <w:rPr>
          <w:rFonts w:ascii="Times New Roman" w:hAnsi="Times New Roman"/>
          <w:b w:val="false"/>
          <w:sz w:val="18"/>
        </w:rPr>
        <w:t>. BioAtla hereby agrees to indemnify, defend and hold BeiGene and its Affiliates, and their respective employees, directors, agents and consultants, and their respective successors, heirs and assigns and representatives (“</w:t>
      </w:r>
      <w:r>
        <w:rPr>
          <w:rFonts w:ascii="Times New Roman" w:hAnsi="Times New Roman"/>
          <w:b w:val="false"/>
          <w:sz w:val="18"/>
          <w:u w:val="single"/>
        </w:rPr>
        <w:t>BeiGene Indemnitees</w:t>
      </w:r>
      <w:r>
        <w:rPr>
          <w:rFonts w:ascii="Times New Roman" w:hAnsi="Times New Roman"/>
          <w:sz w:val="20"/>
        </w:rPr>
        <w:t>”</w:t>
      </w:r>
      <w:r>
        <w:rPr>
          <w:rFonts w:ascii="Times New Roman" w:hAnsi="Times New Roman"/>
          <w:b w:val="false"/>
          <w:sz w:val="18"/>
        </w:rPr>
        <w:t>) harmless from and against all claims, liability, threatened claims, damages, expenses (including reasonable attorneys’ fees), suits, proceedings, losses or judgments, whether for money or equitable relief, of any kind, including but not limited to death, personal injury, illness, product liability or property damage or the failure to comply with applicable Law (collectively, “</w:t>
      </w:r>
      <w:r>
        <w:rPr>
          <w:rFonts w:ascii="Times New Roman" w:hAnsi="Times New Roman"/>
          <w:b w:val="false"/>
          <w:sz w:val="18"/>
          <w:u w:val="single"/>
        </w:rPr>
        <w:t>Losses</w:t>
      </w:r>
      <w:r>
        <w:rPr>
          <w:rFonts w:ascii="Times New Roman" w:hAnsi="Times New Roman"/>
          <w:sz w:val="20"/>
        </w:rPr>
        <w:t>”</w:t>
      </w:r>
      <w:r>
        <w:rPr>
          <w:rFonts w:ascii="Times New Roman" w:hAnsi="Times New Roman"/>
          <w:b w:val="false"/>
          <w:sz w:val="18"/>
        </w:rPr>
        <w:t>), arising from any Third Party claim due to (i) the Development, Commercialization (including promotion, advertising, offering for sale, sale or other disposition), transfer, importation or exportation, Manufacture, labeling, handling or storage, or use of, or exposure to, any Candidates or Products by or for BioAtla or any of its Affiliates, sublicensees, subcontractors, agents and consultants (but excluding BeiGene and its Affiliates), in each case occurring after the Amendment Effective Date; or (ii) any breach of any obligation, representation or warranty of BioAtla under this Amendment, except, in each case, to the extent that such Losses arise from (a) infringement or misappropriation of patent or other intellectual property rights or know-how by any BeiGene Indemnitees, (b) the gross negligence, recklessness or willful misconduct of any BeiGene Indemnitees, (c) any breach of any obligation, representation or warranty of BeiGene hereunder, or (d) any defects of ownership rights to or title in the assets assigned or transferred to BioAtla hereunder.</w:t>
      </w:r>
      <w:r>
        <w:rPr>
          <w:rFonts w:ascii="Times New Roman" w:hAnsi="Times New Roman"/>
          <w:sz w:val="20"/>
        </w:rPr>
        <w:t xml:space="preserve"> </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7.2 </w:t>
      </w:r>
      <w:r>
        <w:rPr>
          <w:rFonts w:ascii="Times New Roman" w:hAnsi="Times New Roman"/>
          <w:b w:val="false"/>
          <w:sz w:val="18"/>
          <w:u w:val="single"/>
        </w:rPr>
        <w:t>BeiGene Indemnity</w:t>
      </w:r>
      <w:r>
        <w:rPr>
          <w:rFonts w:ascii="Times New Roman" w:hAnsi="Times New Roman"/>
          <w:b w:val="false"/>
          <w:sz w:val="18"/>
        </w:rPr>
        <w:t>. BeiGene hereby agrees to indemnify, defend and hold BioAtla, its Affiliates and sublicensees, and their respective employees, directors, agents and consultants, and their respective successors, heirs and assigns and representatives (“</w:t>
      </w:r>
      <w:r>
        <w:rPr>
          <w:rFonts w:ascii="Times New Roman" w:hAnsi="Times New Roman"/>
          <w:b w:val="false"/>
          <w:sz w:val="18"/>
          <w:u w:val="single"/>
        </w:rPr>
        <w:t>BioAtla Indemnitees</w:t>
      </w:r>
      <w:r>
        <w:rPr>
          <w:rFonts w:ascii="Times New Roman" w:hAnsi="Times New Roman"/>
          <w:sz w:val="20"/>
        </w:rPr>
        <w:t>”</w:t>
      </w:r>
      <w:r>
        <w:rPr>
          <w:rFonts w:ascii="Times New Roman" w:hAnsi="Times New Roman"/>
          <w:b w:val="false"/>
          <w:sz w:val="18"/>
        </w:rPr>
        <w:t>) harmless from and against all Losses arising from any Third Party claim due to (i) the Development, transfer, importation or exportation, Manufacture, labeling, handling or storage, or use of, or exposure to, any Candidates or Products by or for BeiGene or any of its Affiliates, Licensees, subcontractors, agents and consultants (but excluding BioAtla and its Affiliates), in each case occurring before the Amendment Effective Date; or (ii) any breach of any obligation, representation or warranty of BeiGene hereunder, except, in each case, to the extent that such Losses arise from (a) infringement or misappropriation of patent or other intellectual property rights or know-how by any BioAtla Indemnitees, (b) the gross negligence, recklessness or willful misconduct of any BioAtla Indemnitees, or (c) any breach of any obligation, representation or warranty of BioAtla hereunder.</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7.3 </w:t>
      </w:r>
      <w:r>
        <w:rPr>
          <w:rFonts w:ascii="Times New Roman" w:hAnsi="Times New Roman"/>
          <w:b w:val="false"/>
          <w:sz w:val="18"/>
          <w:u w:val="single"/>
        </w:rPr>
        <w:t>Indemnification Procedure</w:t>
      </w:r>
      <w:r>
        <w:rPr>
          <w:rFonts w:ascii="Times New Roman" w:hAnsi="Times New Roman"/>
          <w:b w:val="false"/>
          <w:sz w:val="18"/>
        </w:rPr>
        <w:t>. A claim to which indemnification applies under Section 7.1 or Section 7.2 will be referred to herein as a “</w:t>
      </w:r>
      <w:r>
        <w:rPr>
          <w:rFonts w:ascii="Times New Roman" w:hAnsi="Times New Roman"/>
          <w:b w:val="false"/>
          <w:sz w:val="18"/>
          <w:u w:val="single"/>
        </w:rPr>
        <w:t>Claim</w:t>
      </w:r>
      <w:r>
        <w:rPr>
          <w:rFonts w:ascii="Times New Roman" w:hAnsi="Times New Roman"/>
          <w:sz w:val="20"/>
        </w:rPr>
        <w:t>”</w:t>
      </w:r>
      <w:r>
        <w:rPr>
          <w:rFonts w:ascii="Times New Roman" w:hAnsi="Times New Roman"/>
          <w:b w:val="false"/>
          <w:sz w:val="18"/>
        </w:rPr>
        <w:t>. If any Person (each, an “</w:t>
      </w:r>
      <w:r>
        <w:rPr>
          <w:rFonts w:ascii="Times New Roman" w:hAnsi="Times New Roman"/>
          <w:b w:val="false"/>
          <w:sz w:val="18"/>
          <w:u w:val="single"/>
        </w:rPr>
        <w:t>Indemnitee</w:t>
      </w:r>
      <w:r>
        <w:rPr>
          <w:rFonts w:ascii="Times New Roman" w:hAnsi="Times New Roman"/>
          <w:sz w:val="20"/>
        </w:rPr>
        <w:t>”</w:t>
      </w:r>
      <w:r>
        <w:rPr>
          <w:rFonts w:ascii="Times New Roman" w:hAnsi="Times New Roman"/>
          <w:b w:val="false"/>
          <w:sz w:val="18"/>
        </w:rPr>
        <w:t>) intends to claim indemnification under this Section 7, the Indemnitee will notify the other Party (the “</w:t>
      </w:r>
      <w:r>
        <w:rPr>
          <w:rFonts w:ascii="Times New Roman" w:hAnsi="Times New Roman"/>
          <w:b w:val="false"/>
          <w:sz w:val="18"/>
          <w:u w:val="single"/>
        </w:rPr>
        <w:t>Indemnitor</w:t>
      </w:r>
      <w:r>
        <w:rPr>
          <w:rFonts w:ascii="Times New Roman" w:hAnsi="Times New Roman"/>
          <w:sz w:val="20"/>
        </w:rPr>
        <w:t>”</w:t>
      </w:r>
      <w:r>
        <w:rPr>
          <w:rFonts w:ascii="Times New Roman" w:hAnsi="Times New Roman"/>
          <w:b w:val="false"/>
          <w:sz w:val="18"/>
        </w:rPr>
        <w:t>) in writing promptly upon becoming aware of any claim that may be a Claim (it being understood and agreed, however, that the failure by an Indemnitee to give such notice will not relieve the Indemnitor of its indemnification obligation under this Amendment except and only to the extent that the Indemnitor is actually prejudiced as a result of such failure to give notice). The Indemnitor will have the right to assume and control the defense and settlement of such Claim at its own expense with counsel selected by the Indemnitor; provided that (i) the Indemnitor shall not enter into any settlement that requires the Indemnitee to admit fault or wrongdoing without the Indemnitee’s consent and (ii) the Indemnitor expressly agrees in writing that as between the Indemnitor and the Indemnitee, the Indemnitor will be solely obligated to satisfy and discharge the Claim in full and is able to reasonably demonstrate that it has sufficient financial resources (the matters described in (i) and (ii), the “</w:t>
      </w:r>
      <w:r>
        <w:rPr>
          <w:rFonts w:ascii="Times New Roman" w:hAnsi="Times New Roman"/>
          <w:b w:val="false"/>
          <w:sz w:val="18"/>
          <w:u w:val="single"/>
        </w:rPr>
        <w:t>Litigation Conditions</w:t>
      </w:r>
      <w:r>
        <w:rPr>
          <w:rFonts w:ascii="Times New Roman" w:hAnsi="Times New Roman"/>
          <w:sz w:val="20"/>
        </w:rPr>
        <w:t>”</w:t>
      </w:r>
      <w:r>
        <w:rPr>
          <w:rFonts w:ascii="Times New Roman" w:hAnsi="Times New Roman"/>
          <w:b w:val="false"/>
          <w:sz w:val="18"/>
        </w:rPr>
        <w:t>). The Indemnitee, at its own expense, will have the right to retain its own counsel to join, but not control, the defense of any Claim that has been assumed by the Indemnitor. If the Indemnitor does not assume the defense of such Claim as aforesaid, the Indemnitee may defend such Claim but will have no obligation to do so. The Indemnitee will not settle or compromise any Claim assumed by the Indemnitor without the prior written consent of the Indemnitor. The Indemnitee will reasonably cooperate with the Indemnitor at the Indemnitor’s expense and will make available to the Indemnitor all pertinent information under the control of the Indemnitee, which information will be subject to Section 7.</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18"/>
        </w:rPr>
      </w:pPr>
      <w:r>
        <w:rPr>
          <w:rFonts w:ascii="Times New Roman" w:hAnsi="Times New Roman"/>
          <w:b/>
          <w:sz w:val="18"/>
        </w:rPr>
        <w:t>8. MISCELLANEOUS.</w:t>
      </w:r>
    </w:p>
    <w:p>
      <w:pPr>
        <w:pStyle w:val="TextBody"/>
        <w:spacing w:lineRule="auto" w:line="273" w:before="108" w:after="0"/>
        <w:jc w:val="left"/>
        <w:rPr>
          <w:rFonts w:ascii="Times New Roman" w:hAnsi="Times New Roman"/>
          <w:sz w:val="20"/>
        </w:rPr>
      </w:pPr>
      <w:r>
        <w:rPr>
          <w:rFonts w:ascii="Times New Roman" w:hAnsi="Times New Roman"/>
          <w:b w:val="false"/>
          <w:sz w:val="18"/>
        </w:rPr>
        <w:t xml:space="preserve">8.1 </w:t>
      </w:r>
      <w:r>
        <w:rPr>
          <w:rFonts w:ascii="Times New Roman" w:hAnsi="Times New Roman"/>
          <w:b w:val="false"/>
          <w:sz w:val="18"/>
          <w:u w:val="single"/>
        </w:rPr>
        <w:t>Counterpart</w:t>
      </w:r>
      <w:r>
        <w:rPr>
          <w:rFonts w:ascii="Times New Roman" w:hAnsi="Times New Roman"/>
          <w:b w:val="false"/>
          <w:sz w:val="18"/>
        </w:rPr>
        <w:t>s. The Parties hereby confirm and agree that, except as amended hereby (including Section 2.1 above), the Collaboration Agreement remains in full force and effect and is a binding obligation of the Parties hereto. This Amendment may be executed in counterparts, each of which shall be deemed an original, but all of which together shall constitute one and the same instrument.</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18"/>
        </w:rPr>
      </w:pPr>
      <w:r>
        <w:rPr>
          <w:rFonts w:ascii="Times New Roman" w:hAnsi="Times New Roman"/>
          <w:b w:val="false"/>
          <w:sz w:val="18"/>
        </w:rPr>
        <w:t>* * *</w:t>
      </w:r>
    </w:p>
    <w:p>
      <w:pPr>
        <w:pStyle w:val="TextBody"/>
        <w:spacing w:lineRule="auto" w:line="273" w:before="0" w:after="240"/>
        <w:jc w:val="left"/>
        <w:rPr>
          <w:rFonts w:ascii="Times New Roman" w:hAnsi="Times New Roman"/>
          <w:sz w:val="20"/>
        </w:rPr>
      </w:pPr>
      <w:r>
        <w:rPr>
          <w:rFonts w:ascii="Times New Roman" w:hAnsi="Times New Roman"/>
          <w:b w:val="false"/>
          <w:sz w:val="24"/>
        </w:rPr>
        <w:br/>
      </w:r>
      <w:r>
        <w:rPr>
          <w:rFonts w:ascii="Times New Roman" w:hAnsi="Times New Roman"/>
          <w:sz w:val="20"/>
        </w:rPr>
        <w:t> </w:t>
      </w:r>
    </w:p>
    <w:p>
      <w:pPr>
        <w:pStyle w:val="TextBody"/>
        <w:spacing w:lineRule="auto" w:line="273" w:before="0" w:after="0"/>
        <w:jc w:val="left"/>
        <w:rPr>
          <w:rFonts w:ascii="Times New Roman" w:hAnsi="Times New Roman"/>
          <w:b w:val="false"/>
          <w:sz w:val="24"/>
        </w:rPr>
      </w:pPr>
      <w:r>
        <w:rPr>
          <w:rFonts w:ascii="Times New Roman" w:hAnsi="Times New Roman"/>
          <w:b w:val="false"/>
          <w:sz w:val="24"/>
        </w:rPr>
        <w:t>4</w:t>
      </w:r>
    </w:p>
    <w:p>
      <w:pPr>
        <w:pStyle w:val="HorizontalLine"/>
        <w:rPr/>
      </w:pPr>
      <w:r>
        <w:rPr/>
      </w:r>
    </w:p>
    <w:p>
      <w:pPr>
        <w:pStyle w:val="TextBody"/>
        <w:spacing w:lineRule="auto" w:line="273" w:before="0" w:after="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IN WITNESS WHEREOF, each of the Parties has caused this Amendment to be executed by its duly authorized representative as of the day and year first above written.</w:t>
      </w:r>
    </w:p>
    <w:p>
      <w:pPr>
        <w:pStyle w:val="TextBody"/>
        <w:spacing w:lineRule="auto" w:line="273" w:before="0" w:after="24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BEIGENE, LTD.</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By:</w:t>
      </w:r>
    </w:p>
    <w:tbl>
      <w:tblPr>
        <w:tblW w:w="4891" w:type="dxa"/>
        <w:jc w:val="left"/>
        <w:tblInd w:w="0" w:type="dxa"/>
        <w:tblCellMar>
          <w:top w:w="28" w:type="dxa"/>
          <w:left w:w="28" w:type="dxa"/>
          <w:bottom w:w="28" w:type="dxa"/>
          <w:right w:w="28" w:type="dxa"/>
        </w:tblCellMar>
      </w:tblPr>
      <w:tblGrid>
        <w:gridCol w:w="4891"/>
      </w:tblGrid>
      <w:tr>
        <w:trPr/>
        <w:tc>
          <w:tcPr>
            <w:tcW w:w="4891" w:type="dxa"/>
            <w:tcBorders/>
            <w:shd w:fill="auto" w:val="clear"/>
            <w:vAlign w:val="center"/>
          </w:tcPr>
          <w:p>
            <w:pPr>
              <w:pStyle w:val="TableContents"/>
              <w:spacing w:before="0" w:after="283"/>
              <w:rPr>
                <w:sz w:val="4"/>
                <w:szCs w:val="4"/>
              </w:rPr>
            </w:pPr>
            <w:r>
              <w:rPr>
                <w:sz w:val="4"/>
                <w:szCs w:val="4"/>
              </w:rPr>
            </w:r>
          </w:p>
        </w:tc>
      </w:tr>
      <w:tr>
        <w:trPr/>
        <w:tc>
          <w:tcPr>
            <w:tcW w:w="489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Angus Grant</w:t>
            </w:r>
          </w:p>
        </w:tc>
      </w:tr>
      <w:tr>
        <w:trPr/>
        <w:tc>
          <w:tcPr>
            <w:tcW w:w="4891" w:type="dxa"/>
            <w:tcBorders/>
            <w:shd w:fill="auto" w:val="clear"/>
            <w:vAlign w:val="center"/>
          </w:tcPr>
          <w:p>
            <w:pPr>
              <w:pStyle w:val="TableContents"/>
              <w:spacing w:lineRule="auto" w:line="252" w:before="0" w:after="0"/>
              <w:ind w:left="0" w:right="15" w:hanging="0"/>
              <w:jc w:val="left"/>
              <w:rPr>
                <w:rFonts w:ascii="Times New Roman" w:hAnsi="Times New Roman"/>
                <w:b w:val="false"/>
                <w:sz w:val="20"/>
              </w:rPr>
            </w:pPr>
            <w:r>
              <w:rPr>
                <w:rFonts w:ascii="Times New Roman" w:hAnsi="Times New Roman"/>
                <w:b w:val="false"/>
                <w:sz w:val="20"/>
              </w:rPr>
              <w:t>Name: Angus Grant</w:t>
            </w:r>
          </w:p>
          <w:p>
            <w:pPr>
              <w:pStyle w:val="TableContents"/>
              <w:spacing w:lineRule="auto" w:line="252" w:before="0" w:after="0"/>
              <w:ind w:left="0" w:right="15" w:hanging="0"/>
              <w:jc w:val="left"/>
              <w:rPr>
                <w:rFonts w:ascii="Times New Roman" w:hAnsi="Times New Roman"/>
                <w:b w:val="false"/>
                <w:sz w:val="20"/>
              </w:rPr>
            </w:pPr>
            <w:r>
              <w:rPr>
                <w:rFonts w:ascii="Times New Roman" w:hAnsi="Times New Roman"/>
                <w:b w:val="false"/>
                <w:sz w:val="20"/>
              </w:rPr>
              <w:t>Title: Senior Vice President and Chief Business Executive</w:t>
            </w:r>
          </w:p>
        </w:tc>
      </w:tr>
    </w:tbl>
    <w:p>
      <w:pPr>
        <w:pStyle w:val="TextBody"/>
        <w:spacing w:lineRule="auto" w:line="273" w:before="0" w:after="24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BEIGENE SWITZERLAND GMBH</w:t>
      </w:r>
    </w:p>
    <w:p>
      <w:pPr>
        <w:pStyle w:val="TextBody"/>
        <w:spacing w:lineRule="auto" w:line="273" w:before="0" w:after="240"/>
        <w:jc w:val="left"/>
        <w:rPr>
          <w:rFonts w:ascii="Times New Roman" w:hAnsi="Times New Roman"/>
          <w:sz w:val="20"/>
        </w:rPr>
      </w:pPr>
      <w:r>
        <w:rPr>
          <w:rFonts w:ascii="Times New Roman" w:hAnsi="Times New Roman"/>
          <w:b w:val="false"/>
          <w:sz w:val="20"/>
        </w:rPr>
        <w:t>By:</w:t>
      </w:r>
      <w:r>
        <w:rPr>
          <w:rFonts w:ascii="Times New Roman" w:hAnsi="Times New Roman"/>
          <w:sz w:val="20"/>
        </w:rPr>
        <w:t xml:space="preserve"> </w:t>
      </w:r>
    </w:p>
    <w:tbl>
      <w:tblPr>
        <w:tblW w:w="2266" w:type="dxa"/>
        <w:jc w:val="left"/>
        <w:tblInd w:w="0" w:type="dxa"/>
        <w:tblCellMar>
          <w:top w:w="28" w:type="dxa"/>
          <w:left w:w="28" w:type="dxa"/>
          <w:bottom w:w="28" w:type="dxa"/>
          <w:right w:w="28" w:type="dxa"/>
        </w:tblCellMar>
      </w:tblPr>
      <w:tblGrid>
        <w:gridCol w:w="2266"/>
      </w:tblGrid>
      <w:tr>
        <w:trPr/>
        <w:tc>
          <w:tcPr>
            <w:tcW w:w="2266"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Scott Samuels</w:t>
            </w:r>
          </w:p>
        </w:tc>
      </w:tr>
      <w:tr>
        <w:trPr/>
        <w:tc>
          <w:tcPr>
            <w:tcW w:w="2266" w:type="dxa"/>
            <w:tcBorders/>
            <w:shd w:fill="auto" w:val="clear"/>
            <w:vAlign w:val="center"/>
          </w:tcPr>
          <w:p>
            <w:pPr>
              <w:pStyle w:val="TableContents"/>
              <w:spacing w:lineRule="auto" w:line="252" w:before="0" w:after="0"/>
              <w:ind w:left="0" w:right="15" w:hanging="0"/>
              <w:jc w:val="left"/>
              <w:rPr>
                <w:rFonts w:ascii="Times New Roman" w:hAnsi="Times New Roman"/>
                <w:b w:val="false"/>
                <w:sz w:val="20"/>
              </w:rPr>
            </w:pPr>
            <w:r>
              <w:rPr>
                <w:rFonts w:ascii="Times New Roman" w:hAnsi="Times New Roman"/>
                <w:b w:val="false"/>
                <w:sz w:val="20"/>
              </w:rPr>
              <w:t>Name: Scott Samuels</w:t>
            </w:r>
          </w:p>
          <w:p>
            <w:pPr>
              <w:pStyle w:val="TableContents"/>
              <w:spacing w:lineRule="auto" w:line="252" w:before="0" w:after="0"/>
              <w:ind w:left="0" w:right="15" w:hanging="0"/>
              <w:jc w:val="left"/>
              <w:rPr>
                <w:rFonts w:ascii="Times New Roman" w:hAnsi="Times New Roman"/>
                <w:sz w:val="20"/>
              </w:rPr>
            </w:pPr>
            <w:r>
              <w:rPr>
                <w:rFonts w:ascii="Times New Roman" w:hAnsi="Times New Roman"/>
                <w:b w:val="false"/>
                <w:sz w:val="20"/>
              </w:rPr>
              <w:t>Title: Managing Director</w:t>
            </w:r>
            <w:r>
              <w:rPr>
                <w:rFonts w:ascii="Times New Roman" w:hAnsi="Times New Roman"/>
                <w:sz w:val="20"/>
              </w:rPr>
              <w:t xml:space="preserve"> </w:t>
            </w:r>
          </w:p>
        </w:tc>
      </w:tr>
    </w:tbl>
    <w:p>
      <w:pPr>
        <w:pStyle w:val="TextBody"/>
        <w:spacing w:lineRule="auto" w:line="273" w:before="0" w:after="240"/>
        <w:jc w:val="left"/>
        <w:rPr/>
      </w:pPr>
      <w:r>
        <w:rPr/>
        <w:t> </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BIOATLA, INC.</w:t>
      </w:r>
    </w:p>
    <w:p>
      <w:pPr>
        <w:pStyle w:val="TextBody"/>
        <w:spacing w:lineRule="auto" w:line="273" w:before="0" w:after="240"/>
        <w:jc w:val="left"/>
        <w:rPr>
          <w:rFonts w:ascii="Times New Roman" w:hAnsi="Times New Roman"/>
          <w:b w:val="false"/>
          <w:sz w:val="20"/>
        </w:rPr>
      </w:pPr>
      <w:r>
        <w:rPr>
          <w:rFonts w:ascii="Times New Roman" w:hAnsi="Times New Roman"/>
          <w:b w:val="false"/>
          <w:sz w:val="20"/>
        </w:rPr>
        <w:t>By:</w:t>
      </w:r>
    </w:p>
    <w:tbl>
      <w:tblPr>
        <w:tblW w:w="2266" w:type="dxa"/>
        <w:jc w:val="left"/>
        <w:tblInd w:w="0" w:type="dxa"/>
        <w:tblCellMar>
          <w:top w:w="28" w:type="dxa"/>
          <w:left w:w="28" w:type="dxa"/>
          <w:bottom w:w="28" w:type="dxa"/>
          <w:right w:w="28" w:type="dxa"/>
        </w:tblCellMar>
      </w:tblPr>
      <w:tblGrid>
        <w:gridCol w:w="2266"/>
      </w:tblGrid>
      <w:tr>
        <w:trPr/>
        <w:tc>
          <w:tcPr>
            <w:tcW w:w="2266"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Scott A Smith</w:t>
            </w:r>
          </w:p>
        </w:tc>
      </w:tr>
      <w:tr>
        <w:trPr/>
        <w:tc>
          <w:tcPr>
            <w:tcW w:w="2266" w:type="dxa"/>
            <w:tcBorders/>
            <w:shd w:fill="auto" w:val="clear"/>
            <w:vAlign w:val="center"/>
          </w:tcPr>
          <w:p>
            <w:pPr>
              <w:pStyle w:val="TableContents"/>
              <w:spacing w:lineRule="auto" w:line="252" w:before="0" w:after="0"/>
              <w:ind w:left="0" w:right="15" w:hanging="0"/>
              <w:jc w:val="left"/>
              <w:rPr>
                <w:rFonts w:ascii="Times New Roman" w:hAnsi="Times New Roman"/>
                <w:sz w:val="20"/>
              </w:rPr>
            </w:pPr>
            <w:r>
              <w:rPr>
                <w:rFonts w:ascii="Times New Roman" w:hAnsi="Times New Roman"/>
                <w:b w:val="false"/>
                <w:sz w:val="20"/>
              </w:rPr>
              <w:t>Name: Scott A Smith</w:t>
            </w:r>
            <w:r>
              <w:rPr>
                <w:rFonts w:ascii="Times New Roman" w:hAnsi="Times New Roman"/>
                <w:sz w:val="20"/>
              </w:rPr>
              <w:t xml:space="preserve"> </w:t>
            </w:r>
          </w:p>
          <w:p>
            <w:pPr>
              <w:pStyle w:val="TableContents"/>
              <w:spacing w:lineRule="auto" w:line="252" w:before="0" w:after="0"/>
              <w:ind w:left="0" w:right="15" w:hanging="0"/>
              <w:jc w:val="left"/>
              <w:rPr>
                <w:rFonts w:ascii="Times New Roman" w:hAnsi="Times New Roman"/>
                <w:sz w:val="20"/>
              </w:rPr>
            </w:pPr>
            <w:r>
              <w:rPr>
                <w:rFonts w:ascii="Times New Roman" w:hAnsi="Times New Roman"/>
                <w:b w:val="false"/>
                <w:sz w:val="20"/>
              </w:rPr>
              <w:t>Title: Managing Director</w:t>
            </w:r>
            <w:r>
              <w:rPr>
                <w:rFonts w:ascii="Times New Roman" w:hAnsi="Times New Roman"/>
                <w:sz w:val="20"/>
              </w:rPr>
              <w:t xml:space="preserve"> </w:t>
            </w:r>
          </w:p>
        </w:tc>
      </w:tr>
    </w:tbl>
    <w:p>
      <w:pPr>
        <w:pStyle w:val="TextBody"/>
        <w:spacing w:lineRule="auto" w:line="273" w:before="0" w:after="120"/>
        <w:jc w:val="left"/>
        <w:rPr>
          <w:rFonts w:ascii="Times New Roman" w:hAnsi="Times New Roman"/>
          <w:sz w:val="20"/>
        </w:rPr>
      </w:pPr>
      <w:r>
        <w:rPr>
          <w:rFonts w:ascii="Times New Roman" w:hAnsi="Times New Roman"/>
          <w:b w:val="false"/>
          <w:sz w:val="24"/>
          <w:u w:val="single"/>
        </w:rPr>
        <w:br/>
      </w:r>
      <w:r>
        <w:rPr>
          <w:rFonts w:ascii="Times New Roman" w:hAnsi="Times New Roman"/>
          <w:sz w:val="20"/>
          <w:u w:val="single"/>
        </w:rPr>
        <w:t> </w:t>
      </w:r>
    </w:p>
    <w:p>
      <w:pPr>
        <w:pStyle w:val="TextBody"/>
        <w:spacing w:lineRule="auto" w:line="273" w:before="0" w:after="0"/>
        <w:jc w:val="center"/>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i/>
          <w:sz w:val="20"/>
        </w:rPr>
      </w:pPr>
      <w:r>
        <w:rPr>
          <w:rFonts w:ascii="Times New Roman" w:hAnsi="Times New Roman"/>
          <w:b w:val="false"/>
          <w:i/>
          <w:sz w:val="20"/>
        </w:rPr>
        <w:t>SIGNATURE PAGE TO AMENDMENT NO. 3 TO GLOBAL CO-DEVELOPMENT AND COLLABORATION AGREEMENT</w:t>
      </w:r>
    </w:p>
    <w:p>
      <w:pPr>
        <w:pStyle w:val="HorizontalLine"/>
        <w:rPr/>
      </w:pPr>
      <w:r>
        <w:rPr/>
      </w:r>
      <w:r>
        <w:br w:type="page"/>
      </w:r>
    </w:p>
    <w:p>
      <w:pPr>
        <w:pStyle w:val="TextBody"/>
        <w:spacing w:lineRule="auto" w:line="273" w:before="0" w:after="240"/>
        <w:jc w:val="right"/>
        <w:rPr>
          <w:rFonts w:ascii="Times New Roman" w:hAnsi="Times New Roman"/>
          <w:b/>
          <w:sz w:val="18"/>
        </w:rPr>
      </w:pPr>
      <w:bookmarkStart w:id="56" w:name="bcab-ex10_31.htm"/>
      <w:bookmarkStart w:id="57" w:name="ksbcabex10_31"/>
      <w:bookmarkEnd w:id="56"/>
      <w:bookmarkEnd w:id="57"/>
      <w:r>
        <w:rPr>
          <w:rFonts w:ascii="Times New Roman" w:hAnsi="Times New Roman"/>
          <w:b/>
          <w:sz w:val="18"/>
        </w:rPr>
        <w:t>Exhibit 10.31</w:t>
      </w:r>
    </w:p>
    <w:p>
      <w:pPr>
        <w:pStyle w:val="TextBody"/>
        <w:spacing w:lineRule="auto" w:line="273" w:before="0" w:after="240"/>
        <w:jc w:val="center"/>
        <w:rPr>
          <w:rFonts w:ascii="Times New Roman" w:hAnsi="Times New Roman"/>
          <w:b/>
          <w:caps/>
          <w:sz w:val="18"/>
        </w:rPr>
      </w:pPr>
      <w:r>
        <w:rPr>
          <w:rFonts w:ascii="Times New Roman" w:hAnsi="Times New Roman"/>
          <w:b/>
          <w:caps/>
          <w:sz w:val="18"/>
        </w:rPr>
        <w:t>bioatla, INC.</w:t>
      </w:r>
    </w:p>
    <w:p>
      <w:pPr>
        <w:pStyle w:val="TextBody"/>
        <w:spacing w:lineRule="auto" w:line="273" w:before="0" w:after="240"/>
        <w:jc w:val="center"/>
        <w:rPr>
          <w:rFonts w:ascii="Times New Roman" w:hAnsi="Times New Roman"/>
          <w:b/>
          <w:caps/>
          <w:sz w:val="18"/>
        </w:rPr>
      </w:pPr>
      <w:r>
        <w:rPr>
          <w:rFonts w:ascii="Times New Roman" w:hAnsi="Times New Roman"/>
          <w:b/>
          <w:caps/>
          <w:sz w:val="18"/>
        </w:rPr>
        <w:t>DIRECTOR COMPENSATION POLICY</w:t>
      </w:r>
    </w:p>
    <w:p>
      <w:pPr>
        <w:pStyle w:val="TextBody"/>
        <w:spacing w:lineRule="auto" w:line="273" w:before="0" w:after="240"/>
        <w:jc w:val="center"/>
        <w:rPr>
          <w:rFonts w:ascii="Times New Roman" w:hAnsi="Times New Roman"/>
          <w:sz w:val="20"/>
        </w:rPr>
      </w:pPr>
      <w:r>
        <w:rPr>
          <w:rFonts w:ascii="Times New Roman" w:hAnsi="Times New Roman"/>
          <w:b w:val="false"/>
          <w:sz w:val="18"/>
        </w:rPr>
        <w:t>(Adopted and approved on December 15, 2021)</w:t>
      </w:r>
      <w:r>
        <w:rPr>
          <w:rFonts w:ascii="Times New Roman" w:hAnsi="Times New Roman"/>
          <w:sz w:val="20"/>
        </w:rPr>
        <w:t xml:space="preserve"> </w:t>
      </w:r>
    </w:p>
    <w:p>
      <w:pPr>
        <w:pStyle w:val="TextBody"/>
        <w:spacing w:lineRule="auto" w:line="273" w:before="0" w:after="240"/>
        <w:jc w:val="both"/>
        <w:rPr>
          <w:rFonts w:ascii="Times New Roman" w:hAnsi="Times New Roman"/>
          <w:sz w:val="20"/>
        </w:rPr>
      </w:pPr>
      <w:r>
        <w:rPr>
          <w:rFonts w:ascii="Times New Roman" w:hAnsi="Times New Roman"/>
          <w:b w:val="false"/>
          <w:sz w:val="18"/>
        </w:rPr>
        <w:t>Each member of the Board of Directors (the “</w:t>
      </w:r>
      <w:r>
        <w:rPr>
          <w:rFonts w:ascii="Times New Roman" w:hAnsi="Times New Roman"/>
          <w:b/>
          <w:i/>
          <w:sz w:val="18"/>
        </w:rPr>
        <w:t>Board</w:t>
      </w:r>
      <w:r>
        <w:rPr>
          <w:rFonts w:ascii="Times New Roman" w:hAnsi="Times New Roman"/>
          <w:sz w:val="20"/>
        </w:rPr>
        <w:t>”</w:t>
      </w:r>
      <w:r>
        <w:rPr>
          <w:rFonts w:ascii="Times New Roman" w:hAnsi="Times New Roman"/>
          <w:b w:val="false"/>
          <w:sz w:val="18"/>
        </w:rPr>
        <w:t>) of BioAtla, Inc. (the “</w:t>
      </w:r>
      <w:r>
        <w:rPr>
          <w:rFonts w:ascii="Times New Roman" w:hAnsi="Times New Roman"/>
          <w:b/>
          <w:i/>
          <w:sz w:val="18"/>
        </w:rPr>
        <w:t>Company</w:t>
      </w:r>
      <w:r>
        <w:rPr>
          <w:rFonts w:ascii="Times New Roman" w:hAnsi="Times New Roman"/>
          <w:sz w:val="20"/>
        </w:rPr>
        <w:t>”</w:t>
      </w:r>
      <w:r>
        <w:rPr>
          <w:rFonts w:ascii="Times New Roman" w:hAnsi="Times New Roman"/>
          <w:b w:val="false"/>
          <w:sz w:val="18"/>
        </w:rPr>
        <w:t>), who is not an employee of the Company (each such member, a “</w:t>
      </w:r>
      <w:r>
        <w:rPr>
          <w:rFonts w:ascii="Times New Roman" w:hAnsi="Times New Roman"/>
          <w:b/>
          <w:i/>
          <w:sz w:val="18"/>
        </w:rPr>
        <w:t>Non-Employee Director</w:t>
      </w:r>
      <w:r>
        <w:rPr>
          <w:rFonts w:ascii="Times New Roman" w:hAnsi="Times New Roman"/>
          <w:sz w:val="20"/>
        </w:rPr>
        <w:t>”</w:t>
      </w:r>
      <w:r>
        <w:rPr>
          <w:rFonts w:ascii="Times New Roman" w:hAnsi="Times New Roman"/>
          <w:b w:val="false"/>
          <w:sz w:val="18"/>
        </w:rPr>
        <w:t>), will receive the compensation described in this Director Compensation Policy (the “</w:t>
      </w:r>
      <w:r>
        <w:rPr>
          <w:rFonts w:ascii="Times New Roman" w:hAnsi="Times New Roman"/>
          <w:b/>
          <w:i/>
          <w:sz w:val="18"/>
        </w:rPr>
        <w:t>Director Compensation Policy</w:t>
      </w:r>
      <w:r>
        <w:rPr>
          <w:rFonts w:ascii="Times New Roman" w:hAnsi="Times New Roman"/>
          <w:sz w:val="20"/>
        </w:rPr>
        <w:t>”</w:t>
      </w:r>
      <w:r>
        <w:rPr>
          <w:rFonts w:ascii="Times New Roman" w:hAnsi="Times New Roman"/>
          <w:b w:val="false"/>
          <w:sz w:val="18"/>
        </w:rPr>
        <w:t>) for his or her Board service following the date set forth above (the “</w:t>
      </w:r>
      <w:r>
        <w:rPr>
          <w:rFonts w:ascii="Times New Roman" w:hAnsi="Times New Roman"/>
          <w:b/>
          <w:i/>
          <w:sz w:val="18"/>
        </w:rPr>
        <w:t>Effective Date</w:t>
      </w:r>
      <w:r>
        <w:rPr>
          <w:rFonts w:ascii="Times New Roman" w:hAnsi="Times New Roman"/>
          <w:sz w:val="20"/>
        </w:rPr>
        <w:t>”</w:t>
      </w:r>
      <w:r>
        <w:rPr>
          <w:rFonts w:ascii="Times New Roman" w:hAnsi="Times New Roman"/>
          <w:b w:val="false"/>
          <w:sz w:val="18"/>
        </w:rPr>
        <w:t>).</w:t>
      </w:r>
    </w:p>
    <w:p>
      <w:pPr>
        <w:pStyle w:val="TextBody"/>
        <w:spacing w:lineRule="auto" w:line="273" w:before="0" w:after="240"/>
        <w:jc w:val="both"/>
        <w:rPr>
          <w:rFonts w:ascii="Times New Roman" w:hAnsi="Times New Roman"/>
          <w:b w:val="false"/>
          <w:sz w:val="18"/>
        </w:rPr>
      </w:pPr>
      <w:r>
        <w:rPr>
          <w:rFonts w:ascii="Times New Roman" w:hAnsi="Times New Roman"/>
          <w:b w:val="false"/>
          <w:sz w:val="18"/>
        </w:rPr>
        <w:t>The Director Compensation Policy will become effective upon the Effective Date and supersedes all prior arrangements with respect to the subject matter hereof. The Director Compensation Policy may be amended at any time in the sole discretion of the Board.</w:t>
      </w:r>
    </w:p>
    <w:p>
      <w:pPr>
        <w:pStyle w:val="TextBody"/>
        <w:spacing w:lineRule="auto" w:line="273" w:before="0" w:after="240"/>
        <w:jc w:val="left"/>
        <w:rPr>
          <w:rFonts w:ascii="Times New Roman" w:hAnsi="Times New Roman"/>
          <w:b/>
          <w:sz w:val="18"/>
        </w:rPr>
      </w:pPr>
      <w:r>
        <w:rPr>
          <w:rFonts w:ascii="Times New Roman" w:hAnsi="Times New Roman"/>
          <w:b/>
          <w:sz w:val="18"/>
        </w:rPr>
        <w:t>Annual Cash Compensation</w:t>
      </w:r>
    </w:p>
    <w:p>
      <w:pPr>
        <w:pStyle w:val="TextBody"/>
        <w:spacing w:lineRule="auto" w:line="273" w:before="0" w:after="240"/>
        <w:jc w:val="both"/>
        <w:rPr>
          <w:rFonts w:ascii="Times New Roman" w:hAnsi="Times New Roman"/>
          <w:sz w:val="20"/>
        </w:rPr>
      </w:pPr>
      <w:r>
        <w:rPr>
          <w:rFonts w:ascii="Times New Roman" w:hAnsi="Times New Roman"/>
          <w:b w:val="false"/>
          <w:sz w:val="18"/>
        </w:rPr>
        <w:t>Each Non-Employee Director will receive the cash compensation set forth below for service on the Board or a committee of the Board. The annual cash compensation amounts will be payable in arrears, in equal quarterly installments following the end of each fiscal quarter of the Company in which the service occurred. Any amount payable for a partial quarter of service in an applicable role will be pro-rated by multiplying such amount by a fraction, the numerator of which will be the number of days of service in such role that the Non-Employee Director provided in such quarter and the denominator of which will be the number of days in such quarter. All annual cash fees are vested upon payment. For purposes of clarity, the first quarterly installment of the annual retainers set forth below shall be paid for the first quarter of calendar year 2022, with the amount of such payment equal to the full quarterly installment, pro-rated, if applicable, based on the days of service that the Non-Employee Director provided in such quarter.</w:t>
      </w:r>
      <w:r>
        <w:rPr>
          <w:rFonts w:ascii="Times New Roman" w:hAnsi="Times New Roman"/>
          <w:sz w:val="20"/>
        </w:rPr>
        <w:t xml:space="preserve"> </w:t>
      </w:r>
    </w:p>
    <w:p>
      <w:pPr>
        <w:pStyle w:val="TextBody"/>
        <w:spacing w:lineRule="auto" w:line="273" w:before="0" w:after="240"/>
        <w:jc w:val="both"/>
        <w:rPr>
          <w:rFonts w:ascii="Times New Roman" w:hAnsi="Times New Roman"/>
          <w:b w:val="false"/>
          <w:caps/>
          <w:sz w:val="22"/>
        </w:rPr>
      </w:pPr>
      <w:r>
        <w:rPr>
          <w:rFonts w:ascii="Times New Roman" w:hAnsi="Times New Roman"/>
          <w:b w:val="false"/>
          <w:caps/>
          <w:sz w:val="22"/>
        </w:rPr>
        <w:t>1.</w:t>
      </w:r>
    </w:p>
    <w:p>
      <w:pPr>
        <w:pStyle w:val="TextBody"/>
        <w:spacing w:lineRule="auto" w:line="273" w:before="0" w:after="240"/>
        <w:jc w:val="both"/>
        <w:rPr/>
      </w:pPr>
      <w:r>
        <w:rPr>
          <w:rFonts w:ascii="Times New Roman" w:hAnsi="Times New Roman"/>
          <w:b/>
          <w:sz w:val="18"/>
        </w:rPr>
        <w:t>Annual Board Member Service Retainer</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a.</w:t>
      </w:r>
    </w:p>
    <w:p>
      <w:pPr>
        <w:pStyle w:val="TextBody"/>
        <w:spacing w:lineRule="auto" w:line="273" w:before="0" w:after="240"/>
        <w:jc w:val="both"/>
        <w:rPr/>
      </w:pPr>
      <w:r>
        <w:rPr>
          <w:rFonts w:ascii="Times New Roman" w:hAnsi="Times New Roman"/>
          <w:b w:val="false"/>
          <w:sz w:val="18"/>
          <w:u w:val="single"/>
        </w:rPr>
        <w:t>All Non-Employee Directors</w:t>
      </w:r>
      <w:r>
        <w:rPr>
          <w:rFonts w:ascii="Times New Roman" w:hAnsi="Times New Roman"/>
          <w:b w:val="false"/>
          <w:sz w:val="18"/>
        </w:rPr>
        <w:t xml:space="preserve">: </w:t>
      </w:r>
      <w:r>
        <w:rPr>
          <w:rFonts w:ascii="Times New Roman" w:hAnsi="Times New Roman"/>
          <w:b/>
          <w:sz w:val="18"/>
        </w:rPr>
        <w:t>$40,000</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b.</w:t>
      </w:r>
    </w:p>
    <w:p>
      <w:pPr>
        <w:pStyle w:val="TextBody"/>
        <w:spacing w:lineRule="auto" w:line="273" w:before="0" w:after="240"/>
        <w:jc w:val="both"/>
        <w:rPr/>
      </w:pPr>
      <w:r>
        <w:rPr>
          <w:rFonts w:ascii="Times New Roman" w:hAnsi="Times New Roman"/>
          <w:b w:val="false"/>
          <w:sz w:val="18"/>
          <w:u w:val="single"/>
        </w:rPr>
        <w:t>Non-Employee Director serving as Board Chair</w:t>
      </w:r>
      <w:r>
        <w:rPr>
          <w:rFonts w:ascii="Times New Roman" w:hAnsi="Times New Roman"/>
          <w:b w:val="false"/>
          <w:sz w:val="18"/>
        </w:rPr>
        <w:t xml:space="preserve">: N/A </w:t>
      </w:r>
    </w:p>
    <w:p>
      <w:pPr>
        <w:pStyle w:val="TextBody"/>
        <w:spacing w:lineRule="auto" w:line="273" w:before="0" w:after="240"/>
        <w:jc w:val="both"/>
        <w:rPr>
          <w:rFonts w:ascii="Times New Roman" w:hAnsi="Times New Roman"/>
          <w:b w:val="false"/>
          <w:caps/>
          <w:sz w:val="22"/>
        </w:rPr>
      </w:pPr>
      <w:r>
        <w:rPr>
          <w:rFonts w:ascii="Times New Roman" w:hAnsi="Times New Roman"/>
          <w:b w:val="false"/>
          <w:caps/>
          <w:sz w:val="22"/>
        </w:rPr>
        <w:t>2.</w:t>
      </w:r>
    </w:p>
    <w:p>
      <w:pPr>
        <w:pStyle w:val="TextBody"/>
        <w:spacing w:lineRule="auto" w:line="273" w:before="0" w:after="240"/>
        <w:jc w:val="both"/>
        <w:rPr/>
      </w:pPr>
      <w:r>
        <w:rPr>
          <w:rFonts w:ascii="Times New Roman" w:hAnsi="Times New Roman"/>
          <w:b/>
          <w:sz w:val="18"/>
        </w:rPr>
        <w:t>Annual Committee Member Service Retainer</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a.</w:t>
      </w:r>
    </w:p>
    <w:p>
      <w:pPr>
        <w:pStyle w:val="TextBody"/>
        <w:spacing w:lineRule="auto" w:line="273" w:before="0" w:after="240"/>
        <w:jc w:val="both"/>
        <w:rPr/>
      </w:pPr>
      <w:r>
        <w:rPr>
          <w:rFonts w:ascii="Times New Roman" w:hAnsi="Times New Roman"/>
          <w:b w:val="false"/>
          <w:sz w:val="18"/>
          <w:u w:val="single"/>
        </w:rPr>
        <w:t>Member of the Audit Committee</w:t>
      </w:r>
      <w:r>
        <w:rPr>
          <w:rFonts w:ascii="Times New Roman" w:hAnsi="Times New Roman"/>
          <w:b w:val="false"/>
          <w:sz w:val="18"/>
        </w:rPr>
        <w:t xml:space="preserve">: </w:t>
      </w:r>
      <w:r>
        <w:rPr>
          <w:rFonts w:ascii="Times New Roman" w:hAnsi="Times New Roman"/>
          <w:b/>
          <w:sz w:val="18"/>
        </w:rPr>
        <w:t>$7,500</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b.</w:t>
      </w:r>
    </w:p>
    <w:p>
      <w:pPr>
        <w:pStyle w:val="TextBody"/>
        <w:spacing w:lineRule="auto" w:line="273" w:before="0" w:after="240"/>
        <w:jc w:val="both"/>
        <w:rPr/>
      </w:pPr>
      <w:r>
        <w:rPr>
          <w:rFonts w:ascii="Times New Roman" w:hAnsi="Times New Roman"/>
          <w:b w:val="false"/>
          <w:sz w:val="18"/>
          <w:u w:val="single"/>
        </w:rPr>
        <w:t>Member of the Compensation Committee</w:t>
      </w:r>
      <w:r>
        <w:rPr>
          <w:rFonts w:ascii="Times New Roman" w:hAnsi="Times New Roman"/>
          <w:b w:val="false"/>
          <w:sz w:val="18"/>
        </w:rPr>
        <w:t xml:space="preserve">: </w:t>
      </w:r>
      <w:r>
        <w:rPr>
          <w:rFonts w:ascii="Times New Roman" w:hAnsi="Times New Roman"/>
          <w:b/>
          <w:sz w:val="18"/>
        </w:rPr>
        <w:t>$5,000</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c.</w:t>
      </w:r>
    </w:p>
    <w:p>
      <w:pPr>
        <w:pStyle w:val="TextBody"/>
        <w:spacing w:lineRule="auto" w:line="273" w:before="0" w:after="240"/>
        <w:jc w:val="both"/>
        <w:rPr/>
      </w:pPr>
      <w:r>
        <w:rPr>
          <w:rFonts w:ascii="Times New Roman" w:hAnsi="Times New Roman"/>
          <w:b w:val="false"/>
          <w:sz w:val="18"/>
          <w:u w:val="single"/>
        </w:rPr>
        <w:t>Member of the Nominating and Corporate Governance Committee</w:t>
      </w:r>
      <w:r>
        <w:rPr>
          <w:rFonts w:ascii="Times New Roman" w:hAnsi="Times New Roman"/>
          <w:b w:val="false"/>
          <w:sz w:val="18"/>
        </w:rPr>
        <w:t xml:space="preserve">: </w:t>
      </w:r>
      <w:r>
        <w:rPr>
          <w:rFonts w:ascii="Times New Roman" w:hAnsi="Times New Roman"/>
          <w:b/>
          <w:sz w:val="18"/>
        </w:rPr>
        <w:t>$4,000</w:t>
      </w:r>
      <w:r>
        <w:rPr>
          <w:rFonts w:ascii="Times New Roman" w:hAnsi="Times New Roman"/>
          <w:b w:val="false"/>
          <w:sz w:val="18"/>
        </w:rPr>
        <w:t>.</w:t>
      </w:r>
    </w:p>
    <w:p>
      <w:pPr>
        <w:pStyle w:val="TextBody"/>
        <w:spacing w:lineRule="auto" w:line="273" w:before="0" w:after="240"/>
        <w:jc w:val="both"/>
        <w:rPr>
          <w:rFonts w:ascii="Times New Roman" w:hAnsi="Times New Roman"/>
          <w:b w:val="false"/>
          <w:caps/>
          <w:sz w:val="22"/>
        </w:rPr>
      </w:pPr>
      <w:r>
        <w:rPr>
          <w:rFonts w:ascii="Times New Roman" w:hAnsi="Times New Roman"/>
          <w:b w:val="false"/>
          <w:caps/>
          <w:sz w:val="22"/>
        </w:rPr>
        <w:t>3.</w:t>
      </w:r>
    </w:p>
    <w:p>
      <w:pPr>
        <w:pStyle w:val="TextBody"/>
        <w:spacing w:lineRule="auto" w:line="273" w:before="0" w:after="240"/>
        <w:jc w:val="both"/>
        <w:rPr/>
      </w:pPr>
      <w:r>
        <w:rPr>
          <w:rFonts w:ascii="Times New Roman" w:hAnsi="Times New Roman"/>
          <w:b/>
          <w:sz w:val="18"/>
        </w:rPr>
        <w:t>Annual Committee Chair Service Retainer (in lieu of Annual Committee Member Service Retainer)</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a.</w:t>
      </w:r>
    </w:p>
    <w:p>
      <w:pPr>
        <w:pStyle w:val="TextBody"/>
        <w:spacing w:lineRule="auto" w:line="273" w:before="0" w:after="240"/>
        <w:jc w:val="both"/>
        <w:rPr/>
      </w:pPr>
      <w:r>
        <w:rPr>
          <w:rFonts w:ascii="Times New Roman" w:hAnsi="Times New Roman"/>
          <w:b w:val="false"/>
          <w:sz w:val="18"/>
          <w:u w:val="single"/>
        </w:rPr>
        <w:t>Chair of the Audit Committee</w:t>
      </w:r>
      <w:r>
        <w:rPr>
          <w:rFonts w:ascii="Times New Roman" w:hAnsi="Times New Roman"/>
          <w:b w:val="false"/>
          <w:sz w:val="18"/>
        </w:rPr>
        <w:t xml:space="preserve">: </w:t>
      </w:r>
      <w:r>
        <w:rPr>
          <w:rFonts w:ascii="Times New Roman" w:hAnsi="Times New Roman"/>
          <w:b/>
          <w:sz w:val="18"/>
        </w:rPr>
        <w:t>$15,000</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b.</w:t>
      </w:r>
    </w:p>
    <w:p>
      <w:pPr>
        <w:pStyle w:val="TextBody"/>
        <w:spacing w:lineRule="auto" w:line="273" w:before="0" w:after="240"/>
        <w:jc w:val="both"/>
        <w:rPr/>
      </w:pPr>
      <w:r>
        <w:rPr>
          <w:rFonts w:ascii="Times New Roman" w:hAnsi="Times New Roman"/>
          <w:b w:val="false"/>
          <w:sz w:val="18"/>
          <w:u w:val="single"/>
        </w:rPr>
        <w:t>Chair of the Compensation Committee</w:t>
      </w:r>
      <w:r>
        <w:rPr>
          <w:rFonts w:ascii="Times New Roman" w:hAnsi="Times New Roman"/>
          <w:b w:val="false"/>
          <w:sz w:val="18"/>
        </w:rPr>
        <w:t xml:space="preserve">: </w:t>
      </w:r>
      <w:r>
        <w:rPr>
          <w:rFonts w:ascii="Times New Roman" w:hAnsi="Times New Roman"/>
          <w:b/>
          <w:sz w:val="18"/>
        </w:rPr>
        <w:t>$10,000</w:t>
      </w:r>
      <w:r>
        <w:rPr>
          <w:rFonts w:ascii="Times New Roman" w:hAnsi="Times New Roman"/>
          <w:b w:val="false"/>
          <w:sz w:val="18"/>
        </w:rPr>
        <w:t>.</w:t>
      </w:r>
    </w:p>
    <w:p>
      <w:pPr>
        <w:pStyle w:val="TextBody"/>
        <w:spacing w:lineRule="auto" w:line="273" w:before="0" w:after="240"/>
        <w:jc w:val="both"/>
        <w:rPr>
          <w:rFonts w:ascii="Times New Roman" w:hAnsi="Times New Roman"/>
          <w:b w:val="false"/>
          <w:sz w:val="22"/>
        </w:rPr>
      </w:pPr>
      <w:r>
        <w:rPr>
          <w:rFonts w:ascii="Times New Roman" w:hAnsi="Times New Roman"/>
          <w:b w:val="false"/>
          <w:sz w:val="22"/>
        </w:rPr>
        <w:t>c.</w:t>
      </w:r>
    </w:p>
    <w:p>
      <w:pPr>
        <w:pStyle w:val="TextBody"/>
        <w:spacing w:lineRule="auto" w:line="273" w:before="0" w:after="240"/>
        <w:jc w:val="both"/>
        <w:rPr/>
      </w:pPr>
      <w:r>
        <w:rPr>
          <w:rFonts w:ascii="Times New Roman" w:hAnsi="Times New Roman"/>
          <w:b w:val="false"/>
          <w:sz w:val="18"/>
          <w:u w:val="single"/>
        </w:rPr>
        <w:t>Chair of the Nominating and Corporate Governance Committee</w:t>
      </w:r>
      <w:r>
        <w:rPr>
          <w:rFonts w:ascii="Times New Roman" w:hAnsi="Times New Roman"/>
          <w:b w:val="false"/>
          <w:sz w:val="18"/>
        </w:rPr>
        <w:t xml:space="preserve">: </w:t>
      </w:r>
      <w:r>
        <w:rPr>
          <w:rFonts w:ascii="Times New Roman" w:hAnsi="Times New Roman"/>
          <w:b/>
          <w:sz w:val="18"/>
        </w:rPr>
        <w:t>$8,000</w:t>
      </w:r>
      <w:r>
        <w:rPr>
          <w:rFonts w:ascii="Times New Roman" w:hAnsi="Times New Roman"/>
          <w:b w:val="false"/>
          <w:sz w:val="18"/>
        </w:rPr>
        <w:t>.</w:t>
      </w:r>
    </w:p>
    <w:p>
      <w:pPr>
        <w:pStyle w:val="TextBody"/>
        <w:spacing w:lineRule="auto" w:line="273" w:before="0" w:after="240"/>
        <w:jc w:val="left"/>
        <w:rPr>
          <w:rFonts w:ascii="Times New Roman" w:hAnsi="Times New Roman"/>
          <w:b/>
          <w:sz w:val="18"/>
        </w:rPr>
      </w:pPr>
      <w:r>
        <w:rPr>
          <w:rFonts w:ascii="Times New Roman" w:hAnsi="Times New Roman"/>
          <w:b/>
          <w:sz w:val="18"/>
        </w:rPr>
        <w:t>Equity Compensation</w:t>
      </w:r>
    </w:p>
    <w:p>
      <w:pPr>
        <w:pStyle w:val="TextBody"/>
        <w:spacing w:lineRule="auto" w:line="273" w:before="0" w:after="240"/>
        <w:jc w:val="both"/>
        <w:rPr>
          <w:rFonts w:ascii="Times New Roman" w:hAnsi="Times New Roman"/>
          <w:sz w:val="20"/>
        </w:rPr>
      </w:pPr>
      <w:r>
        <w:rPr>
          <w:rFonts w:ascii="Times New Roman" w:hAnsi="Times New Roman"/>
          <w:b w:val="false"/>
          <w:sz w:val="18"/>
        </w:rPr>
        <w:t>The equity awards contemplated by Sections 4 and 5 of this Director Compensation Policy will be granted under the Company’s 2020 Equity Incentive Plan, as amended, or any successor equity incentive plan adopted by the Board and the stockholders of the Company (the “</w:t>
      </w:r>
      <w:r>
        <w:rPr>
          <w:rFonts w:ascii="Times New Roman" w:hAnsi="Times New Roman"/>
          <w:b/>
          <w:i/>
          <w:sz w:val="18"/>
        </w:rPr>
        <w:t>Plan</w:t>
      </w:r>
      <w:r>
        <w:rPr>
          <w:rFonts w:ascii="Times New Roman" w:hAnsi="Times New Roman"/>
          <w:sz w:val="20"/>
        </w:rPr>
        <w:t>”</w:t>
      </w:r>
      <w:r>
        <w:rPr>
          <w:rFonts w:ascii="Times New Roman" w:hAnsi="Times New Roman"/>
          <w:b w:val="false"/>
          <w:sz w:val="18"/>
        </w:rPr>
        <w:t>), and this Director Compensation Policy, as it relates to such equity awards, forms a part of the Plan. In the event of any inconsistency between the Plan and this Director Compensation Policy, this Director Compensation Policy shall control.</w:t>
      </w:r>
    </w:p>
    <w:p>
      <w:pPr>
        <w:pStyle w:val="TextBody"/>
        <w:spacing w:lineRule="auto" w:line="273" w:before="0" w:after="0"/>
        <w:jc w:val="left"/>
        <w:rPr>
          <w:rFonts w:ascii="Arial" w:hAnsi="Arial"/>
          <w:b w:val="false"/>
          <w:sz w:val="22"/>
        </w:rPr>
      </w:pPr>
      <w:r>
        <w:rPr>
          <w:rFonts w:ascii="Arial" w:hAnsi="Arial"/>
          <w:b w:val="false"/>
          <w:sz w:val="22"/>
        </w:rPr>
        <w:t>1</w:t>
      </w:r>
    </w:p>
    <w:p>
      <w:pPr>
        <w:pStyle w:val="HorizontalLine"/>
        <w:rPr/>
      </w:pPr>
      <w:r>
        <w:rPr/>
      </w:r>
    </w:p>
    <w:p>
      <w:pPr>
        <w:pStyle w:val="TextBody"/>
        <w:spacing w:lineRule="auto" w:line="273" w:before="0" w:after="240"/>
        <w:jc w:val="both"/>
        <w:rPr>
          <w:rFonts w:ascii="Times New Roman" w:hAnsi="Times New Roman"/>
          <w:sz w:val="20"/>
        </w:rPr>
      </w:pPr>
      <w:r>
        <w:rPr>
          <w:rFonts w:ascii="Times New Roman" w:hAnsi="Times New Roman"/>
          <w:b w:val="false"/>
          <w:sz w:val="18"/>
        </w:rPr>
        <w:t>4.</w:t>
      </w:r>
      <w:r>
        <w:rPr>
          <w:rFonts w:ascii="Times New Roman" w:hAnsi="Times New Roman"/>
          <w:sz w:val="20"/>
        </w:rPr>
        <w:t xml:space="preserve"> </w:t>
      </w:r>
      <w:r>
        <w:rPr>
          <w:rFonts w:ascii="Times New Roman" w:hAnsi="Times New Roman"/>
          <w:b/>
          <w:sz w:val="18"/>
        </w:rPr>
        <w:t>Automatic Stock Option Grants</w:t>
      </w:r>
      <w:r>
        <w:rPr>
          <w:rFonts w:ascii="Times New Roman" w:hAnsi="Times New Roman"/>
          <w:b w:val="false"/>
          <w:sz w:val="18"/>
        </w:rPr>
        <w:t>. Automatic stock option grants shall be made as follows:</w:t>
      </w:r>
    </w:p>
    <w:p>
      <w:pPr>
        <w:pStyle w:val="TextBody"/>
        <w:spacing w:lineRule="auto" w:line="273" w:before="0" w:after="240"/>
        <w:jc w:val="both"/>
        <w:rPr>
          <w:rFonts w:ascii="Times New Roman" w:hAnsi="Times New Roman"/>
          <w:sz w:val="20"/>
        </w:rPr>
      </w:pPr>
      <w:r>
        <w:rPr>
          <w:rFonts w:ascii="Times New Roman" w:hAnsi="Times New Roman"/>
          <w:b w:val="false"/>
          <w:sz w:val="18"/>
        </w:rPr>
        <w:t xml:space="preserve">a. </w:t>
      </w:r>
      <w:r>
        <w:rPr>
          <w:rFonts w:ascii="Times New Roman" w:hAnsi="Times New Roman"/>
          <w:b w:val="false"/>
          <w:sz w:val="18"/>
          <w:u w:val="single"/>
        </w:rPr>
        <w:t>Annual Grant for Continuing Non-Employee Directors</w:t>
      </w:r>
      <w:r>
        <w:rPr>
          <w:rFonts w:ascii="Times New Roman" w:hAnsi="Times New Roman"/>
          <w:b w:val="false"/>
          <w:sz w:val="18"/>
        </w:rPr>
        <w:t>. Without any further action of the Board, at the close of business on the date of each annual meeting of the Company’s stockholders (“</w:t>
      </w:r>
      <w:r>
        <w:rPr>
          <w:rFonts w:ascii="Times New Roman" w:hAnsi="Times New Roman"/>
          <w:b/>
          <w:i/>
          <w:sz w:val="18"/>
        </w:rPr>
        <w:t>Annual Meeting</w:t>
      </w:r>
      <w:r>
        <w:rPr>
          <w:rFonts w:ascii="Times New Roman" w:hAnsi="Times New Roman"/>
          <w:sz w:val="20"/>
        </w:rPr>
        <w:t>”</w:t>
      </w:r>
      <w:r>
        <w:rPr>
          <w:rFonts w:ascii="Times New Roman" w:hAnsi="Times New Roman"/>
          <w:b w:val="false"/>
          <w:sz w:val="18"/>
        </w:rPr>
        <w:t>) beginning with the 2022 Annual Meeting, each continuing Non-Employee Director shall be granted a stock option award (“</w:t>
      </w:r>
      <w:r>
        <w:rPr>
          <w:rFonts w:ascii="Times New Roman" w:hAnsi="Times New Roman"/>
          <w:b/>
          <w:i/>
          <w:sz w:val="18"/>
        </w:rPr>
        <w:t>Option Award</w:t>
      </w:r>
      <w:r>
        <w:rPr>
          <w:rFonts w:ascii="Times New Roman" w:hAnsi="Times New Roman"/>
          <w:sz w:val="20"/>
        </w:rPr>
        <w:t>”</w:t>
      </w:r>
      <w:r>
        <w:rPr>
          <w:rFonts w:ascii="Times New Roman" w:hAnsi="Times New Roman"/>
          <w:b w:val="false"/>
          <w:sz w:val="18"/>
        </w:rPr>
        <w:t>) under the Plan covering 12,500 shares (“</w:t>
      </w:r>
      <w:r>
        <w:rPr>
          <w:rFonts w:ascii="Times New Roman" w:hAnsi="Times New Roman"/>
          <w:b/>
          <w:i/>
          <w:sz w:val="18"/>
        </w:rPr>
        <w:t>Shares</w:t>
      </w:r>
      <w:r>
        <w:rPr>
          <w:rFonts w:ascii="Times New Roman" w:hAnsi="Times New Roman"/>
          <w:sz w:val="20"/>
        </w:rPr>
        <w:t>”</w:t>
      </w:r>
      <w:r>
        <w:rPr>
          <w:rFonts w:ascii="Times New Roman" w:hAnsi="Times New Roman"/>
          <w:b w:val="false"/>
          <w:sz w:val="18"/>
        </w:rPr>
        <w:t>) of the Company’s Common Stock (as defined in the Plan). Each Continuing Director Option Award shall vest on the earlier of (x) the day before the next Annual Meeting or (y) the one-year anniversary of the grant date, subject to the applicable Non-Employee Director’s continued service as a member of the Board through such vesting date.</w:t>
      </w:r>
    </w:p>
    <w:p>
      <w:pPr>
        <w:pStyle w:val="TextBody"/>
        <w:spacing w:lineRule="auto" w:line="273" w:before="0" w:after="240"/>
        <w:jc w:val="both"/>
        <w:rPr>
          <w:rFonts w:ascii="Times New Roman" w:hAnsi="Times New Roman"/>
          <w:sz w:val="20"/>
        </w:rPr>
      </w:pPr>
      <w:r>
        <w:rPr>
          <w:rFonts w:ascii="Times New Roman" w:hAnsi="Times New Roman"/>
          <w:b w:val="false"/>
          <w:sz w:val="18"/>
        </w:rPr>
        <w:t xml:space="preserve">b. </w:t>
      </w:r>
      <w:r>
        <w:rPr>
          <w:rFonts w:ascii="Times New Roman" w:hAnsi="Times New Roman"/>
          <w:b w:val="false"/>
          <w:sz w:val="18"/>
          <w:u w:val="single"/>
        </w:rPr>
        <w:t>Initial Grant for New Non-Employee Directors</w:t>
      </w:r>
      <w:r>
        <w:rPr>
          <w:rFonts w:ascii="Times New Roman" w:hAnsi="Times New Roman"/>
          <w:b w:val="false"/>
          <w:sz w:val="18"/>
        </w:rPr>
        <w:t>. Without any further action of the Board, each person who, on or after the 2021 Annual Meeting, is elected or appointed for the first time to be a Non-Employee Director will automatically, upon the effective date of his or her initial election or appointment to be a Non-Employee Director, be granted a stock option award under the Plan covering 25,000 Shares (a “</w:t>
      </w:r>
      <w:r>
        <w:rPr>
          <w:rFonts w:ascii="Times New Roman" w:hAnsi="Times New Roman"/>
          <w:b/>
          <w:i/>
          <w:sz w:val="18"/>
        </w:rPr>
        <w:t>New Director Option Award</w:t>
      </w:r>
      <w:r>
        <w:rPr>
          <w:rFonts w:ascii="Times New Roman" w:hAnsi="Times New Roman"/>
          <w:sz w:val="20"/>
        </w:rPr>
        <w:t>”</w:t>
      </w:r>
      <w:r>
        <w:rPr>
          <w:rFonts w:ascii="Times New Roman" w:hAnsi="Times New Roman"/>
          <w:b w:val="false"/>
          <w:sz w:val="18"/>
        </w:rPr>
        <w:t>). Each New Director Option Award shall vest with respect to (i) 8,333 Shares on the first anniversary of the date of grant, (ii) 694 Shares on the last day of the next 23 months commencing with the month next following such first anniversary and (iii) 705 Shares on the last day of the 24</w:t>
      </w:r>
      <w:r>
        <w:rPr>
          <w:rFonts w:ascii="Times New Roman" w:hAnsi="Times New Roman"/>
          <w:b w:val="false"/>
          <w:sz w:val="12"/>
        </w:rPr>
        <w:t>th</w:t>
      </w:r>
      <w:r>
        <w:rPr>
          <w:rFonts w:ascii="Times New Roman" w:hAnsi="Times New Roman"/>
          <w:sz w:val="20"/>
        </w:rPr>
        <w:t xml:space="preserve"> </w:t>
      </w:r>
      <w:r>
        <w:rPr>
          <w:rFonts w:ascii="Times New Roman" w:hAnsi="Times New Roman"/>
          <w:b w:val="false"/>
          <w:sz w:val="18"/>
        </w:rPr>
        <w:t>month next following such first anniversary, subject, in each case, to the applicable Non-Employee Director’s continued service as a member of the Board through such vesting date.</w:t>
      </w:r>
    </w:p>
    <w:p>
      <w:pPr>
        <w:pStyle w:val="TextBody"/>
        <w:spacing w:lineRule="auto" w:line="273" w:before="0" w:after="0"/>
        <w:jc w:val="both"/>
        <w:rPr>
          <w:rFonts w:ascii="Times New Roman" w:hAnsi="Times New Roman"/>
          <w:sz w:val="20"/>
        </w:rPr>
      </w:pPr>
      <w:r>
        <w:rPr>
          <w:rFonts w:ascii="Times New Roman" w:hAnsi="Times New Roman"/>
          <w:b w:val="false"/>
          <w:sz w:val="18"/>
        </w:rPr>
        <w:t>5.</w:t>
      </w:r>
      <w:r>
        <w:rPr>
          <w:rFonts w:ascii="Times New Roman" w:hAnsi="Times New Roman"/>
          <w:sz w:val="20"/>
        </w:rPr>
        <w:t xml:space="preserve"> </w:t>
      </w:r>
      <w:r>
        <w:rPr>
          <w:rFonts w:ascii="Times New Roman" w:hAnsi="Times New Roman"/>
          <w:b/>
          <w:sz w:val="18"/>
        </w:rPr>
        <w:t>Remaining Terms</w:t>
      </w:r>
      <w:r>
        <w:rPr>
          <w:rFonts w:ascii="Times New Roman" w:hAnsi="Times New Roman"/>
          <w:b w:val="false"/>
          <w:sz w:val="18"/>
        </w:rPr>
        <w:t>. The remaining terms and conditions of each stock option award granted under this policy will be as set forth in the Plan and the Company’s standard form of stock option agreement for Non-Employee Directors currently in effect, as it may be amended from time to time by the Board or the Compensation Committee of the Board, as applicable.</w:t>
      </w:r>
      <w:r>
        <w:rPr>
          <w:rFonts w:ascii="Times New Roman" w:hAnsi="Times New Roman"/>
          <w:sz w:val="20"/>
        </w:rPr>
        <w:t xml:space="preserve"> </w:t>
      </w:r>
    </w:p>
    <w:p>
      <w:pPr>
        <w:pStyle w:val="TextBody"/>
        <w:spacing w:lineRule="auto" w:line="273" w:before="0" w:after="0"/>
        <w:jc w:val="both"/>
        <w:rPr/>
      </w:pPr>
      <w:r>
        <w:rPr/>
        <w:t> </w:t>
      </w:r>
    </w:p>
    <w:p>
      <w:pPr>
        <w:pStyle w:val="TextBody"/>
        <w:spacing w:lineRule="auto" w:line="273" w:before="0" w:after="240"/>
        <w:jc w:val="left"/>
        <w:rPr>
          <w:rFonts w:ascii="Times New Roman" w:hAnsi="Times New Roman"/>
          <w:b/>
          <w:sz w:val="18"/>
        </w:rPr>
      </w:pPr>
      <w:r>
        <w:rPr>
          <w:rFonts w:ascii="Times New Roman" w:hAnsi="Times New Roman"/>
          <w:b/>
          <w:sz w:val="18"/>
        </w:rPr>
        <w:t>Expenses; Other</w:t>
      </w:r>
    </w:p>
    <w:p>
      <w:pPr>
        <w:pStyle w:val="TextBody"/>
        <w:spacing w:lineRule="auto" w:line="273" w:before="0" w:after="240"/>
        <w:jc w:val="both"/>
        <w:rPr>
          <w:rFonts w:ascii="Times New Roman" w:hAnsi="Times New Roman"/>
          <w:sz w:val="20"/>
        </w:rPr>
      </w:pPr>
      <w:r>
        <w:rPr>
          <w:rFonts w:ascii="Times New Roman" w:hAnsi="Times New Roman"/>
          <w:b w:val="false"/>
          <w:sz w:val="18"/>
        </w:rPr>
        <w:t xml:space="preserve">The Company will reimburse each Non-Employee Director for ordinary, necessary, and reasonable out-of-pocket travel expenses to cover in-person attendance at, and participation in, Board and committee meetings, </w:t>
      </w:r>
      <w:r>
        <w:rPr>
          <w:rFonts w:ascii="Times New Roman" w:hAnsi="Times New Roman"/>
          <w:b w:val="false"/>
          <w:i/>
          <w:sz w:val="18"/>
        </w:rPr>
        <w:t>provided</w:t>
      </w:r>
      <w:r>
        <w:rPr>
          <w:rFonts w:ascii="Times New Roman" w:hAnsi="Times New Roman"/>
          <w:b w:val="false"/>
          <w:sz w:val="18"/>
        </w:rPr>
        <w:t>, that the Non-Employee Director timely submits to the Company appropriate documentation substantiating such expenses in accordance with the Company’s travel and expense policy, as in effect from time to time.</w:t>
      </w:r>
      <w:r>
        <w:rPr>
          <w:rFonts w:ascii="Times New Roman" w:hAnsi="Times New Roman"/>
          <w:sz w:val="20"/>
        </w:rPr>
        <w:t xml:space="preserve"> </w:t>
      </w:r>
    </w:p>
    <w:p>
      <w:pPr>
        <w:pStyle w:val="TextBody"/>
        <w:spacing w:lineRule="auto" w:line="273" w:before="0" w:after="240"/>
        <w:jc w:val="both"/>
        <w:rPr>
          <w:rFonts w:ascii="Times New Roman" w:hAnsi="Times New Roman"/>
          <w:b w:val="false"/>
          <w:sz w:val="18"/>
        </w:rPr>
      </w:pPr>
      <w:r>
        <w:rPr>
          <w:rFonts w:ascii="Times New Roman" w:hAnsi="Times New Roman"/>
          <w:b w:val="false"/>
          <w:sz w:val="18"/>
        </w:rPr>
        <w:t>This Director Compensation Policy was adopted by the Board and may only be amended or terminated by the Board.</w:t>
      </w:r>
    </w:p>
    <w:p>
      <w:pPr>
        <w:pStyle w:val="TextBody"/>
        <w:spacing w:lineRule="auto" w:line="331" w:before="0" w:after="240"/>
        <w:jc w:val="left"/>
        <w:rPr/>
      </w:pPr>
      <w:r>
        <w:rPr/>
        <w:t> </w:t>
      </w:r>
    </w:p>
    <w:p>
      <w:pPr>
        <w:pStyle w:val="TextBody"/>
        <w:spacing w:lineRule="auto" w:line="273" w:before="0" w:after="0"/>
        <w:jc w:val="left"/>
        <w:rPr>
          <w:rFonts w:ascii="Arial" w:hAnsi="Arial"/>
          <w:b w:val="false"/>
          <w:sz w:val="22"/>
        </w:rPr>
      </w:pPr>
      <w:r>
        <w:rPr>
          <w:rFonts w:ascii="Arial" w:hAnsi="Arial"/>
          <w:b w:val="false"/>
          <w:sz w:val="22"/>
        </w:rPr>
        <w:t>2</w:t>
      </w:r>
    </w:p>
    <w:p>
      <w:pPr>
        <w:pStyle w:val="HorizontalLine"/>
        <w:rPr/>
      </w:pPr>
      <w:r>
        <w:rPr/>
      </w:r>
      <w:r>
        <w:br w:type="page"/>
      </w:r>
    </w:p>
    <w:p>
      <w:pPr>
        <w:pStyle w:val="TextBody"/>
        <w:spacing w:lineRule="auto" w:line="273" w:before="0" w:after="0"/>
        <w:jc w:val="left"/>
        <w:rPr/>
      </w:pPr>
      <w:bookmarkStart w:id="58" w:name="bcab-ex23_1.htm"/>
      <w:bookmarkStart w:id="59" w:name="ksbcabex23_1"/>
      <w:bookmarkEnd w:id="58"/>
      <w:bookmarkEnd w:id="59"/>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23.1</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b/>
          <w:sz w:val="18"/>
        </w:rPr>
      </w:pPr>
      <w:r>
        <w:rPr>
          <w:rFonts w:ascii="Times New Roman" w:hAnsi="Times New Roman"/>
          <w:b/>
          <w:sz w:val="18"/>
        </w:rPr>
        <w:t>Consent of Independent Registered Public Accounting Firm</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We consent to the incorporation by reference in the following Registration Statements:</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Registration Statement (Form S-3 No. 333-262528) of BioAtla, Inc., and</w:t>
      </w:r>
    </w:p>
    <w:p>
      <w:pPr>
        <w:pStyle w:val="TextBody"/>
        <w:spacing w:lineRule="auto" w:line="273" w:before="120" w:after="0"/>
        <w:jc w:val="left"/>
        <w:rPr>
          <w:rFonts w:ascii="Times New Roman" w:hAnsi="Times New Roman"/>
          <w:b w:val="false"/>
          <w:sz w:val="18"/>
        </w:rPr>
      </w:pPr>
      <w:r>
        <w:rPr>
          <w:rFonts w:ascii="Times New Roman" w:hAnsi="Times New Roman"/>
          <w:b w:val="false"/>
          <w:sz w:val="18"/>
        </w:rPr>
        <w:t>(2)</w:t>
      </w:r>
    </w:p>
    <w:p>
      <w:pPr>
        <w:pStyle w:val="TextBody"/>
        <w:spacing w:lineRule="auto" w:line="273" w:before="120" w:after="283"/>
        <w:jc w:val="left"/>
        <w:rPr>
          <w:rFonts w:ascii="Times New Roman" w:hAnsi="Times New Roman"/>
          <w:b w:val="false"/>
          <w:sz w:val="18"/>
        </w:rPr>
      </w:pPr>
      <w:r>
        <w:rPr>
          <w:rFonts w:ascii="Times New Roman" w:hAnsi="Times New Roman"/>
          <w:b w:val="false"/>
          <w:sz w:val="18"/>
        </w:rPr>
        <w:t xml:space="preserve">Registration Statement (Form S-8 Nos. 333-254673 and 333-251520) pertaining to the BIOATLA, INC. 2020 EQUITY INCENTIVE PLAN and the BIOATLA, INC. EMPLOYEE STOCK PURCHASE PLAN;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of our reports dated February 28, 2022, with respect to the consolidated financial statements of BioAtla, Inc. and the effectiveness of internal control over financial reporting of BioAtla, Inc. included in this Annual Report (Form 10-K) of BioAtla, Inc. for the year ended December 31, 2021.</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/s/ Ernst &amp; Young LLP</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San Diego, California</w:t>
      </w:r>
      <w:r>
        <w:rPr>
          <w:rFonts w:ascii="Times New Roman" w:hAnsi="Times New Roman"/>
          <w:sz w:val="20"/>
        </w:rPr>
        <w:t xml:space="preserve"> </w:t>
      </w:r>
    </w:p>
    <w:p>
      <w:pPr>
        <w:pStyle w:val="TextBody"/>
        <w:spacing w:lineRule="auto" w:line="273" w:before="0" w:after="0"/>
        <w:jc w:val="left"/>
        <w:rPr>
          <w:rFonts w:ascii="Times New Roman" w:hAnsi="Times New Roman"/>
          <w:b w:val="false"/>
          <w:sz w:val="18"/>
        </w:rPr>
      </w:pPr>
      <w:r>
        <w:rPr>
          <w:rFonts w:ascii="Times New Roman" w:hAnsi="Times New Roman"/>
          <w:b w:val="false"/>
          <w:sz w:val="18"/>
        </w:rPr>
        <w:t>February 28, 2022</w:t>
      </w:r>
    </w:p>
    <w:p>
      <w:pPr>
        <w:pStyle w:val="TextBody"/>
        <w:spacing w:lineRule="atLeast" w:line="141"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60" w:name="bcab-ex31_1.htm"/>
      <w:bookmarkStart w:id="61" w:name="ksbcabex31_1"/>
      <w:bookmarkEnd w:id="60"/>
      <w:bookmarkEnd w:id="61"/>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31.1</w:t>
      </w:r>
    </w:p>
    <w:p>
      <w:pPr>
        <w:pStyle w:val="TextBody"/>
        <w:spacing w:lineRule="auto" w:line="273" w:before="216" w:after="0"/>
        <w:jc w:val="center"/>
        <w:rPr>
          <w:rFonts w:ascii="Times New Roman" w:hAnsi="Times New Roman"/>
          <w:b/>
          <w:sz w:val="20"/>
        </w:rPr>
      </w:pPr>
      <w:r>
        <w:rPr>
          <w:rFonts w:ascii="Times New Roman" w:hAnsi="Times New Roman"/>
          <w:b/>
          <w:sz w:val="20"/>
        </w:rPr>
        <w:t>CERTIFICATION OF CHIEF EXECUTIVE OFFICER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302 OF THE SARBANES-OXLEY ACT OF 2002</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I, Jay M. Short, Ph.D., certify that: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I have reviewed this Annual Report on Form 10-K for the fiscal year ended December 31, 2021 of BioAtla, Inc.;</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2.</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3.</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4.</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c)</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d)</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5.</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216"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3151" w:type="dxa"/>
        <w:jc w:val="left"/>
        <w:tblInd w:w="0" w:type="dxa"/>
        <w:tblCellMar>
          <w:top w:w="28" w:type="dxa"/>
          <w:left w:w="28" w:type="dxa"/>
          <w:bottom w:w="28" w:type="dxa"/>
          <w:right w:w="28" w:type="dxa"/>
        </w:tblCellMar>
      </w:tblPr>
      <w:tblGrid>
        <w:gridCol w:w="3151"/>
      </w:tblGrid>
      <w:tr>
        <w:trPr/>
        <w:tc>
          <w:tcPr>
            <w:tcW w:w="315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spacing w:lineRule="atLeast" w:line="141" w:before="0" w:after="0"/>
              <w:ind w:left="0" w:right="0" w:hanging="0"/>
              <w:jc w:val="left"/>
              <w:rPr/>
            </w:pPr>
            <w:r>
              <w:rPr/>
              <w:t> </w:t>
            </w:r>
          </w:p>
        </w:tc>
      </w:tr>
      <w:tr>
        <w:trPr/>
        <w:tc>
          <w:tcPr>
            <w:tcW w:w="315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Jay M. Short, Ph.D.</w:t>
            </w:r>
          </w:p>
        </w:tc>
      </w:tr>
      <w:tr>
        <w:trPr/>
        <w:tc>
          <w:tcPr>
            <w:tcW w:w="315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Jay M. Short, Ph.D.</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Chief Executive Officer and Director</w:t>
            </w:r>
          </w:p>
          <w:p>
            <w:pPr>
              <w:pStyle w:val="TableContents"/>
              <w:spacing w:lineRule="auto" w:line="252" w:before="0" w:after="0"/>
              <w:ind w:left="0" w:right="15" w:hanging="0"/>
              <w:jc w:val="center"/>
              <w:rPr>
                <w:rFonts w:ascii="Times New Roman" w:hAnsi="Times New Roman"/>
                <w:b w:val="false"/>
                <w:i/>
                <w:sz w:val="20"/>
              </w:rPr>
            </w:pPr>
            <w:r>
              <w:rPr>
                <w:rFonts w:ascii="Times New Roman" w:hAnsi="Times New Roman"/>
                <w:b w:val="false"/>
                <w:i/>
                <w:sz w:val="20"/>
              </w:rPr>
              <w:t>(Principal Executive Officer)</w:t>
            </w:r>
          </w:p>
        </w:tc>
      </w:tr>
    </w:tbl>
    <w:p>
      <w:pPr>
        <w:pStyle w:val="TextBody"/>
        <w:spacing w:lineRule="auto" w:line="273" w:before="216" w:after="0"/>
        <w:jc w:val="left"/>
        <w:rPr>
          <w:rFonts w:ascii="Times New Roman" w:hAnsi="Times New Roman"/>
          <w:b w:val="false"/>
          <w:sz w:val="20"/>
        </w:rPr>
      </w:pPr>
      <w:r>
        <w:rPr>
          <w:rFonts w:ascii="Times New Roman" w:hAnsi="Times New Roman"/>
          <w:b w:val="false"/>
          <w:sz w:val="20"/>
        </w:rPr>
        <w:t>Date: February 28, 2022</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62" w:name="bcab-ex31_2.htm"/>
      <w:bookmarkStart w:id="63" w:name="ksbcabex31_2"/>
      <w:bookmarkEnd w:id="62"/>
      <w:bookmarkEnd w:id="63"/>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31.2</w:t>
      </w:r>
    </w:p>
    <w:p>
      <w:pPr>
        <w:pStyle w:val="TextBody"/>
        <w:spacing w:lineRule="auto" w:line="273" w:before="216" w:after="0"/>
        <w:jc w:val="center"/>
        <w:rPr>
          <w:rFonts w:ascii="Times New Roman" w:hAnsi="Times New Roman"/>
          <w:b/>
          <w:sz w:val="20"/>
        </w:rPr>
      </w:pPr>
      <w:r>
        <w:rPr>
          <w:rFonts w:ascii="Times New Roman" w:hAnsi="Times New Roman"/>
          <w:b/>
          <w:sz w:val="20"/>
        </w:rPr>
        <w:t>CERTIFICATION OF THE CHIEF FINANCIAL OFFICER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302 OF THE SARBANES-OXLEY ACT OF 2002</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I, Richard A. Waldron, certify that:</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I have reviewed this Annual Report on Form 10-K for the fiscal year ended December 31, 2021 of BioAtla, Inc.;</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2.</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3.</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4.</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c)</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d)</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5.</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a)</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16" w:after="0"/>
        <w:jc w:val="left"/>
        <w:rPr>
          <w:rFonts w:ascii="Times New Roman" w:hAnsi="Times New Roman"/>
          <w:b w:val="false"/>
          <w:sz w:val="18"/>
        </w:rPr>
      </w:pPr>
      <w:r>
        <w:rPr>
          <w:rFonts w:ascii="Times New Roman" w:hAnsi="Times New Roman"/>
          <w:b w:val="false"/>
          <w:sz w:val="18"/>
        </w:rPr>
        <w:t>b)</w:t>
      </w:r>
    </w:p>
    <w:p>
      <w:pPr>
        <w:pStyle w:val="TextBody"/>
        <w:spacing w:lineRule="auto" w:line="273" w:before="216"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3901" w:type="dxa"/>
        <w:jc w:val="left"/>
        <w:tblInd w:w="0" w:type="dxa"/>
        <w:tblCellMar>
          <w:top w:w="28" w:type="dxa"/>
          <w:left w:w="28" w:type="dxa"/>
          <w:bottom w:w="28" w:type="dxa"/>
          <w:right w:w="28" w:type="dxa"/>
        </w:tblCellMar>
      </w:tblPr>
      <w:tblGrid>
        <w:gridCol w:w="3901"/>
      </w:tblGrid>
      <w:tr>
        <w:trPr/>
        <w:tc>
          <w:tcPr>
            <w:tcW w:w="3901"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vAlign w:val="center"/>
          </w:tcPr>
          <w:p>
            <w:pPr>
              <w:pStyle w:val="TableContents"/>
              <w:spacing w:lineRule="atLeast" w:line="141" w:before="0" w:after="0"/>
              <w:ind w:left="0" w:right="0" w:hanging="0"/>
              <w:jc w:val="left"/>
              <w:rPr/>
            </w:pPr>
            <w:r>
              <w:rPr/>
              <w:t> </w:t>
            </w:r>
          </w:p>
        </w:tc>
      </w:tr>
      <w:tr>
        <w:trPr/>
        <w:tc>
          <w:tcPr>
            <w:tcW w:w="390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Richard A. Waldron</w:t>
            </w:r>
          </w:p>
        </w:tc>
      </w:tr>
      <w:tr>
        <w:trPr/>
        <w:tc>
          <w:tcPr>
            <w:tcW w:w="390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Richard A. Waldron</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Chief Financial Officer</w:t>
            </w:r>
          </w:p>
          <w:p>
            <w:pPr>
              <w:pStyle w:val="TableContents"/>
              <w:spacing w:lineRule="auto" w:line="252" w:before="0" w:after="0"/>
              <w:ind w:left="0" w:right="15" w:hanging="0"/>
              <w:jc w:val="center"/>
              <w:rPr>
                <w:rFonts w:ascii="Times New Roman" w:hAnsi="Times New Roman"/>
                <w:b w:val="false"/>
                <w:i/>
                <w:sz w:val="20"/>
              </w:rPr>
            </w:pPr>
            <w:r>
              <w:rPr>
                <w:rFonts w:ascii="Times New Roman" w:hAnsi="Times New Roman"/>
                <w:b w:val="false"/>
                <w:i/>
                <w:sz w:val="20"/>
              </w:rPr>
              <w:t>(Principal Financial and Accounting Officer)</w:t>
            </w:r>
          </w:p>
        </w:tc>
      </w:tr>
    </w:tbl>
    <w:p>
      <w:pPr>
        <w:pStyle w:val="TextBody"/>
        <w:spacing w:lineRule="auto" w:line="273" w:before="216" w:after="0"/>
        <w:jc w:val="left"/>
        <w:rPr>
          <w:rFonts w:ascii="Times New Roman" w:hAnsi="Times New Roman"/>
          <w:b w:val="false"/>
          <w:sz w:val="20"/>
        </w:rPr>
      </w:pPr>
      <w:r>
        <w:rPr>
          <w:rFonts w:ascii="Times New Roman" w:hAnsi="Times New Roman"/>
          <w:b w:val="false"/>
          <w:sz w:val="20"/>
        </w:rPr>
        <w:t>Date: February 28, 2022</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64" w:name="bcab-ex32_1.htm"/>
      <w:bookmarkStart w:id="65" w:name="ksbcabex32_1"/>
      <w:bookmarkEnd w:id="64"/>
      <w:bookmarkEnd w:id="65"/>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32.1</w:t>
      </w:r>
    </w:p>
    <w:p>
      <w:pPr>
        <w:pStyle w:val="TextBody"/>
        <w:spacing w:lineRule="auto" w:line="273" w:before="216"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PURSURANT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In connection with the Annual Report on Form 10-K of BioAtla, Inc. (the “Company”) for the period ended December 31, 2021, to which this Certification is attached, as filed with the Securities and Exchange Commission on the date hereof (the “Report”), each of the undersigned officers of the Company herby certifies, pursuant to 18 U.S.C. Section 1350, as adopted pursuant to Section 906 of the Sarbanes-Oxley Act of 2002, that to their respective knowledge:</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1.</w:t>
      </w:r>
    </w:p>
    <w:p>
      <w:pPr>
        <w:pStyle w:val="TextBody"/>
        <w:spacing w:lineRule="auto" w:line="273" w:before="108" w:after="0"/>
        <w:jc w:val="left"/>
        <w:rPr>
          <w:rFonts w:ascii="Times New Roman" w:hAnsi="Times New Roman"/>
          <w:b w:val="false"/>
          <w:sz w:val="20"/>
        </w:rPr>
      </w:pPr>
      <w:r>
        <w:rPr>
          <w:rFonts w:ascii="Times New Roman" w:hAnsi="Times New Roman"/>
          <w:b w:val="false"/>
          <w:sz w:val="20"/>
        </w:rPr>
        <w:t>The Report fully complies with the requirements of Section 13(a) or 15(d) of the Securities Exchange Act of 1934; and</w:t>
      </w:r>
    </w:p>
    <w:p>
      <w:pPr>
        <w:pStyle w:val="TextBody"/>
        <w:spacing w:lineRule="auto" w:line="273" w:before="108" w:after="0"/>
        <w:jc w:val="left"/>
        <w:rPr>
          <w:rFonts w:ascii="Times New Roman" w:hAnsi="Times New Roman"/>
          <w:b w:val="false"/>
          <w:sz w:val="18"/>
        </w:rPr>
      </w:pPr>
      <w:r>
        <w:rPr>
          <w:rFonts w:ascii="Times New Roman" w:hAnsi="Times New Roman"/>
          <w:b w:val="false"/>
          <w:sz w:val="18"/>
        </w:rPr>
        <w:t>2.</w:t>
      </w:r>
    </w:p>
    <w:p>
      <w:pPr>
        <w:pStyle w:val="TextBody"/>
        <w:spacing w:lineRule="auto" w:line="273" w:before="108" w:after="283"/>
        <w:jc w:val="left"/>
        <w:rPr>
          <w:rFonts w:ascii="Times New Roman" w:hAnsi="Times New Roman"/>
          <w:b w:val="false"/>
          <w:sz w:val="20"/>
        </w:rPr>
      </w:pPr>
      <w:r>
        <w:rPr>
          <w:rFonts w:ascii="Times New Roman" w:hAnsi="Times New Roman"/>
          <w:b w:val="false"/>
          <w:sz w:val="20"/>
        </w:rPr>
        <w:t>The information contained in the Report fairly presents, in all material respects, the financial condition and results of operations of the Company.</w:t>
      </w:r>
    </w:p>
    <w:p>
      <w:pPr>
        <w:pStyle w:val="TextBody"/>
        <w:spacing w:lineRule="auto" w:line="273" w:before="216" w:after="0"/>
        <w:jc w:val="left"/>
        <w:rPr>
          <w:rFonts w:ascii="Times New Roman" w:hAnsi="Times New Roman"/>
          <w:b w:val="false"/>
          <w:sz w:val="20"/>
        </w:rPr>
      </w:pPr>
      <w:r>
        <w:rPr>
          <w:rFonts w:ascii="Times New Roman" w:hAnsi="Times New Roman"/>
          <w:b w:val="false"/>
          <w:sz w:val="20"/>
        </w:rPr>
        <w:t>The undersigned have executed this Certification effective as of February 28, 2022</w:t>
      </w:r>
    </w:p>
    <w:p>
      <w:pPr>
        <w:pStyle w:val="TextBody"/>
        <w:spacing w:lineRule="auto" w:line="273" w:before="0" w:after="0"/>
        <w:jc w:val="left"/>
        <w:rPr/>
      </w:pPr>
      <w:r>
        <w:rPr/>
        <w:t> </w:t>
      </w:r>
    </w:p>
    <w:tbl>
      <w:tblPr>
        <w:tblW w:w="3901" w:type="dxa"/>
        <w:jc w:val="left"/>
        <w:tblInd w:w="0" w:type="dxa"/>
        <w:tblCellMar>
          <w:top w:w="28" w:type="dxa"/>
          <w:left w:w="28" w:type="dxa"/>
          <w:bottom w:w="28" w:type="dxa"/>
          <w:right w:w="28" w:type="dxa"/>
        </w:tblCellMar>
      </w:tblPr>
      <w:tblGrid>
        <w:gridCol w:w="3901"/>
      </w:tblGrid>
      <w:tr>
        <w:trPr/>
        <w:tc>
          <w:tcPr>
            <w:tcW w:w="3901"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vAlign w:val="center"/>
          </w:tcPr>
          <w:p>
            <w:pPr>
              <w:pStyle w:val="TableContents"/>
              <w:spacing w:lineRule="atLeast" w:line="141" w:before="0" w:after="0"/>
              <w:ind w:left="0" w:right="0" w:hanging="0"/>
              <w:jc w:val="left"/>
              <w:rPr/>
            </w:pPr>
            <w:r>
              <w:rPr/>
              <w:t> </w:t>
            </w:r>
          </w:p>
        </w:tc>
      </w:tr>
      <w:tr>
        <w:trPr/>
        <w:tc>
          <w:tcPr>
            <w:tcW w:w="390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Jay M. Short, Ph.D.</w:t>
            </w:r>
          </w:p>
        </w:tc>
      </w:tr>
      <w:tr>
        <w:trPr/>
        <w:tc>
          <w:tcPr>
            <w:tcW w:w="390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Jay M. Short, Ph.D.</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Chief Executive Officer and Director</w:t>
            </w:r>
          </w:p>
          <w:p>
            <w:pPr>
              <w:pStyle w:val="TableContents"/>
              <w:spacing w:lineRule="auto" w:line="252" w:before="0" w:after="0"/>
              <w:ind w:left="0" w:right="15" w:hanging="0"/>
              <w:jc w:val="center"/>
              <w:rPr>
                <w:rFonts w:ascii="Times New Roman" w:hAnsi="Times New Roman"/>
                <w:b w:val="false"/>
                <w:i/>
                <w:sz w:val="20"/>
              </w:rPr>
            </w:pPr>
            <w:r>
              <w:rPr>
                <w:rFonts w:ascii="Times New Roman" w:hAnsi="Times New Roman"/>
                <w:b w:val="false"/>
                <w:i/>
                <w:sz w:val="20"/>
              </w:rPr>
              <w:t>(Principal Executive Officer)</w:t>
            </w:r>
          </w:p>
        </w:tc>
      </w:tr>
      <w:tr>
        <w:trPr/>
        <w:tc>
          <w:tcPr>
            <w:tcW w:w="3901" w:type="dxa"/>
            <w:tcBorders/>
            <w:shd w:fill="auto" w:val="clear"/>
            <w:vAlign w:val="center"/>
          </w:tcPr>
          <w:p>
            <w:pPr>
              <w:pStyle w:val="TableContents"/>
              <w:spacing w:lineRule="atLeast" w:line="216" w:before="0" w:after="0"/>
              <w:ind w:left="0" w:right="0" w:hanging="0"/>
              <w:jc w:val="left"/>
              <w:rPr/>
            </w:pPr>
            <w:r>
              <w:rPr/>
              <w:t> </w:t>
            </w:r>
          </w:p>
        </w:tc>
      </w:tr>
      <w:tr>
        <w:trPr/>
        <w:tc>
          <w:tcPr>
            <w:tcW w:w="3901" w:type="dxa"/>
            <w:tcBorders/>
            <w:shd w:fill="auto" w:val="clear"/>
            <w:vAlign w:val="center"/>
          </w:tcPr>
          <w:p>
            <w:pPr>
              <w:pStyle w:val="TableContents"/>
              <w:pBdr>
                <w:bottom w:val="single" w:sz="5" w:space="1" w:color="000000"/>
              </w:pBdr>
              <w:spacing w:lineRule="auto" w:line="252" w:before="0" w:after="0"/>
              <w:ind w:left="0" w:right="15" w:hanging="0"/>
              <w:jc w:val="center"/>
              <w:rPr>
                <w:rFonts w:ascii="Times New Roman" w:hAnsi="Times New Roman"/>
                <w:b w:val="false"/>
                <w:sz w:val="20"/>
              </w:rPr>
            </w:pPr>
            <w:r>
              <w:rPr>
                <w:rFonts w:ascii="Times New Roman" w:hAnsi="Times New Roman"/>
                <w:b w:val="false"/>
                <w:sz w:val="20"/>
              </w:rPr>
              <w:t>/s/ Richard A. Waldron</w:t>
            </w:r>
          </w:p>
        </w:tc>
      </w:tr>
      <w:tr>
        <w:trPr/>
        <w:tc>
          <w:tcPr>
            <w:tcW w:w="3901" w:type="dxa"/>
            <w:tcBorders/>
            <w:shd w:fill="auto" w:val="clear"/>
            <w:vAlign w:val="center"/>
          </w:tcPr>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Richard A. Waldron</w:t>
            </w:r>
          </w:p>
          <w:p>
            <w:pPr>
              <w:pStyle w:val="TableContents"/>
              <w:spacing w:lineRule="auto" w:line="252" w:before="0" w:after="0"/>
              <w:ind w:left="0" w:right="15" w:hanging="0"/>
              <w:jc w:val="center"/>
              <w:rPr>
                <w:rFonts w:ascii="Times New Roman" w:hAnsi="Times New Roman"/>
                <w:b w:val="false"/>
                <w:sz w:val="20"/>
              </w:rPr>
            </w:pPr>
            <w:r>
              <w:rPr>
                <w:rFonts w:ascii="Times New Roman" w:hAnsi="Times New Roman"/>
                <w:b w:val="false"/>
                <w:sz w:val="20"/>
              </w:rPr>
              <w:t>Chief Financial Officer</w:t>
            </w:r>
          </w:p>
          <w:p>
            <w:pPr>
              <w:pStyle w:val="TableContents"/>
              <w:spacing w:lineRule="auto" w:line="252" w:before="0" w:after="0"/>
              <w:ind w:left="0" w:right="15" w:hanging="0"/>
              <w:jc w:val="center"/>
              <w:rPr>
                <w:rFonts w:ascii="Times New Roman" w:hAnsi="Times New Roman"/>
                <w:b w:val="false"/>
                <w:i/>
                <w:sz w:val="20"/>
              </w:rPr>
            </w:pPr>
            <w:r>
              <w:rPr>
                <w:rFonts w:ascii="Times New Roman" w:hAnsi="Times New Roman"/>
                <w:b w:val="false"/>
                <w:i/>
                <w:sz w:val="20"/>
              </w:rPr>
              <w:t>(Principal Financial and Accounting Officer)</w:t>
            </w:r>
          </w:p>
        </w:tc>
      </w:tr>
    </w:tbl>
    <w:p>
      <w:pPr>
        <w:pStyle w:val="TextBody"/>
        <w:spacing w:lineRule="auto" w:line="273" w:before="216" w:after="0"/>
        <w:jc w:val="left"/>
        <w:rPr>
          <w:rFonts w:ascii="Times New Roman" w:hAnsi="Times New Roman"/>
          <w:b w:val="false"/>
          <w:sz w:val="20"/>
        </w:rPr>
      </w:pPr>
      <w:r>
        <w:rPr>
          <w:rFonts w:ascii="Times New Roman" w:hAnsi="Times New Roman"/>
          <w:b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hyperlink" Target="https://www.sec.gov/Archives/edgar/data/1826892/000119312520321571/d89083dex31.htm" TargetMode="External"/><Relationship Id="rId23" Type="http://schemas.openxmlformats.org/officeDocument/2006/relationships/hyperlink" Target="https://www.sec.gov/Archives/edgar/data/1826892/000119312520321571/d89083dex32.htm" TargetMode="External"/><Relationship Id="rId24" Type="http://schemas.openxmlformats.org/officeDocument/2006/relationships/hyperlink" Target="https://www.sec.gov/Archives/edgar/data/1826892/000119312520312311/d258427dex41.htm" TargetMode="External"/><Relationship Id="rId25" Type="http://schemas.openxmlformats.org/officeDocument/2006/relationships/hyperlink" Target="https://www.sec.gov/Archives/edgar/data/1826892/000119312520312311/d258427dex42.htm" TargetMode="External"/><Relationship Id="rId26" Type="http://schemas.openxmlformats.org/officeDocument/2006/relationships/hyperlink" Target="https://www.sec.gov/Archives/edgar/data/1826892/000119312520312311/d258427dex101.htm" TargetMode="External"/><Relationship Id="rId27" Type="http://schemas.openxmlformats.org/officeDocument/2006/relationships/hyperlink" Target="https://www.sec.gov/Archives/edgar/data/1826892/000119312520321696/d56161dex992.htm" TargetMode="External"/><Relationship Id="rId28" Type="http://schemas.openxmlformats.org/officeDocument/2006/relationships/hyperlink" Target="https://www.sec.gov/Archives/edgar/data/1826892/000119312520312311/d258427dex102.htm" TargetMode="External"/><Relationship Id="rId29" Type="http://schemas.openxmlformats.org/officeDocument/2006/relationships/hyperlink" Target="https://www.sec.gov/Archives/edgar/data/1826892/000119312520312311/d258427dex103.htm" TargetMode="External"/><Relationship Id="rId30" Type="http://schemas.openxmlformats.org/officeDocument/2006/relationships/hyperlink" Target="https://www.sec.gov/Archives/edgar/data/0001826892/000119312520293235/d258427dex104.htm" TargetMode="External"/><Relationship Id="rId31" Type="http://schemas.openxmlformats.org/officeDocument/2006/relationships/hyperlink" Target="https://www.sec.gov/Archives/edgar/data/0001826892/000119312520293235/d258427dex105.htm" TargetMode="External"/><Relationship Id="rId32" Type="http://schemas.openxmlformats.org/officeDocument/2006/relationships/hyperlink" Target="https://www.sec.gov/Archives/edgar/data/0001826892/000119312520293235/d258427dex106.htm" TargetMode="External"/><Relationship Id="rId33" Type="http://schemas.openxmlformats.org/officeDocument/2006/relationships/hyperlink" Target="https://www.sec.gov/Archives/edgar/data/0001826892/000119312520293235/d258427dex107.htm" TargetMode="External"/><Relationship Id="rId34" Type="http://schemas.openxmlformats.org/officeDocument/2006/relationships/hyperlink" Target="https://www.sec.gov/Archives/edgar/data/0001826892/000119312520293235/d258427dex108.htm" TargetMode="External"/><Relationship Id="rId35" Type="http://schemas.openxmlformats.org/officeDocument/2006/relationships/hyperlink" Target="https://www.sec.gov/Archives/edgar/data/0001826892/000119312520293235/d258427dex109.htm" TargetMode="External"/><Relationship Id="rId36" Type="http://schemas.openxmlformats.org/officeDocument/2006/relationships/hyperlink" Target="https://www.sec.gov/Archives/edgar/data/0001826892/000119312520293235/d258427dex1010.htm" TargetMode="External"/><Relationship Id="rId37" Type="http://schemas.openxmlformats.org/officeDocument/2006/relationships/hyperlink" Target="https://www.sec.gov/Archives/edgar/data/1826892/000119312520312311/d258427dex1011.htm" TargetMode="External"/><Relationship Id="rId38" Type="http://schemas.openxmlformats.org/officeDocument/2006/relationships/hyperlink" Target="https://www.sec.gov/Archives/edgar/data/1826892/000119312520312311/d258427dex1012.htm" TargetMode="External"/><Relationship Id="rId39" Type="http://schemas.openxmlformats.org/officeDocument/2006/relationships/hyperlink" Target="https://www.sec.gov/Archives/edgar/data/1826892/000119312520312311/d258427dex1013.htm" TargetMode="External"/><Relationship Id="rId40" Type="http://schemas.openxmlformats.org/officeDocument/2006/relationships/hyperlink" Target="https://www.sec.gov/Archives/edgar/data/1826892/000119312520312311/d258427dex1014.htm" TargetMode="External"/><Relationship Id="rId41" Type="http://schemas.openxmlformats.org/officeDocument/2006/relationships/hyperlink" Target="https://www.sec.gov/Archives/edgar/data/1826892/000119312520312311/d258427dex1015.htm" TargetMode="External"/><Relationship Id="rId42" Type="http://schemas.openxmlformats.org/officeDocument/2006/relationships/hyperlink" Target="https://www.sec.gov/Archives/edgar/data/1826892/000119312520312311/d258427dex1016.htm" TargetMode="External"/><Relationship Id="rId43" Type="http://schemas.openxmlformats.org/officeDocument/2006/relationships/hyperlink" Target="https://www.sec.gov/Archives/edgar/data/1826892/000119312520312311/d258427dex1017.htm" TargetMode="External"/><Relationship Id="rId44" Type="http://schemas.openxmlformats.org/officeDocument/2006/relationships/hyperlink" Target="https://www.sec.gov/Archives/edgar/data/1826892/000119312520312311/d258427dex1018.htm" TargetMode="External"/><Relationship Id="rId45" Type="http://schemas.openxmlformats.org/officeDocument/2006/relationships/hyperlink" Target="https://www.sec.gov/Archives/edgar/data/1826892/000119312520312311/d258427dex1019.htm" TargetMode="External"/><Relationship Id="rId46" Type="http://schemas.openxmlformats.org/officeDocument/2006/relationships/hyperlink" Target="https://www.sec.gov/Archives/edgar/data/0001826892/000119312520293235/d258427dex1020.htm" TargetMode="External"/><Relationship Id="rId47" Type="http://schemas.openxmlformats.org/officeDocument/2006/relationships/hyperlink" Target="https://www.sec.gov/Archives/edgar/data/1826892/000095017021004617/bcab-ex10_1.htm" TargetMode="External"/><Relationship Id="rId48" Type="http://schemas.openxmlformats.org/officeDocument/2006/relationships/hyperlink" Target="https://www.sec.gov/Archives/edgar/data/1826892/000095017021004617/bcab-ex10_2.htm"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125970</Words>
  <CharactersWithSpaces>823822</CharactersWithSpaces>
  <Paragraphs>8668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