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203835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20" w:right="1620" w:hanging="3799"/>
        <w:spacing w:after="0" w:line="407"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8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BIOATLA,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184785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920" w:type="dxa"/>
            <w:vAlign w:val="bottom"/>
          </w:tcPr>
          <w:p>
            <w:pPr>
              <w:jc w:val="center"/>
              <w:ind w:right="1688"/>
              <w:spacing w:after="0"/>
              <w:rPr>
                <w:sz w:val="20"/>
                <w:szCs w:val="20"/>
                <w:color w:val="auto"/>
              </w:rPr>
            </w:pPr>
            <w:r>
              <w:rPr>
                <w:rFonts w:ascii="Arial" w:cs="Arial" w:eastAsia="Arial" w:hAnsi="Arial"/>
                <w:sz w:val="18"/>
                <w:szCs w:val="18"/>
                <w:b w:val="1"/>
                <w:bCs w:val="1"/>
                <w:color w:val="auto"/>
                <w:w w:val="91"/>
              </w:rPr>
              <w:t>Delaware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85-1922320</w:t>
            </w:r>
          </w:p>
        </w:tc>
      </w:tr>
      <w:tr>
        <w:trPr>
          <w:trHeight w:val="148"/>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7"/>
              </w:rPr>
              <w:t>( State or other jurisdiction of</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90"/>
              </w:rPr>
              <w:t>(I.R.S. Employer</w:t>
            </w:r>
          </w:p>
        </w:tc>
      </w:tr>
      <w:tr>
        <w:trPr>
          <w:trHeight w:val="171"/>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8"/>
              </w:rPr>
              <w:t>incorporation or organization)</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89"/>
              </w:rPr>
              <w:t>Identification No.)</w:t>
            </w:r>
          </w:p>
        </w:tc>
      </w:tr>
      <w:tr>
        <w:trPr>
          <w:trHeight w:val="234"/>
        </w:trPr>
        <w:tc>
          <w:tcPr>
            <w:tcW w:w="4920" w:type="dxa"/>
            <w:vAlign w:val="bottom"/>
          </w:tcPr>
          <w:p>
            <w:pPr>
              <w:jc w:val="center"/>
              <w:ind w:right="1708"/>
              <w:spacing w:after="0"/>
              <w:rPr>
                <w:sz w:val="20"/>
                <w:szCs w:val="20"/>
                <w:color w:val="auto"/>
              </w:rPr>
            </w:pPr>
            <w:r>
              <w:rPr>
                <w:rFonts w:ascii="Arial" w:cs="Arial" w:eastAsia="Arial" w:hAnsi="Arial"/>
                <w:sz w:val="16"/>
                <w:szCs w:val="16"/>
                <w:b w:val="1"/>
                <w:bCs w:val="1"/>
                <w:color w:val="auto"/>
                <w:w w:val="92"/>
              </w:rPr>
              <w:t>11085 Torreyana Road, San Diego, California</w:t>
            </w:r>
          </w:p>
        </w:tc>
        <w:tc>
          <w:tcPr>
            <w:tcW w:w="2760" w:type="dxa"/>
            <w:vAlign w:val="bottom"/>
          </w:tcPr>
          <w:p>
            <w:pPr>
              <w:jc w:val="right"/>
              <w:ind w:right="186"/>
              <w:spacing w:after="0"/>
              <w:rPr>
                <w:sz w:val="20"/>
                <w:szCs w:val="20"/>
                <w:color w:val="auto"/>
              </w:rPr>
            </w:pPr>
            <w:r>
              <w:rPr>
                <w:rFonts w:ascii="Arial" w:cs="Arial" w:eastAsia="Arial" w:hAnsi="Arial"/>
                <w:sz w:val="18"/>
                <w:szCs w:val="18"/>
                <w:b w:val="1"/>
                <w:bCs w:val="1"/>
                <w:color w:val="auto"/>
              </w:rPr>
              <w:t>92121</w:t>
            </w:r>
          </w:p>
        </w:tc>
      </w:tr>
      <w:tr>
        <w:trPr>
          <w:trHeight w:val="173"/>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558-0708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vMerge w:val="restart"/>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Common Stock, $0.0001 par value per share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rPr>
              <w:t>BCAB</w:t>
            </w:r>
          </w:p>
        </w:tc>
        <w:tc>
          <w:tcPr>
            <w:tcW w:w="504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c>
          <w:tcPr>
            <w:tcW w:w="0" w:type="dxa"/>
            <w:vAlign w:val="bottom"/>
          </w:tcPr>
          <w:p>
            <w:pPr>
              <w:spacing w:after="0"/>
              <w:rPr>
                <w:sz w:val="1"/>
                <w:szCs w:val="1"/>
                <w:color w:val="auto"/>
              </w:rPr>
            </w:pPr>
          </w:p>
        </w:tc>
      </w:tr>
    </w:tbl>
    <w:p>
      <w:pPr>
        <w:spacing w:after="0" w:line="118"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5"/>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21"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500" w:firstLine="599"/>
        <w:spacing w:after="0" w:line="293" w:lineRule="auto"/>
        <w:rPr>
          <w:sz w:val="20"/>
          <w:szCs w:val="20"/>
          <w:color w:val="auto"/>
        </w:rPr>
      </w:pPr>
      <w:r>
        <w:rPr>
          <w:rFonts w:ascii="Arial" w:cs="Arial" w:eastAsia="Arial" w:hAnsi="Arial"/>
          <w:sz w:val="16"/>
          <w:szCs w:val="16"/>
          <w:color w:val="auto"/>
        </w:rPr>
        <w:t>As of May 10, 2021, the number of shares of the registrant’s common stock outstanding was 32,171,560 and the number of shares of the registrant’s Class B common stock outstanding was 1,492,059.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4"/>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60" w:type="dxa"/>
            <w:vAlign w:val="bottom"/>
            <w:gridSpan w:val="3"/>
            <w:vMerge w:val="continue"/>
          </w:tcPr>
          <w:p>
            <w:pPr>
              <w:spacing w:after="0"/>
              <w:rPr>
                <w:sz w:val="13"/>
                <w:szCs w:val="13"/>
                <w:color w:val="auto"/>
              </w:rPr>
            </w:pPr>
          </w:p>
        </w:tc>
        <w:tc>
          <w:tcPr>
            <w:tcW w:w="9300" w:type="dxa"/>
            <w:vAlign w:val="bottom"/>
            <w:gridSpan w:val="24"/>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tcBorders>
            <w:gridSpan w:val="1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70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40" w:type="dxa"/>
            <w:vAlign w:val="bottom"/>
            <w:tcBorders>
              <w:bottom w:val="single" w:sz="8" w:color="0000FF"/>
            </w:tcBorders>
            <w:gridSpan w:val="12"/>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Condensed Consolidated Balance Sheets</w:t>
              </w:r>
            </w:hyperlink>
          </w:p>
        </w:tc>
        <w:tc>
          <w:tcPr>
            <w:tcW w:w="20" w:type="dxa"/>
            <w:vAlign w:val="bottom"/>
            <w:tcBorders>
              <w:bottom w:val="single" w:sz="8" w:color="0000EE"/>
            </w:tcBorders>
          </w:tcPr>
          <w:p>
            <w:pPr>
              <w:spacing w:after="0"/>
              <w:rPr>
                <w:sz w:val="18"/>
                <w:szCs w:val="18"/>
                <w:color w:val="auto"/>
              </w:rPr>
            </w:pPr>
          </w:p>
        </w:tc>
        <w:tc>
          <w:tcPr>
            <w:tcW w:w="610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60" w:type="dxa"/>
            <w:vAlign w:val="bottom"/>
            <w:gridSpan w:val="2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 and Comprehensive Loss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20" w:type="dxa"/>
            <w:vAlign w:val="bottom"/>
            <w:tcBorders>
              <w:top w:val="single" w:sz="8" w:color="0000FF"/>
            </w:tcBorders>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 of Stockholders’ Equity</w:t>
              </w:r>
            </w:hyperlink>
          </w:p>
        </w:tc>
        <w:tc>
          <w:tcPr>
            <w:tcW w:w="35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Cash Flows</w:t>
              </w:r>
            </w:hyperlink>
          </w:p>
        </w:tc>
        <w:tc>
          <w:tcPr>
            <w:tcW w:w="20" w:type="dxa"/>
            <w:vAlign w:val="bottom"/>
            <w:tcBorders>
              <w:top w:val="single" w:sz="8" w:color="0000FF"/>
              <w:bottom w:val="single" w:sz="8" w:color="0000EE"/>
            </w:tcBorders>
          </w:tcPr>
          <w:p>
            <w:pPr>
              <w:spacing w:after="0"/>
              <w:rPr>
                <w:sz w:val="18"/>
                <w:szCs w:val="18"/>
                <w:color w:val="auto"/>
              </w:rPr>
            </w:pPr>
          </w:p>
        </w:tc>
        <w:tc>
          <w:tcPr>
            <w:tcW w:w="580" w:type="dxa"/>
            <w:vAlign w:val="bottom"/>
            <w:tcBorders>
              <w:top w:val="single" w:sz="8" w:color="0000FF"/>
            </w:tcBorders>
            <w:gridSpan w:val="5"/>
          </w:tcPr>
          <w:p>
            <w:pPr>
              <w:spacing w:after="0"/>
              <w:rPr>
                <w:sz w:val="18"/>
                <w:szCs w:val="18"/>
                <w:color w:val="auto"/>
              </w:rPr>
            </w:pPr>
          </w:p>
        </w:tc>
        <w:tc>
          <w:tcPr>
            <w:tcW w:w="47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20" w:type="dxa"/>
            <w:vAlign w:val="bottom"/>
            <w:tcBorders>
              <w:bottom w:val="single" w:sz="8" w:color="0000EE"/>
            </w:tcBorders>
          </w:tcPr>
          <w:p>
            <w:pPr>
              <w:spacing w:after="0"/>
              <w:rPr>
                <w:sz w:val="18"/>
                <w:szCs w:val="18"/>
                <w:color w:val="auto"/>
              </w:rPr>
            </w:pPr>
          </w:p>
        </w:tc>
        <w:tc>
          <w:tcPr>
            <w:tcW w:w="50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4"/>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20"/>
          </w:tcPr>
          <w:p>
            <w:pPr>
              <w:spacing w:after="0"/>
              <w:rPr>
                <w:rFonts w:ascii="Arial" w:cs="Arial" w:eastAsia="Arial" w:hAnsi="Arial"/>
                <w:sz w:val="18"/>
                <w:szCs w:val="18"/>
                <w:color w:val="0000FF"/>
                <w:w w:val="92"/>
              </w:rPr>
            </w:pPr>
            <w:hyperlink w:anchor="page24">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3"/>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24">
              <w:r>
                <w:rPr>
                  <w:rFonts w:ascii="Arial" w:cs="Arial" w:eastAsia="Arial" w:hAnsi="Arial"/>
                  <w:sz w:val="18"/>
                  <w:szCs w:val="18"/>
                  <w:color w:val="0000FF"/>
                  <w:w w:val="88"/>
                </w:rPr>
                <w:t>Controls and Procedures</w:t>
              </w:r>
            </w:hyperlink>
          </w:p>
        </w:tc>
        <w:tc>
          <w:tcPr>
            <w:tcW w:w="20" w:type="dxa"/>
            <w:vAlign w:val="bottom"/>
            <w:tcBorders>
              <w:bottom w:val="single" w:sz="8" w:color="0000EE"/>
            </w:tcBorders>
          </w:tcPr>
          <w:p>
            <w:pPr>
              <w:spacing w:after="0"/>
              <w:rPr>
                <w:sz w:val="18"/>
                <w:szCs w:val="18"/>
                <w:color w:val="auto"/>
              </w:rPr>
            </w:pPr>
          </w:p>
        </w:tc>
        <w:tc>
          <w:tcPr>
            <w:tcW w:w="75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10"/>
          </w:tcPr>
          <w:p>
            <w:pPr>
              <w:spacing w:after="0"/>
              <w:rPr>
                <w:rFonts w:ascii="Arial" w:cs="Arial" w:eastAsia="Arial" w:hAnsi="Arial"/>
                <w:sz w:val="18"/>
                <w:szCs w:val="18"/>
                <w:color w:val="0000FF"/>
                <w:w w:val="96"/>
              </w:rPr>
            </w:pPr>
            <w:hyperlink w:anchor="page24">
              <w:r>
                <w:rPr>
                  <w:rFonts w:ascii="Arial" w:cs="Arial" w:eastAsia="Arial" w:hAnsi="Arial"/>
                  <w:sz w:val="18"/>
                  <w:szCs w:val="18"/>
                  <w:color w:val="0000FF"/>
                  <w:w w:val="96"/>
                </w:rPr>
                <w:t>OTHER INFORMATION</w:t>
              </w:r>
            </w:hyperlink>
          </w:p>
        </w:tc>
        <w:tc>
          <w:tcPr>
            <w:tcW w:w="74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4"/>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Unregistered Sales of Equity Securities and Use of Proceeds</w:t>
              </w:r>
            </w:hyperlink>
          </w:p>
        </w:tc>
        <w:tc>
          <w:tcPr>
            <w:tcW w:w="49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69">
              <w:r>
                <w:rPr>
                  <w:rFonts w:ascii="Arial" w:cs="Arial" w:eastAsia="Arial" w:hAnsi="Arial"/>
                  <w:sz w:val="18"/>
                  <w:szCs w:val="18"/>
                  <w:color w:val="0000FF"/>
                  <w:w w:val="90"/>
                </w:rPr>
                <w:t>Defaults Upon Senior Securities</w:t>
              </w:r>
            </w:hyperlink>
          </w:p>
        </w:tc>
        <w:tc>
          <w:tcPr>
            <w:tcW w:w="69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Mine Safety Disclosures</w:t>
              </w:r>
            </w:hyperlink>
          </w:p>
        </w:tc>
        <w:tc>
          <w:tcPr>
            <w:tcW w:w="752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24"/>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5"/>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Exhibits</w:t>
              </w:r>
            </w:hyperlink>
          </w:p>
        </w:tc>
        <w:tc>
          <w:tcPr>
            <w:tcW w:w="798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rFonts w:ascii="Arial" w:cs="Arial" w:eastAsia="Arial" w:hAnsi="Arial"/>
                <w:sz w:val="18"/>
                <w:szCs w:val="18"/>
                <w:color w:val="0000FF"/>
                <w:w w:val="95"/>
              </w:rPr>
            </w:pPr>
            <w:hyperlink w:anchor="page71">
              <w:r>
                <w:rPr>
                  <w:rFonts w:ascii="Arial" w:cs="Arial" w:eastAsia="Arial" w:hAnsi="Arial"/>
                  <w:sz w:val="18"/>
                  <w:szCs w:val="18"/>
                  <w:color w:val="0000FF"/>
                  <w:w w:val="95"/>
                </w:rPr>
                <w:t>SIGNATURES</w:t>
              </w:r>
            </w:hyperlink>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797"/>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7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221,199</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238,605</w:t>
            </w:r>
          </w:p>
        </w:tc>
        <w:tc>
          <w:tcPr>
            <w:tcW w:w="100" w:type="dxa"/>
            <w:vAlign w:val="bottom"/>
            <w:shd w:val="clear" w:color="auto" w:fill="CFF0FC"/>
          </w:tcPr>
          <w:p>
            <w:pPr>
              <w:spacing w:after="0"/>
              <w:rPr>
                <w:sz w:val="21"/>
                <w:szCs w:val="2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224,582</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240,681</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229,087</w:t>
            </w:r>
          </w:p>
        </w:tc>
        <w:tc>
          <w:tcPr>
            <w:tcW w:w="3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244,937</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10,331</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12,068</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Current portion of deferred rent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Current portion of deferred revenue</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19,806</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32,261</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accrued interest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Deferred rent, less current portion</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debt</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33,171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34,963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5)</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200,000,000 shares authorized at March</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31, 2021 and December 31, 2020 and 2019; 0 shares issued and outstanding</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at March 31, 2021 and December 31, 2020</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$0.0001 par value; 350,000,000 shares authorized at March 31, 2021</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400"/>
              <w:spacing w:after="0"/>
              <w:rPr>
                <w:sz w:val="20"/>
                <w:szCs w:val="20"/>
                <w:color w:val="auto"/>
              </w:rPr>
            </w:pPr>
            <w:r>
              <w:rPr>
                <w:rFonts w:ascii="Arial" w:cs="Arial" w:eastAsia="Arial" w:hAnsi="Arial"/>
                <w:sz w:val="18"/>
                <w:szCs w:val="18"/>
                <w:color w:val="auto"/>
              </w:rPr>
              <w:t>and December 31, 2020; 32,171,560 shares issued and outstanding at</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20" w:type="dxa"/>
            <w:vAlign w:val="bottom"/>
          </w:tcPr>
          <w:p>
            <w:pPr>
              <w:ind w:left="400"/>
              <w:spacing w:after="0"/>
              <w:rPr>
                <w:sz w:val="20"/>
                <w:szCs w:val="20"/>
                <w:color w:val="auto"/>
              </w:rPr>
            </w:pPr>
            <w:r>
              <w:rPr>
                <w:rFonts w:ascii="Arial" w:cs="Arial" w:eastAsia="Arial" w:hAnsi="Arial"/>
                <w:sz w:val="18"/>
                <w:szCs w:val="18"/>
                <w:color w:val="auto"/>
              </w:rPr>
              <w:t>March 31, 2021 and December 31, 2020</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22"/>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B common stock, $0.0001 par value; 15,368,569 shares authorized at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March 31, 2021 and December 31, 2020; 1,492,059 shares issued and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outstanding at March 31, 2021 and December 31, 2020</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305,531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300,888</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(109,618 )</w:t>
            </w: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(90,917 )</w:t>
            </w:r>
          </w:p>
        </w:tc>
      </w:tr>
      <w:tr>
        <w:trPr>
          <w:trHeight w:val="223"/>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195,916</w:t>
            </w:r>
          </w:p>
        </w:tc>
        <w:tc>
          <w:tcPr>
            <w:tcW w:w="32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209,974</w:t>
            </w:r>
          </w:p>
        </w:tc>
        <w:tc>
          <w:tcPr>
            <w:tcW w:w="100" w:type="dxa"/>
            <w:vAlign w:val="bottom"/>
            <w:tcBorders>
              <w:top w:val="single" w:sz="8" w:color="CFF0FC"/>
            </w:tcBorders>
          </w:tcPr>
          <w:p>
            <w:pPr>
              <w:spacing w:after="0"/>
              <w:rPr>
                <w:sz w:val="19"/>
                <w:szCs w:val="19"/>
                <w:color w:val="auto"/>
              </w:rPr>
            </w:pPr>
          </w:p>
        </w:tc>
      </w:tr>
      <w:tr>
        <w:trPr>
          <w:trHeight w:val="27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229,087</w:t>
            </w:r>
          </w:p>
        </w:tc>
        <w:tc>
          <w:tcPr>
            <w:tcW w:w="3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244,937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-3962400</wp:posOffset>
            </wp:positionV>
            <wp:extent cx="196850" cy="4763"/>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-3962400</wp:posOffset>
            </wp:positionV>
            <wp:extent cx="68580" cy="4763"/>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-3011170</wp:posOffset>
            </wp:positionV>
            <wp:extent cx="196850" cy="4763"/>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-3011170</wp:posOffset>
            </wp:positionV>
            <wp:extent cx="68580" cy="4763"/>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-2393950</wp:posOffset>
            </wp:positionV>
            <wp:extent cx="196850" cy="4763"/>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-2393950</wp:posOffset>
            </wp:positionV>
            <wp:extent cx="68580" cy="4763"/>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-336550</wp:posOffset>
            </wp:positionV>
            <wp:extent cx="196850" cy="4763"/>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-336550</wp:posOffset>
            </wp:positionV>
            <wp:extent cx="68580" cy="4763"/>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968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1968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77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10,423</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FF0FC"/>
          </w:tcPr>
          <w:p>
            <w:pPr>
              <w:spacing w:after="0"/>
              <w:rPr>
                <w:sz w:val="21"/>
                <w:szCs w:val="2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(463 )</w:t>
            </w: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18,797</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20"/>
                <w:szCs w:val="20"/>
                <w:color w:val="auto"/>
              </w:rPr>
            </w:pP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(18,797 )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(1,109 )</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(includes related party amounts of $0 and $59, respectively)</w:t>
            </w:r>
          </w:p>
        </w:tc>
        <w:tc>
          <w:tcPr>
            <w:tcW w:w="3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(2 )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(547 )</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liability</w:t>
            </w:r>
          </w:p>
        </w:tc>
        <w:tc>
          <w:tcPr>
            <w:tcW w:w="360" w:type="dxa"/>
            <w:vAlign w:val="bottom"/>
          </w:tcPr>
          <w:p>
            <w:pPr>
              <w:spacing w:after="0"/>
              <w:rPr>
                <w:sz w:val="19"/>
                <w:szCs w:val="19"/>
                <w:color w:val="auto"/>
              </w:rPr>
            </w:pPr>
          </w:p>
        </w:tc>
        <w:tc>
          <w:tcPr>
            <w:tcW w:w="1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Consolidated net loss and comprehensive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(18,701 )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(1,604 )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772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18"/>
                <w:szCs w:val="18"/>
                <w:color w:val="auto"/>
              </w:rPr>
              <w:t xml:space="preserve">Net loss per common share, basic and diluted </w:t>
            </w:r>
            <w:r>
              <w:rPr>
                <w:rFonts w:ascii="Arial" w:cs="Arial" w:eastAsia="Arial" w:hAnsi="Arial"/>
                <w:sz w:val="24"/>
                <w:szCs w:val="24"/>
                <w:color w:val="auto"/>
                <w:vertAlign w:val="superscript"/>
              </w:rPr>
              <w:t>(1)</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r>
      <w:tr>
        <w:trPr>
          <w:trHeight w:val="223"/>
        </w:trPr>
        <w:tc>
          <w:tcPr>
            <w:tcW w:w="7720" w:type="dxa"/>
            <w:vAlign w:val="bottom"/>
          </w:tcPr>
          <w:p>
            <w:pPr>
              <w:ind w:left="20"/>
              <w:spacing w:after="0" w:line="224" w:lineRule="exact"/>
              <w:rPr>
                <w:sz w:val="20"/>
                <w:szCs w:val="20"/>
                <w:color w:val="auto"/>
              </w:rPr>
            </w:pPr>
            <w:r>
              <w:rPr>
                <w:rFonts w:ascii="Arial" w:cs="Arial" w:eastAsia="Arial" w:hAnsi="Arial"/>
                <w:sz w:val="18"/>
                <w:szCs w:val="18"/>
                <w:color w:val="auto"/>
              </w:rPr>
              <w:t xml:space="preserve">Weighted-average shares of common stock outstanding, basic and diluted </w:t>
            </w:r>
            <w:r>
              <w:rPr>
                <w:rFonts w:ascii="Arial" w:cs="Arial" w:eastAsia="Arial" w:hAnsi="Arial"/>
                <w:sz w:val="24"/>
                <w:szCs w:val="24"/>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33,663,619</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-1468120</wp:posOffset>
            </wp:positionV>
            <wp:extent cx="196850" cy="4763"/>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-1468120</wp:posOffset>
            </wp:positionV>
            <wp:extent cx="68580" cy="4763"/>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-542290</wp:posOffset>
            </wp:positionV>
            <wp:extent cx="196850" cy="4763"/>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-542290</wp:posOffset>
            </wp:positionV>
            <wp:extent cx="68580" cy="4763"/>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-205105</wp:posOffset>
            </wp:positionV>
            <wp:extent cx="1968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1968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86" w:lineRule="exact"/>
        <w:rPr>
          <w:sz w:val="20"/>
          <w:szCs w:val="20"/>
          <w:color w:val="auto"/>
        </w:rPr>
      </w:pPr>
    </w:p>
    <w:p>
      <w:pPr>
        <w:ind w:left="200" w:right="580" w:hanging="192"/>
        <w:spacing w:after="0" w:line="261" w:lineRule="auto"/>
        <w:tabs>
          <w:tab w:leader="none" w:pos="172"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For the three months ended March 31, 2020, the Company determined that the attribution of pre-Corporate Reorganization net losses based on the post-Corporate Reorganization capital structure would not meaningfully represent the economic rights of the unit holders. As a result, the Company presents net loss per share information only for the period subsequent to the Corporate Reorganization. (see Note 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Class B</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000" w:type="dxa"/>
            <w:vAlign w:val="bottom"/>
            <w:gridSpan w:val="4"/>
            <w:vMerge w:val="restart"/>
          </w:tcPr>
          <w:p>
            <w:pPr>
              <w:jc w:val="right"/>
              <w:ind w:right="43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00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880" w:type="dxa"/>
            <w:vAlign w:val="bottom"/>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9"/>
                <w:szCs w:val="19"/>
                <w:color w:val="auto"/>
              </w:rPr>
            </w:pPr>
          </w:p>
        </w:tc>
        <w:tc>
          <w:tcPr>
            <w:tcW w:w="880" w:type="dxa"/>
            <w:vAlign w:val="bottom"/>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9"/>
                <w:szCs w:val="19"/>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32,171,56</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1,492,059</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300,888</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(90,917 )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(18,701 )</w:t>
            </w: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(18,701 )</w:t>
            </w:r>
          </w:p>
        </w:tc>
        <w:tc>
          <w:tcPr>
            <w:tcW w:w="0" w:type="dxa"/>
            <w:vAlign w:val="bottom"/>
          </w:tcPr>
          <w:p>
            <w:pPr>
              <w:spacing w:after="0"/>
              <w:rPr>
                <w:sz w:val="1"/>
                <w:szCs w:val="1"/>
                <w:color w:val="auto"/>
              </w:rPr>
            </w:pPr>
          </w:p>
        </w:tc>
      </w:tr>
      <w:tr>
        <w:trPr>
          <w:trHeight w:val="209"/>
        </w:trPr>
        <w:tc>
          <w:tcPr>
            <w:tcW w:w="3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March 31, 2021</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32,171,56</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1,492,059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305,531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(109,618 )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195,916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-319405</wp:posOffset>
            </wp:positionV>
            <wp:extent cx="145415" cy="4763"/>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5415" cy="4763"/>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-319405</wp:posOffset>
            </wp:positionV>
            <wp:extent cx="146050" cy="4763"/>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4763"/>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-319405</wp:posOffset>
            </wp:positionV>
            <wp:extent cx="128905" cy="4763"/>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4763"/>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-319405</wp:posOffset>
            </wp:positionV>
            <wp:extent cx="128905" cy="4763"/>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4763"/>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-319405</wp:posOffset>
            </wp:positionV>
            <wp:extent cx="128905" cy="4763"/>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4763"/>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-319405</wp:posOffset>
            </wp:positionV>
            <wp:extent cx="128905" cy="4763"/>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-319405</wp:posOffset>
            </wp:positionV>
            <wp:extent cx="68580" cy="4763"/>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4763"/>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7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w w:val="94"/>
              </w:rPr>
              <w:t>(18,701 )</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(1,604 )</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derivative liability</w:t>
            </w:r>
          </w:p>
        </w:tc>
        <w:tc>
          <w:tcPr>
            <w:tcW w:w="9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(47 )</w:t>
            </w: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Change in fair value of profits interest liability</w:t>
            </w:r>
          </w:p>
        </w:tc>
        <w:tc>
          <w:tcPr>
            <w:tcW w:w="94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(5,703 )</w:t>
            </w: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Non-cash interest</w:t>
            </w:r>
          </w:p>
        </w:tc>
        <w:tc>
          <w:tcPr>
            <w:tcW w:w="94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w:t>
            </w:r>
          </w:p>
        </w:tc>
        <w:tc>
          <w:tcPr>
            <w:tcW w:w="9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(56 )</w:t>
            </w:r>
          </w:p>
        </w:tc>
        <w:tc>
          <w:tcPr>
            <w:tcW w:w="9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(27 )</w:t>
            </w: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(1,307 )</w:t>
            </w: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52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Accrued interest</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FF0FC"/>
          </w:tcPr>
          <w:p>
            <w:pPr>
              <w:spacing w:after="0"/>
              <w:rPr>
                <w:sz w:val="21"/>
                <w:szCs w:val="21"/>
                <w:color w:val="auto"/>
              </w:rPr>
            </w:pP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9"/>
                <w:szCs w:val="19"/>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(89 )</w:t>
            </w: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(14,994</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(501 )</w:t>
            </w:r>
          </w:p>
        </w:tc>
        <w:tc>
          <w:tcPr>
            <w:tcW w:w="98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77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20"/>
                <w:szCs w:val="20"/>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(501 )</w:t>
            </w:r>
          </w:p>
        </w:tc>
        <w:tc>
          <w:tcPr>
            <w:tcW w:w="9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issuance of convertible debt</w:t>
            </w:r>
          </w:p>
        </w:tc>
        <w:tc>
          <w:tcPr>
            <w:tcW w:w="94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initial public offering costs</w:t>
            </w:r>
          </w:p>
        </w:tc>
        <w:tc>
          <w:tcPr>
            <w:tcW w:w="9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(1,911 )</w:t>
            </w:r>
          </w:p>
        </w:tc>
        <w:tc>
          <w:tcPr>
            <w:tcW w:w="98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77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Pr>
          <w:p>
            <w:pPr>
              <w:spacing w:after="0"/>
              <w:rPr>
                <w:sz w:val="19"/>
                <w:szCs w:val="19"/>
                <w:color w:val="auto"/>
              </w:rPr>
            </w:pP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(1,911 )</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(17,406</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238,605</w:t>
            </w:r>
          </w:p>
        </w:tc>
        <w:tc>
          <w:tcPr>
            <w:tcW w:w="3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100" w:type="dxa"/>
            <w:vAlign w:val="bottom"/>
          </w:tcPr>
          <w:p>
            <w:pPr>
              <w:spacing w:after="0"/>
              <w:rPr>
                <w:sz w:val="19"/>
                <w:szCs w:val="19"/>
                <w:color w:val="auto"/>
              </w:rPr>
            </w:pPr>
          </w:p>
        </w:tc>
      </w:tr>
      <w:tr>
        <w:trPr>
          <w:trHeight w:val="27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221,199</w:t>
            </w:r>
          </w:p>
        </w:tc>
        <w:tc>
          <w:tcPr>
            <w:tcW w:w="32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5"/>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additions included in accounts payable and accrued expenses</w:t>
            </w: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-1596390</wp:posOffset>
            </wp:positionV>
            <wp:extent cx="196850" cy="4763"/>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-1596390</wp:posOffset>
            </wp:positionV>
            <wp:extent cx="68580" cy="4763"/>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-979170</wp:posOffset>
            </wp:positionV>
            <wp:extent cx="196850" cy="4763"/>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6850" cy="4763"/>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-979170</wp:posOffset>
            </wp:positionV>
            <wp:extent cx="68580" cy="4763"/>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4763"/>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-359410</wp:posOffset>
            </wp:positionV>
            <wp:extent cx="1968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-342265</wp:posOffset>
            </wp:positionV>
            <wp:extent cx="1968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968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1968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BioAtla, LLC was formed in Delaware in March 2007 and converted to a Delaware corporation in July 2020 as part of the Corporate Reorganization defined and described below, and was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its two lead CAB antibody drug conjugates (“CAB ADC”) targeting AXL and ROR2 receptors.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Reorganization and Series D Financing</w:t>
      </w:r>
    </w:p>
    <w:p>
      <w:pPr>
        <w:spacing w:after="0" w:line="117"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In July 2020, BioAtla, LLC completed a series of transactions (the “Corporate Reorganization”) in connection with the conversion from a limited liability company into a Delaware corporation, the spin-off of Himalaya Therapeutics SEZC, and the completion of a Series D convertible preferred stock financing. The Corporate Reorganization involved the formation of Himalaya Parent LLC as a wholly owned subsidiary of BioAtla, LLC and the formation of BioAtla MergerSub LLC, as a wholly owned subsidiary of Himalaya Parent LLC. Under the Agreement and Plan of Merger (the “Merger Agreement”), BioAtla, LLC was merged into and with BioAtla MergerSub LLC, with BioAtla, LLC surviving, and the members of BioAtla, LLC immediately prior to the effective time of the Merger Agreement received membership interests, on a one-for-one basis, of Himalaya Parent LLC as consideration, and the then-outstanding warrants to purchase equity of BioAtla, LLC were converted into warrants to purchase common shares of common stock of BioAtla, Inc. (see Note 6). The Himalaya Parent LLC operating agreement provided identical equity rights for the then outstanding units of BioAtla, LLC. In addition: (i) the membership interests of BioAtla, LLC held by Himalaya Parent LLC were exchanged for 6,220,050 shares of BioAtla, Inc. common stock, (ii) BioAtla, Inc. issued an aggregate of 59,164,808 shares of Series D convertible preferred stock to Himalaya Parent LLC and Himalaya Parent LLC issued an aggregate of 59,164,808 Class D units to the holders of convertible notes of BioAtla, LLC in connection with the conversion of their convertible notes into Class D units of Himalaya Parent LLC (see Note 4), (iii) BioAtla, LLC distributed to Himalaya Parent LLC its equity interests in Himalaya Therapeutics SEZC, a majority-owned subsidiary which is engaged in the development of a set of antibodies in the field of oncology primarily in Greater China,</w:t>
      </w:r>
    </w:p>
    <w:p>
      <w:pPr>
        <w:spacing w:after="0" w:line="2" w:lineRule="exact"/>
        <w:rPr>
          <w:sz w:val="20"/>
          <w:szCs w:val="20"/>
          <w:color w:val="auto"/>
        </w:rPr>
      </w:pPr>
    </w:p>
    <w:p>
      <w:pPr>
        <w:ind w:firstLine="8"/>
        <w:spacing w:after="0" w:line="252"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Himalaya Parent LLC assumed the profits interest liability of BioAtla, LLC (see Note 7) and (v) BioAtla, LLC converted into a Delaware corporation pursuant to a statutory conversion and changed its name to BioAtla, Inc. Following the Corporate Reorganization, Himalaya Parent LLC owned 59,164,808 shares of BioAtla, Inc. Series D convertible preferred stock and 6,220,050 shares of BioAtla, Inc. common stock. As a result of the subsequent sale of 140,626,711 shares of Series D convertible preferred stock to new investors in July 2020 (see Note 6), BioAtla, Inc. is not controlled by Himalaya Parent LLC (see further discussion in “Principles of consolidation and deconsolidation” below). All pre-Corporate Reorganization operations, employees, property, assets and obligations of BioAtla, LLC (exclusive of the profits interest liability and Himalaya Therapeutics SEZC now held by Himalaya Parent LLC) are held by BioAtla, Inc.</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Deconsolidation</w:t>
      </w:r>
    </w:p>
    <w:p>
      <w:pPr>
        <w:spacing w:after="0" w:line="117"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Prior to the Corporate Reorganization in July 2020, the consolidated financial statements included the accounts of BioAtla, LLC and those of its majority owned subsidiary Himalaya Therapeutics SEZC that had no material operations. Himalaya Therapeutics SEZC also had a wholly owned subsidiary, Himalaya Therapeutics HK Limited that had no material operations. All intercompany balances were eliminated in consolidation. In connection with the Corporate Reorganization, Himalaya Therapeutics SEZC and Himalaya Therapeutics HK Limited were deconsolidated without material impact to the consolidated financial statements. Subsequent to the Corporate Reorganization, Himalaya Parent LLC does not control, is not under common control with, and is not consolidated by BioAtla, Inc. (see Note 9) and BioAtla, Inc. is a single legal entity with no consolidated variable interest entities ("VIEs") or subsidiaries.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The Company has incurred cumulative operating losses and negative cash flows from operations since its inception and expects to continue to incur significant expenses and operating losses for the foreseeable future as it continues the development of its product candidates. As of March 31, 2021, the Company had an accumulated deficit of $109.6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ind w:right="240" w:firstLine="441"/>
        <w:spacing w:after="0" w:line="273" w:lineRule="auto"/>
        <w:rPr>
          <w:sz w:val="20"/>
          <w:szCs w:val="20"/>
          <w:color w:val="auto"/>
        </w:rPr>
      </w:pPr>
      <w:r>
        <w:rPr>
          <w:rFonts w:ascii="Arial" w:cs="Arial" w:eastAsia="Arial" w:hAnsi="Arial"/>
          <w:sz w:val="17"/>
          <w:szCs w:val="17"/>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as its current cash and cash equivalents will be sufficient to fund the Company’s operations for a period of at least one year from the issuance date of these unaudited condensed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The unaudited condensed consolidated financial statements as of March 31, 2021, and for the three months ended March 31, 2021 and 2020, have been prepared in accordance with the rules and regulations of the Securities and Exchange Commission (“SEC”), and with accounting principles generally accepted in the United States (“GAAP”) applicable to interim financial statements. These unaudited condensed consolidated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consolidated financial statements should be read in conjunction with the Company’s audited financial statements for the year ended December 31, 2020, included in its Annual Report on Form 10-K filed with the SEC on March 24,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The preparation of the Company’s consolidated financial statements requires it to make estimates and assumptions that impact the reported amounts of assets, liabilities, revenues and expenses and the disclosure of contingent assets and liabilities in the Company’s consolidated financial statements and accompanying notes. The most significant estimates in the Company’s consolidated financial statements relate to revenue recognition, accruals for research and development costs, equity-based compensation and fair value measurements.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0" w:firstLine="441"/>
        <w:spacing w:after="0" w:line="286" w:lineRule="auto"/>
        <w:rPr>
          <w:sz w:val="20"/>
          <w:szCs w:val="20"/>
          <w:color w:val="auto"/>
        </w:rPr>
      </w:pPr>
      <w:r>
        <w:rPr>
          <w:rFonts w:ascii="Arial" w:cs="Arial" w:eastAsia="Arial" w:hAnsi="Arial"/>
          <w:sz w:val="17"/>
          <w:szCs w:val="17"/>
          <w:color w:val="auto"/>
        </w:rPr>
        <w:t>In March 2021, the American Rescue Plan (H.R. 1319) was signed into law. This legislation extends and enhances a number of current-law tax incentives for businesses, but also expands the definition of a “covered employee” as defined by Section 162(m)(1) of the Internal Revenue Code. The corporate tax provisions included within the bill are not expected to have a material impact on the Company.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initial public offering (“IPO”) in December 2020,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w:t>
      </w:r>
    </w:p>
    <w:p>
      <w:pPr>
        <w:spacing w:after="0" w:line="2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owner sources. There have been no items qualifying as other comprehensive loss and, therefore, for all periods presented, the Company’s comprehensive loss was the same as its reported net loss.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60" w:firstLine="441"/>
        <w:spacing w:after="0" w:line="301" w:lineRule="auto"/>
        <w:rPr>
          <w:sz w:val="20"/>
          <w:szCs w:val="20"/>
          <w:color w:val="auto"/>
        </w:rPr>
      </w:pPr>
      <w:r>
        <w:rPr>
          <w:rFonts w:ascii="Arial" w:cs="Arial" w:eastAsia="Arial" w:hAnsi="Arial"/>
          <w:sz w:val="16"/>
          <w:szCs w:val="16"/>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common stock warrants, RSUs, and common stock options outstanding under the Company’s stock option plan.</w:t>
      </w:r>
    </w:p>
    <w:p>
      <w:pPr>
        <w:spacing w:after="0" w:line="157"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For the three months ended March 31, 2020, the Company determined that the attribution of pre-Corporate Reorganization net loss based on the post-Corporate Reorganization capital structure would not meaningfully represent the economic rights of the unit holders. As a result, the Company presents net loss per share information only for the period subsequent to the Corporate Reorganization.</w:t>
      </w:r>
    </w:p>
    <w:p>
      <w:pPr>
        <w:spacing w:after="0" w:line="184"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equivalents):</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Pr>
          <w:p>
            <w:pPr>
              <w:spacing w:after="0"/>
              <w:rPr>
                <w:sz w:val="14"/>
                <w:szCs w:val="14"/>
                <w:color w:val="auto"/>
              </w:rPr>
            </w:pPr>
          </w:p>
        </w:tc>
      </w:tr>
      <w:tr>
        <w:trPr>
          <w:trHeight w:val="237"/>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717,674</w:t>
            </w:r>
          </w:p>
        </w:tc>
        <w:tc>
          <w:tcPr>
            <w:tcW w:w="60" w:type="dxa"/>
            <w:vAlign w:val="bottom"/>
            <w:shd w:val="clear" w:color="auto" w:fill="CFF0FC"/>
          </w:tcPr>
          <w:p>
            <w:pPr>
              <w:spacing w:after="0"/>
              <w:rPr>
                <w:sz w:val="20"/>
                <w:szCs w:val="20"/>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Common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641,106</w:t>
            </w:r>
          </w:p>
        </w:tc>
        <w:tc>
          <w:tcPr>
            <w:tcW w:w="60" w:type="dxa"/>
            <w:vAlign w:val="bottom"/>
          </w:tcPr>
          <w:p>
            <w:pPr>
              <w:spacing w:after="0"/>
              <w:rPr>
                <w:sz w:val="20"/>
                <w:szCs w:val="20"/>
                <w:color w:val="auto"/>
              </w:rPr>
            </w:pPr>
          </w:p>
        </w:tc>
      </w:tr>
      <w:tr>
        <w:trPr>
          <w:trHeight w:val="24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1,920,037</w:t>
            </w:r>
          </w:p>
        </w:tc>
        <w:tc>
          <w:tcPr>
            <w:tcW w:w="60" w:type="dxa"/>
            <w:vAlign w:val="bottom"/>
            <w:shd w:val="clear" w:color="auto" w:fill="CFF0FC"/>
          </w:tcPr>
          <w:p>
            <w:pPr>
              <w:spacing w:after="0"/>
              <w:rPr>
                <w:sz w:val="21"/>
                <w:szCs w:val="2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ESPP shares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60" w:type="dxa"/>
            <w:vAlign w:val="bottom"/>
          </w:tcPr>
          <w:p>
            <w:pPr>
              <w:spacing w:after="0"/>
              <w:rPr>
                <w:sz w:val="19"/>
                <w:szCs w:val="19"/>
                <w:color w:val="auto"/>
              </w:rPr>
            </w:pPr>
          </w:p>
        </w:tc>
      </w:tr>
      <w:tr>
        <w:trPr>
          <w:trHeight w:val="270"/>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3,280,329</w:t>
            </w:r>
          </w:p>
        </w:tc>
        <w:tc>
          <w:tcPr>
            <w:tcW w:w="6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 xml:space="preserve">In February 2016, the Financial Accounting Standards Board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The new standard establishes a right-of-use model and requires a lessee to recognize on the balance sheet a right-of-use asset and corresponding lease liability for all leases with terms longer than 12 months. Leases will be classified as either finance or operating, with classification affecting the pattern of expense recognition in the income statement. ASU No. 2016-02 is effective for annual periods beginning after December 15, 2021, and interim periods within fiscal years beginning after December 15, 2022 and early adoption is permitted. While management is currently assessing the impact this new standard will have, the expected primary impact to its consolidated financial position upon adoption will be the recognition, on a discounted basis, of its minimum commitments under noncancelable operating leases on its consolidated balance sheets resulting in the recording of right of use assets and lease liabilities. The Company’s current minimum commitments under its noncancelable operating leases are disclosed in Note 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w:t>
            </w:r>
          </w:p>
        </w:tc>
        <w:tc>
          <w:tcPr>
            <w:tcW w:w="19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Prepaid insurance</w:t>
            </w: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Other prepaid expenses and current assets</w:t>
            </w:r>
          </w:p>
        </w:tc>
        <w:tc>
          <w:tcPr>
            <w:tcW w:w="19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3,383</w:t>
            </w:r>
          </w:p>
        </w:tc>
        <w:tc>
          <w:tcPr>
            <w:tcW w:w="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2,076</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40" w:type="dxa"/>
            <w:vAlign w:val="bottom"/>
            <w:vMerge w:val="restart"/>
          </w:tcPr>
          <w:p>
            <w:pPr>
              <w:jc w:val="right"/>
              <w:ind w:right="1350"/>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346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-525145</wp:posOffset>
            </wp:positionV>
            <wp:extent cx="137160" cy="4763"/>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4763"/>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-525145</wp:posOffset>
            </wp:positionV>
            <wp:extent cx="43180" cy="4763"/>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80" cy="4763"/>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1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Useful life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4"/>
                <w:szCs w:val="14"/>
                <w:color w:val="auto"/>
              </w:rPr>
            </w:pPr>
          </w:p>
        </w:tc>
        <w:tc>
          <w:tcPr>
            <w:tcW w:w="11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(years)</w:t>
            </w:r>
          </w:p>
        </w:tc>
        <w:tc>
          <w:tcPr>
            <w:tcW w:w="11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880" w:type="dxa"/>
            <w:vAlign w:val="bottom"/>
            <w:tcBorders>
              <w:top w:val="single" w:sz="8" w:color="auto"/>
            </w:tcBorders>
            <w:gridSpan w:val="2"/>
            <w:shd w:val="clear" w:color="auto" w:fill="CFF0FC"/>
          </w:tcPr>
          <w:p>
            <w:pPr>
              <w:jc w:val="center"/>
              <w:ind w:left="156"/>
              <w:spacing w:after="0"/>
              <w:rPr>
                <w:sz w:val="20"/>
                <w:szCs w:val="20"/>
                <w:color w:val="auto"/>
              </w:rPr>
            </w:pPr>
            <w:r>
              <w:rPr>
                <w:rFonts w:ascii="Arial" w:cs="Arial" w:eastAsia="Arial" w:hAnsi="Arial"/>
                <w:sz w:val="18"/>
                <w:szCs w:val="18"/>
                <w:color w:val="auto"/>
                <w:w w:val="88"/>
              </w:rPr>
              <w:t>3 - 7</w:t>
            </w:r>
          </w:p>
        </w:tc>
        <w:tc>
          <w:tcPr>
            <w:tcW w:w="2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ind w:right="295"/>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1,870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660" w:type="dxa"/>
            <w:vAlign w:val="bottom"/>
          </w:tcPr>
          <w:p>
            <w:pPr>
              <w:jc w:val="center"/>
              <w:ind w:left="376"/>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2,173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53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880" w:type="dxa"/>
            <w:vAlign w:val="bottom"/>
            <w:tcBorders>
              <w:bottom w:val="single" w:sz="8" w:color="CFF0FC"/>
            </w:tcBorders>
            <w:gridSpan w:val="2"/>
            <w:shd w:val="clear" w:color="auto" w:fill="CFF0FC"/>
          </w:tcPr>
          <w:p>
            <w:pPr>
              <w:jc w:val="center"/>
              <w:ind w:left="156"/>
              <w:spacing w:after="0"/>
              <w:rPr>
                <w:sz w:val="20"/>
                <w:szCs w:val="20"/>
                <w:color w:val="auto"/>
              </w:rPr>
            </w:pPr>
            <w:r>
              <w:rPr>
                <w:rFonts w:ascii="Arial" w:cs="Arial" w:eastAsia="Arial" w:hAnsi="Arial"/>
                <w:sz w:val="18"/>
                <w:szCs w:val="18"/>
                <w:color w:val="auto"/>
                <w:w w:val="88"/>
              </w:rPr>
              <w:t>2 - 3</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3,687</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3,663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7,172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w w:val="96"/>
              </w:rPr>
              <w:t>(3,379 )</w:t>
            </w:r>
          </w:p>
        </w:tc>
        <w:tc>
          <w:tcPr>
            <w:tcW w:w="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6"/>
              </w:rPr>
              <w:t>(3,070 )</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30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400" w:type="dxa"/>
            <w:vAlign w:val="bottom"/>
            <w:tcBorders>
              <w:top w:val="single" w:sz="8" w:color="CFF0FC"/>
            </w:tcBorders>
            <w:gridSpan w:val="2"/>
          </w:tcPr>
          <w:p>
            <w:pPr>
              <w:spacing w:after="0"/>
              <w:rPr>
                <w:sz w:val="20"/>
                <w:szCs w:val="20"/>
                <w:color w:val="auto"/>
              </w:rPr>
            </w:pP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4,351</w:t>
            </w:r>
          </w:p>
        </w:tc>
        <w:tc>
          <w:tcPr>
            <w:tcW w:w="14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4,102</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w w:val="93"/>
              </w:rPr>
              <w:t>Accounts payable and accrued expenses consist of the following (in thousands):</w:t>
            </w: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0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24"/>
                <w:szCs w:val="24"/>
                <w:color w:val="auto"/>
              </w:rPr>
            </w:pPr>
          </w:p>
        </w:tc>
        <w:tc>
          <w:tcPr>
            <w:tcW w:w="106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260" w:type="dxa"/>
            <w:vAlign w:val="bottom"/>
            <w:gridSpan w:val="5"/>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2,456</w:t>
            </w: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compensation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2,804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5,921</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4,852</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equity issuance costs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6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80" w:type="dxa"/>
            <w:vAlign w:val="bottom"/>
            <w:tcBorders>
              <w:bottom w:val="single" w:sz="8" w:color="CFF0FC"/>
            </w:tcBorders>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10,331</w:t>
            </w:r>
          </w:p>
        </w:tc>
        <w:tc>
          <w:tcPr>
            <w:tcW w:w="20" w:type="dxa"/>
            <w:vAlign w:val="bottom"/>
          </w:tcPr>
          <w:p>
            <w:pPr>
              <w:spacing w:after="0"/>
              <w:rPr>
                <w:sz w:val="20"/>
                <w:szCs w:val="20"/>
                <w:color w:val="auto"/>
              </w:rPr>
            </w:pPr>
          </w:p>
        </w:tc>
        <w:tc>
          <w:tcPr>
            <w:tcW w:w="56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12,068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-2076450</wp:posOffset>
            </wp:positionV>
            <wp:extent cx="137160" cy="4763"/>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4763"/>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-2076450</wp:posOffset>
            </wp:positionV>
            <wp:extent cx="51435" cy="4763"/>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4763"/>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-1767840</wp:posOffset>
            </wp:positionV>
            <wp:extent cx="137160" cy="4763"/>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4763"/>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-1767840</wp:posOffset>
            </wp:positionV>
            <wp:extent cx="51435" cy="4763"/>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4763"/>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-182245</wp:posOffset>
            </wp:positionV>
            <wp:extent cx="137160" cy="4763"/>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4763"/>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-182245</wp:posOffset>
            </wp:positionV>
            <wp:extent cx="43180" cy="4763"/>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4763"/>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The carrying amounts of the Company’s current financial assets and current financial liabilities are considered to be representative of their respective fair values because of the short-term nature of those instruments. As of March 31, 2021 and December 31, 2020, the Company had no financial assets or liabilities measured at fair value on a recurring basis.</w:t>
      </w:r>
    </w:p>
    <w:p>
      <w:pPr>
        <w:spacing w:after="0" w:line="184"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237"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None of the Company’s non-financial assets and liabilities are recorded at fair value on a non-recurring basis. No transfers between levels have occurred during the periods presented.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Convertible and Other Debt</w:t>
      </w:r>
    </w:p>
    <w:p>
      <w:pPr>
        <w:spacing w:after="0" w:line="121" w:lineRule="exact"/>
        <w:rPr>
          <w:sz w:val="20"/>
          <w:szCs w:val="20"/>
          <w:color w:val="auto"/>
        </w:rPr>
      </w:pPr>
    </w:p>
    <w:p>
      <w:pPr>
        <w:ind w:right="160" w:firstLine="441"/>
        <w:spacing w:after="0" w:line="296" w:lineRule="auto"/>
        <w:rPr>
          <w:sz w:val="20"/>
          <w:szCs w:val="20"/>
          <w:color w:val="auto"/>
        </w:rPr>
      </w:pPr>
      <w:r>
        <w:rPr>
          <w:rFonts w:ascii="Arial" w:cs="Arial" w:eastAsia="Arial" w:hAnsi="Arial"/>
          <w:sz w:val="16"/>
          <w:szCs w:val="16"/>
          <w:color w:val="auto"/>
        </w:rPr>
        <w:t>The Company issued convertible promissory notes between December 2015 and May 2020 totaling $21.8 million, of which $2.0 million was with related parties. The convertible promissory notes accrued interest at 8% per annum with maturity dates of five years after issuance. The convertible promissory notes were settled in connection with the Company’s Series D financing in July 2020. As of March 31, 2021, the Company has $0.7 million outstanding under a promissory note issued pursuant to the Paycheck Protection Program (“PPP”) of the CARES Act. For the three months ended March 31, 2021 and 2020, the Company recognized interest expense related to its outstanding debt of $2,000 and $0.5 million,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In June 2017, as amended in January 2019, the Company entered into a non-cancellable operating lease for its corporate headquarters and laboratory space in San Diego, California. The lease commenced in January 2018, the period the Company gained access to the leased space and began recognizing rent expense. The lease expires in July 2025 and the Company has an option to</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10" w:name="page11"/>
    <w:bookmarkEnd w:id="10"/>
    <w:p>
      <w:pPr>
        <w:ind w:right="80"/>
        <w:spacing w:after="0" w:line="263" w:lineRule="auto"/>
        <w:rPr>
          <w:sz w:val="20"/>
          <w:szCs w:val="20"/>
          <w:color w:val="auto"/>
        </w:rPr>
      </w:pPr>
      <w:r>
        <w:rPr>
          <w:rFonts w:ascii="Arial" w:cs="Arial" w:eastAsia="Arial" w:hAnsi="Arial"/>
          <w:sz w:val="18"/>
          <w:szCs w:val="18"/>
          <w:color w:val="auto"/>
        </w:rPr>
        <w:t>extend the term of the lease for an additional five years. The lease includes certain rent abatement, rent escalations, tenant improvement allowances and additional charges for common area maintenance and other costs. Rent expense for the three months ended March 31, 2021 and 2020 was $0.4 million and $0.4 million, respectively.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Expected future minimum payments under the non-cancelable operating lease as of March 31, 2021 are as follows (in thousands):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38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700" w:type="dxa"/>
            <w:vAlign w:val="bottom"/>
            <w:tcBorders>
              <w:bottom w:val="single" w:sz="8" w:color="auto"/>
            </w:tcBorders>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5"/>
              <w:spacing w:after="0" w:line="158" w:lineRule="exact"/>
              <w:rPr>
                <w:sz w:val="20"/>
                <w:szCs w:val="20"/>
                <w:color w:val="auto"/>
              </w:rPr>
            </w:pPr>
            <w:r>
              <w:rPr>
                <w:rFonts w:ascii="Arial" w:cs="Arial" w:eastAsia="Arial" w:hAnsi="Arial"/>
                <w:sz w:val="14"/>
                <w:szCs w:val="14"/>
                <w:b w:val="1"/>
                <w:bCs w:val="1"/>
                <w:color w:val="auto"/>
              </w:rPr>
              <w:t>Lease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 (9 months)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r>
              <w:rPr>
                <w:rFonts w:ascii="Arial" w:cs="Arial" w:eastAsia="Arial" w:hAnsi="Arial"/>
                <w:sz w:val="18"/>
                <w:szCs w:val="18"/>
                <w:color w:val="auto"/>
              </w:rPr>
              <w:t>2022</w:t>
            </w:r>
          </w:p>
        </w:tc>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r>
              <w:rPr>
                <w:rFonts w:ascii="Arial" w:cs="Arial" w:eastAsia="Arial" w:hAnsi="Arial"/>
                <w:sz w:val="18"/>
                <w:szCs w:val="18"/>
                <w:color w:val="auto"/>
              </w:rPr>
              <w:t>2024</w:t>
            </w:r>
          </w:p>
        </w:tc>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-182245</wp:posOffset>
            </wp:positionV>
            <wp:extent cx="43180" cy="4763"/>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4763"/>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00" w:firstLine="441"/>
        <w:spacing w:after="0" w:line="263" w:lineRule="auto"/>
        <w:rPr>
          <w:sz w:val="20"/>
          <w:szCs w:val="20"/>
          <w:color w:val="auto"/>
        </w:rPr>
      </w:pPr>
      <w:r>
        <w:rPr>
          <w:rFonts w:ascii="Arial" w:cs="Arial" w:eastAsia="Arial" w:hAnsi="Arial"/>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Stockholders’/Members' Equity (Deficit)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statement of members' deficit for the three months ended March 31, 2020 is as follows (in thousands, except unit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b w:val="1"/>
                <w:bCs w:val="1"/>
                <w:color w:val="auto"/>
                <w:w w:val="91"/>
              </w:rPr>
              <w:t>Additional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192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3"/>
                <w:szCs w:val="13"/>
                <w:b w:val="1"/>
                <w:bCs w:val="1"/>
                <w:color w:val="auto"/>
              </w:rPr>
              <w:t>Class C Preferred Units</w:t>
            </w:r>
          </w:p>
        </w:tc>
        <w:tc>
          <w:tcPr>
            <w:tcW w:w="240" w:type="dxa"/>
            <w:vAlign w:val="bottom"/>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Class A Units</w:t>
            </w: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88"/>
              </w:rPr>
              <w:t>Noncontrolling</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Members’</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9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Units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Units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5"/>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Interest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2019</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23,968,178</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89,345</w:t>
            </w:r>
          </w:p>
        </w:tc>
        <w:tc>
          <w:tcPr>
            <w:tcW w:w="12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54,600,000</w:t>
            </w:r>
          </w:p>
        </w:tc>
        <w:tc>
          <w:tcPr>
            <w:tcW w:w="3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2,295</w:t>
            </w: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(148,354 )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(47 )</w:t>
            </w:r>
          </w:p>
        </w:tc>
        <w:tc>
          <w:tcPr>
            <w:tcW w:w="140" w:type="dxa"/>
            <w:vAlign w:val="bottom"/>
            <w:vMerge w:val="restart"/>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(56,011 )</w:t>
            </w:r>
          </w:p>
        </w:tc>
        <w:tc>
          <w:tcPr>
            <w:tcW w:w="0" w:type="dxa"/>
            <w:vAlign w:val="bottom"/>
          </w:tcPr>
          <w:p>
            <w:pPr>
              <w:spacing w:after="0"/>
              <w:rPr>
                <w:sz w:val="1"/>
                <w:szCs w:val="1"/>
                <w:color w:val="auto"/>
              </w:rPr>
            </w:pPr>
          </w:p>
        </w:tc>
      </w:tr>
      <w:tr>
        <w:trPr>
          <w:trHeight w:val="83"/>
        </w:trPr>
        <w:tc>
          <w:tcPr>
            <w:tcW w:w="2200" w:type="dxa"/>
            <w:vAlign w:val="bottom"/>
            <w:shd w:val="clear" w:color="auto" w:fill="CFF0FC"/>
          </w:tcPr>
          <w:p>
            <w:pPr>
              <w:spacing w:after="0"/>
              <w:rPr>
                <w:sz w:val="7"/>
                <w:szCs w:val="7"/>
                <w:color w:val="auto"/>
              </w:rPr>
            </w:pPr>
          </w:p>
        </w:tc>
        <w:tc>
          <w:tcPr>
            <w:tcW w:w="980" w:type="dxa"/>
            <w:vAlign w:val="bottom"/>
            <w:vMerge w:val="continue"/>
            <w:shd w:val="clear" w:color="auto" w:fill="CFF0FC"/>
          </w:tcPr>
          <w:p>
            <w:pPr>
              <w:spacing w:after="0"/>
              <w:rPr>
                <w:sz w:val="7"/>
                <w:szCs w:val="7"/>
                <w:color w:val="auto"/>
              </w:rPr>
            </w:pPr>
          </w:p>
        </w:tc>
        <w:tc>
          <w:tcPr>
            <w:tcW w:w="340" w:type="dxa"/>
            <w:vAlign w:val="bottom"/>
            <w:gridSpan w:val="2"/>
            <w:vMerge w:val="continue"/>
            <w:shd w:val="clear" w:color="auto" w:fill="CFF0FC"/>
          </w:tcPr>
          <w:p>
            <w:pPr>
              <w:spacing w:after="0"/>
              <w:rPr>
                <w:sz w:val="7"/>
                <w:szCs w:val="7"/>
                <w:color w:val="auto"/>
              </w:rPr>
            </w:pPr>
          </w:p>
        </w:tc>
        <w:tc>
          <w:tcPr>
            <w:tcW w:w="600" w:type="dxa"/>
            <w:vAlign w:val="bottom"/>
            <w:vMerge w:val="continue"/>
            <w:shd w:val="clear" w:color="auto" w:fill="CFF0FC"/>
          </w:tcPr>
          <w:p>
            <w:pPr>
              <w:spacing w:after="0"/>
              <w:rPr>
                <w:sz w:val="7"/>
                <w:szCs w:val="7"/>
                <w:color w:val="auto"/>
              </w:rPr>
            </w:pPr>
          </w:p>
        </w:tc>
        <w:tc>
          <w:tcPr>
            <w:tcW w:w="1200" w:type="dxa"/>
            <w:vAlign w:val="bottom"/>
            <w:gridSpan w:val="2"/>
            <w:vMerge w:val="continue"/>
            <w:shd w:val="clear" w:color="auto" w:fill="CFF0FC"/>
          </w:tcPr>
          <w:p>
            <w:pPr>
              <w:spacing w:after="0"/>
              <w:rPr>
                <w:sz w:val="7"/>
                <w:szCs w:val="7"/>
                <w:color w:val="auto"/>
              </w:rPr>
            </w:pPr>
          </w:p>
        </w:tc>
        <w:tc>
          <w:tcPr>
            <w:tcW w:w="360" w:type="dxa"/>
            <w:vAlign w:val="bottom"/>
            <w:gridSpan w:val="2"/>
            <w:vMerge w:val="continue"/>
            <w:shd w:val="clear" w:color="auto" w:fill="CFF0FC"/>
          </w:tcPr>
          <w:p>
            <w:pPr>
              <w:spacing w:after="0"/>
              <w:rPr>
                <w:sz w:val="7"/>
                <w:szCs w:val="7"/>
                <w:color w:val="auto"/>
              </w:rPr>
            </w:pPr>
          </w:p>
        </w:tc>
        <w:tc>
          <w:tcPr>
            <w:tcW w:w="560" w:type="dxa"/>
            <w:vAlign w:val="bottom"/>
            <w:vMerge w:val="continue"/>
            <w:shd w:val="clear" w:color="auto" w:fill="CFF0FC"/>
          </w:tcPr>
          <w:p>
            <w:pPr>
              <w:spacing w:after="0"/>
              <w:rPr>
                <w:sz w:val="7"/>
                <w:szCs w:val="7"/>
                <w:color w:val="auto"/>
              </w:rPr>
            </w:pPr>
          </w:p>
        </w:tc>
        <w:tc>
          <w:tcPr>
            <w:tcW w:w="340" w:type="dxa"/>
            <w:vAlign w:val="bottom"/>
            <w:gridSpan w:val="2"/>
            <w:vMerge w:val="continue"/>
            <w:shd w:val="clear" w:color="auto" w:fill="CFF0FC"/>
          </w:tcPr>
          <w:p>
            <w:pPr>
              <w:spacing w:after="0"/>
              <w:rPr>
                <w:sz w:val="7"/>
                <w:szCs w:val="7"/>
                <w:color w:val="auto"/>
              </w:rPr>
            </w:pPr>
          </w:p>
        </w:tc>
        <w:tc>
          <w:tcPr>
            <w:tcW w:w="760" w:type="dxa"/>
            <w:vAlign w:val="bottom"/>
            <w:vMerge w:val="continue"/>
            <w:shd w:val="clear" w:color="auto" w:fill="CFF0FC"/>
          </w:tcPr>
          <w:p>
            <w:pPr>
              <w:spacing w:after="0"/>
              <w:rPr>
                <w:sz w:val="7"/>
                <w:szCs w:val="7"/>
                <w:color w:val="auto"/>
              </w:rPr>
            </w:pPr>
          </w:p>
        </w:tc>
        <w:tc>
          <w:tcPr>
            <w:tcW w:w="320" w:type="dxa"/>
            <w:vAlign w:val="bottom"/>
            <w:gridSpan w:val="2"/>
            <w:vMerge w:val="continue"/>
            <w:shd w:val="clear" w:color="auto" w:fill="CFF0FC"/>
          </w:tcPr>
          <w:p>
            <w:pPr>
              <w:spacing w:after="0"/>
              <w:rPr>
                <w:sz w:val="7"/>
                <w:szCs w:val="7"/>
                <w:color w:val="auto"/>
              </w:rPr>
            </w:pPr>
          </w:p>
        </w:tc>
        <w:tc>
          <w:tcPr>
            <w:tcW w:w="1100" w:type="dxa"/>
            <w:vAlign w:val="bottom"/>
            <w:gridSpan w:val="2"/>
            <w:vMerge w:val="continue"/>
            <w:shd w:val="clear" w:color="auto" w:fill="CFF0FC"/>
          </w:tcPr>
          <w:p>
            <w:pPr>
              <w:spacing w:after="0"/>
              <w:rPr>
                <w:sz w:val="7"/>
                <w:szCs w:val="7"/>
                <w:color w:val="auto"/>
              </w:rPr>
            </w:pPr>
          </w:p>
        </w:tc>
        <w:tc>
          <w:tcPr>
            <w:tcW w:w="140" w:type="dxa"/>
            <w:vAlign w:val="bottom"/>
            <w:vMerge w:val="continue"/>
            <w:shd w:val="clear" w:color="auto" w:fill="CFF0FC"/>
          </w:tcPr>
          <w:p>
            <w:pPr>
              <w:spacing w:after="0"/>
              <w:rPr>
                <w:sz w:val="7"/>
                <w:szCs w:val="7"/>
                <w:color w:val="auto"/>
              </w:rPr>
            </w:pPr>
          </w:p>
        </w:tc>
        <w:tc>
          <w:tcPr>
            <w:tcW w:w="1240" w:type="dxa"/>
            <w:vAlign w:val="bottom"/>
            <w:gridSpan w:val="2"/>
            <w:vMerge w:val="continue"/>
            <w:shd w:val="clear" w:color="auto" w:fill="CFF0FC"/>
          </w:tcPr>
          <w:p>
            <w:pPr>
              <w:spacing w:after="0"/>
              <w:rPr>
                <w:sz w:val="7"/>
                <w:szCs w:val="7"/>
                <w:color w:val="auto"/>
              </w:rPr>
            </w:pPr>
          </w:p>
        </w:tc>
        <w:tc>
          <w:tcPr>
            <w:tcW w:w="140" w:type="dxa"/>
            <w:vAlign w:val="bottom"/>
            <w:vMerge w:val="continue"/>
            <w:shd w:val="clear" w:color="auto" w:fill="CFF0FC"/>
          </w:tcPr>
          <w:p>
            <w:pPr>
              <w:spacing w:after="0"/>
              <w:rPr>
                <w:sz w:val="7"/>
                <w:szCs w:val="7"/>
                <w:color w:val="auto"/>
              </w:rPr>
            </w:pPr>
          </w:p>
        </w:tc>
        <w:tc>
          <w:tcPr>
            <w:tcW w:w="960" w:type="dxa"/>
            <w:vAlign w:val="bottom"/>
            <w:gridSpan w:val="2"/>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200" w:type="dxa"/>
            <w:vAlign w:val="bottom"/>
          </w:tcPr>
          <w:p>
            <w:pPr>
              <w:ind w:left="100"/>
              <w:spacing w:after="0"/>
              <w:rPr>
                <w:sz w:val="20"/>
                <w:szCs w:val="20"/>
                <w:color w:val="auto"/>
              </w:rPr>
            </w:pPr>
            <w:r>
              <w:rPr>
                <w:rFonts w:ascii="Arial" w:cs="Arial" w:eastAsia="Arial" w:hAnsi="Arial"/>
                <w:sz w:val="13"/>
                <w:szCs w:val="13"/>
                <w:color w:val="auto"/>
              </w:rPr>
              <w:t>Net loss</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(1,604 )</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(1,604 )</w:t>
            </w:r>
          </w:p>
        </w:tc>
        <w:tc>
          <w:tcPr>
            <w:tcW w:w="0" w:type="dxa"/>
            <w:vAlign w:val="bottom"/>
          </w:tcPr>
          <w:p>
            <w:pPr>
              <w:spacing w:after="0"/>
              <w:rPr>
                <w:sz w:val="1"/>
                <w:szCs w:val="1"/>
                <w:color w:val="auto"/>
              </w:rPr>
            </w:pPr>
          </w:p>
        </w:tc>
      </w:tr>
      <w:tr>
        <w:trPr>
          <w:trHeight w:val="69"/>
        </w:trPr>
        <w:tc>
          <w:tcPr>
            <w:tcW w:w="2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2020</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23,968,178</w:t>
            </w:r>
          </w:p>
        </w:tc>
        <w:tc>
          <w:tcPr>
            <w:tcW w:w="240" w:type="dxa"/>
            <w:vAlign w:val="bottom"/>
            <w:vMerge w:val="restart"/>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89,345</w:t>
            </w:r>
          </w:p>
        </w:tc>
        <w:tc>
          <w:tcPr>
            <w:tcW w:w="240" w:type="dxa"/>
            <w:vAlign w:val="bottom"/>
            <w:vMerge w:val="restart"/>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54,600,000</w:t>
            </w:r>
          </w:p>
        </w:tc>
        <w:tc>
          <w:tcPr>
            <w:tcW w:w="240" w:type="dxa"/>
            <w:vAlign w:val="bottom"/>
            <w:vMerge w:val="restart"/>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220" w:type="dxa"/>
            <w:vAlign w:val="bottom"/>
            <w:vMerge w:val="restart"/>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2,295</w:t>
            </w:r>
          </w:p>
        </w:tc>
        <w:tc>
          <w:tcPr>
            <w:tcW w:w="220" w:type="dxa"/>
            <w:vAlign w:val="bottom"/>
            <w:vMerge w:val="restart"/>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(149,958 )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(47 )</w:t>
            </w:r>
          </w:p>
        </w:tc>
        <w:tc>
          <w:tcPr>
            <w:tcW w:w="140" w:type="dxa"/>
            <w:vAlign w:val="bottom"/>
            <w:vMerge w:val="restart"/>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(57,615 )</w:t>
            </w:r>
          </w:p>
        </w:tc>
        <w:tc>
          <w:tcPr>
            <w:tcW w:w="0" w:type="dxa"/>
            <w:vAlign w:val="bottom"/>
          </w:tcPr>
          <w:p>
            <w:pPr>
              <w:spacing w:after="0"/>
              <w:rPr>
                <w:sz w:val="1"/>
                <w:szCs w:val="1"/>
                <w:color w:val="auto"/>
              </w:rPr>
            </w:pPr>
          </w:p>
        </w:tc>
      </w:tr>
      <w:tr>
        <w:trPr>
          <w:trHeight w:val="102"/>
        </w:trPr>
        <w:tc>
          <w:tcPr>
            <w:tcW w:w="2200" w:type="dxa"/>
            <w:vAlign w:val="bottom"/>
            <w:shd w:val="clear" w:color="auto" w:fill="CFF0FC"/>
          </w:tcPr>
          <w:p>
            <w:pPr>
              <w:spacing w:after="0"/>
              <w:rPr>
                <w:sz w:val="8"/>
                <w:szCs w:val="8"/>
                <w:color w:val="auto"/>
              </w:rPr>
            </w:pPr>
          </w:p>
        </w:tc>
        <w:tc>
          <w:tcPr>
            <w:tcW w:w="980" w:type="dxa"/>
            <w:vAlign w:val="bottom"/>
            <w:vMerge w:val="continue"/>
            <w:shd w:val="clear" w:color="auto" w:fill="CFF0FC"/>
          </w:tcPr>
          <w:p>
            <w:pPr>
              <w:spacing w:after="0"/>
              <w:rPr>
                <w:sz w:val="8"/>
                <w:szCs w:val="8"/>
                <w:color w:val="auto"/>
              </w:rPr>
            </w:pPr>
          </w:p>
        </w:tc>
        <w:tc>
          <w:tcPr>
            <w:tcW w:w="240" w:type="dxa"/>
            <w:vAlign w:val="bottom"/>
            <w:vMerge w:val="continue"/>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600" w:type="dxa"/>
            <w:vAlign w:val="bottom"/>
            <w:vMerge w:val="continue"/>
            <w:shd w:val="clear" w:color="auto" w:fill="CFF0FC"/>
          </w:tcPr>
          <w:p>
            <w:pPr>
              <w:spacing w:after="0"/>
              <w:rPr>
                <w:sz w:val="8"/>
                <w:szCs w:val="8"/>
                <w:color w:val="auto"/>
              </w:rPr>
            </w:pPr>
          </w:p>
        </w:tc>
        <w:tc>
          <w:tcPr>
            <w:tcW w:w="240" w:type="dxa"/>
            <w:vAlign w:val="bottom"/>
            <w:vMerge w:val="continue"/>
            <w:shd w:val="clear" w:color="auto" w:fill="CFF0FC"/>
          </w:tcPr>
          <w:p>
            <w:pPr>
              <w:spacing w:after="0"/>
              <w:rPr>
                <w:sz w:val="8"/>
                <w:szCs w:val="8"/>
                <w:color w:val="auto"/>
              </w:rPr>
            </w:pPr>
          </w:p>
        </w:tc>
        <w:tc>
          <w:tcPr>
            <w:tcW w:w="960" w:type="dxa"/>
            <w:vAlign w:val="bottom"/>
            <w:vMerge w:val="continue"/>
            <w:shd w:val="clear" w:color="auto" w:fill="CFF0FC"/>
          </w:tcPr>
          <w:p>
            <w:pPr>
              <w:spacing w:after="0"/>
              <w:rPr>
                <w:sz w:val="8"/>
                <w:szCs w:val="8"/>
                <w:color w:val="auto"/>
              </w:rPr>
            </w:pPr>
          </w:p>
        </w:tc>
        <w:tc>
          <w:tcPr>
            <w:tcW w:w="240" w:type="dxa"/>
            <w:vAlign w:val="bottom"/>
            <w:vMerge w:val="continue"/>
            <w:shd w:val="clear" w:color="auto" w:fill="CFF0FC"/>
          </w:tcPr>
          <w:p>
            <w:pPr>
              <w:spacing w:after="0"/>
              <w:rPr>
                <w:sz w:val="8"/>
                <w:szCs w:val="8"/>
                <w:color w:val="auto"/>
              </w:rPr>
            </w:pPr>
          </w:p>
        </w:tc>
        <w:tc>
          <w:tcPr>
            <w:tcW w:w="120" w:type="dxa"/>
            <w:vAlign w:val="bottom"/>
            <w:vMerge w:val="continue"/>
            <w:shd w:val="clear" w:color="auto" w:fill="CFF0FC"/>
          </w:tcPr>
          <w:p>
            <w:pPr>
              <w:spacing w:after="0"/>
              <w:rPr>
                <w:sz w:val="8"/>
                <w:szCs w:val="8"/>
                <w:color w:val="auto"/>
              </w:rPr>
            </w:pPr>
          </w:p>
        </w:tc>
        <w:tc>
          <w:tcPr>
            <w:tcW w:w="560" w:type="dxa"/>
            <w:vAlign w:val="bottom"/>
            <w:vMerge w:val="continue"/>
            <w:shd w:val="clear" w:color="auto" w:fill="CFF0FC"/>
          </w:tcPr>
          <w:p>
            <w:pPr>
              <w:spacing w:after="0"/>
              <w:rPr>
                <w:sz w:val="8"/>
                <w:szCs w:val="8"/>
                <w:color w:val="auto"/>
              </w:rPr>
            </w:pPr>
          </w:p>
        </w:tc>
        <w:tc>
          <w:tcPr>
            <w:tcW w:w="220" w:type="dxa"/>
            <w:vAlign w:val="bottom"/>
            <w:vMerge w:val="continue"/>
            <w:shd w:val="clear" w:color="auto" w:fill="CFF0FC"/>
          </w:tcPr>
          <w:p>
            <w:pPr>
              <w:spacing w:after="0"/>
              <w:rPr>
                <w:sz w:val="8"/>
                <w:szCs w:val="8"/>
                <w:color w:val="auto"/>
              </w:rPr>
            </w:pPr>
          </w:p>
        </w:tc>
        <w:tc>
          <w:tcPr>
            <w:tcW w:w="120" w:type="dxa"/>
            <w:vAlign w:val="bottom"/>
            <w:vMerge w:val="continue"/>
            <w:shd w:val="clear" w:color="auto" w:fill="CFF0FC"/>
          </w:tcPr>
          <w:p>
            <w:pPr>
              <w:spacing w:after="0"/>
              <w:rPr>
                <w:sz w:val="8"/>
                <w:szCs w:val="8"/>
                <w:color w:val="auto"/>
              </w:rPr>
            </w:pPr>
          </w:p>
        </w:tc>
        <w:tc>
          <w:tcPr>
            <w:tcW w:w="760" w:type="dxa"/>
            <w:vAlign w:val="bottom"/>
            <w:vMerge w:val="continue"/>
            <w:shd w:val="clear" w:color="auto" w:fill="CFF0FC"/>
          </w:tcPr>
          <w:p>
            <w:pPr>
              <w:spacing w:after="0"/>
              <w:rPr>
                <w:sz w:val="8"/>
                <w:szCs w:val="8"/>
                <w:color w:val="auto"/>
              </w:rPr>
            </w:pPr>
          </w:p>
        </w:tc>
        <w:tc>
          <w:tcPr>
            <w:tcW w:w="220" w:type="dxa"/>
            <w:vAlign w:val="bottom"/>
            <w:vMerge w:val="continue"/>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1100" w:type="dxa"/>
            <w:vAlign w:val="bottom"/>
            <w:gridSpan w:val="2"/>
            <w:vMerge w:val="continue"/>
            <w:shd w:val="clear" w:color="auto" w:fill="CFF0FC"/>
          </w:tcPr>
          <w:p>
            <w:pPr>
              <w:spacing w:after="0"/>
              <w:rPr>
                <w:sz w:val="8"/>
                <w:szCs w:val="8"/>
                <w:color w:val="auto"/>
              </w:rPr>
            </w:pPr>
          </w:p>
        </w:tc>
        <w:tc>
          <w:tcPr>
            <w:tcW w:w="140" w:type="dxa"/>
            <w:vAlign w:val="bottom"/>
            <w:vMerge w:val="continue"/>
            <w:shd w:val="clear" w:color="auto" w:fill="CFF0FC"/>
          </w:tcPr>
          <w:p>
            <w:pPr>
              <w:spacing w:after="0"/>
              <w:rPr>
                <w:sz w:val="8"/>
                <w:szCs w:val="8"/>
                <w:color w:val="auto"/>
              </w:rPr>
            </w:pPr>
          </w:p>
        </w:tc>
        <w:tc>
          <w:tcPr>
            <w:tcW w:w="1240" w:type="dxa"/>
            <w:vAlign w:val="bottom"/>
            <w:gridSpan w:val="2"/>
            <w:vMerge w:val="continue"/>
            <w:shd w:val="clear" w:color="auto" w:fill="CFF0FC"/>
          </w:tcPr>
          <w:p>
            <w:pPr>
              <w:spacing w:after="0"/>
              <w:rPr>
                <w:sz w:val="8"/>
                <w:szCs w:val="8"/>
                <w:color w:val="auto"/>
              </w:rPr>
            </w:pPr>
          </w:p>
        </w:tc>
        <w:tc>
          <w:tcPr>
            <w:tcW w:w="140" w:type="dxa"/>
            <w:vAlign w:val="bottom"/>
            <w:vMerge w:val="continue"/>
            <w:shd w:val="clear" w:color="auto" w:fill="CFF0FC"/>
          </w:tcPr>
          <w:p>
            <w:pPr>
              <w:spacing w:after="0"/>
              <w:rPr>
                <w:sz w:val="8"/>
                <w:szCs w:val="8"/>
                <w:color w:val="auto"/>
              </w:rPr>
            </w:pPr>
          </w:p>
        </w:tc>
        <w:tc>
          <w:tcPr>
            <w:tcW w:w="96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-24765</wp:posOffset>
            </wp:positionV>
            <wp:extent cx="1543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-8255</wp:posOffset>
            </wp:positionV>
            <wp:extent cx="1543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-24765</wp:posOffset>
            </wp:positionV>
            <wp:extent cx="1543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-8255</wp:posOffset>
            </wp:positionV>
            <wp:extent cx="1543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1543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-8255</wp:posOffset>
            </wp:positionV>
            <wp:extent cx="1543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137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Related Transactions</w:t>
      </w:r>
    </w:p>
    <w:p>
      <w:pPr>
        <w:spacing w:after="0" w:line="117" w:lineRule="exact"/>
        <w:rPr>
          <w:sz w:val="20"/>
          <w:szCs w:val="20"/>
          <w:color w:val="auto"/>
        </w:rPr>
      </w:pPr>
    </w:p>
    <w:p>
      <w:pPr>
        <w:jc w:val="both"/>
        <w:ind w:right="180" w:firstLine="441"/>
        <w:spacing w:after="0" w:line="259" w:lineRule="auto"/>
        <w:rPr>
          <w:sz w:val="20"/>
          <w:szCs w:val="20"/>
          <w:color w:val="auto"/>
        </w:rPr>
      </w:pPr>
      <w:r>
        <w:rPr>
          <w:rFonts w:ascii="Arial" w:cs="Arial" w:eastAsia="Arial" w:hAnsi="Arial"/>
          <w:sz w:val="18"/>
          <w:szCs w:val="18"/>
          <w:color w:val="auto"/>
        </w:rPr>
        <w:t>In December 2020, the Company completed its IPO selling 12,075,000 shares its common stock at $18.00 per share. Proceeds from the Company’s IPO, net of underwriting discounts and commissions and other offering costs, were $198.3 million. In connection with the IPO, all 199,791,519 shares of convertible preferred stock outstanding at the time of the IPO converted into 13,876,510 shares of the Company’s common stock and 1,492,059 shares of the Company’s Class B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right="60" w:firstLine="441"/>
        <w:spacing w:after="0" w:line="283" w:lineRule="auto"/>
        <w:rPr>
          <w:sz w:val="20"/>
          <w:szCs w:val="20"/>
          <w:color w:val="auto"/>
        </w:rPr>
      </w:pPr>
      <w:r>
        <w:rPr>
          <w:rFonts w:ascii="Arial" w:cs="Arial" w:eastAsia="Arial" w:hAnsi="Arial"/>
          <w:sz w:val="16"/>
          <w:szCs w:val="16"/>
          <w:color w:val="auto"/>
        </w:rPr>
        <w:t>On October 29, 2020, the Company’s board of directors approved the adoption of the BioAtla, Inc. 2020 Equity Incentive Plan (the “2020 Plan”) and approved certain amendments to the 2020 Plan in December 2020. The Company’s stockholders approved the 2020 Plan, as amended, in December 2020. Under the 2020 Plan, the Company may grant awards of common stock to the Company’s employees, consultants and non-employee directors pursuant to option awards, stock appreciation rights awards, restricted stock awards, restricted stock unit awards, performance stock awards, performance stock unit awards and other stock-based awards. As of March 31, 2021 and December 31, 2020, the total number of common shares reserved for issuance under the 2020 Plan was 6,226,540 and 4,939,678, respectively. On January 1st of each year, commencing with the first January 1st following the effective date of the 2020 Plan, the shares available for awards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right="40" w:firstLine="441"/>
        <w:spacing w:after="0" w:line="263" w:lineRule="auto"/>
        <w:rPr>
          <w:sz w:val="20"/>
          <w:szCs w:val="20"/>
          <w:color w:val="auto"/>
        </w:rPr>
      </w:pPr>
      <w:r>
        <w:rPr>
          <w:rFonts w:ascii="Arial" w:cs="Arial" w:eastAsia="Arial" w:hAnsi="Arial"/>
          <w:sz w:val="18"/>
          <w:szCs w:val="18"/>
          <w:color w:val="auto"/>
        </w:rPr>
        <w:t>There was no stock-based compensation expense reported for the three months ended March 31, 2020 as the 2020 Plan was not yet adopted. Stock-based compensation expense for the three months ended March 31, 2021 has been reported in the consolidated statements of operations and comprehensive loss as follows (in thousands):</w:t>
      </w:r>
    </w:p>
    <w:p>
      <w:pPr>
        <w:spacing w:after="0" w:line="189"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Three Months</w:t>
      </w:r>
    </w:p>
    <w:p>
      <w:pPr>
        <w:jc w:val="center"/>
        <w:ind w:left="5480"/>
        <w:spacing w:after="0" w:line="226" w:lineRule="auto"/>
        <w:rPr>
          <w:sz w:val="20"/>
          <w:szCs w:val="20"/>
          <w:color w:val="auto"/>
        </w:rPr>
      </w:pPr>
      <w:r>
        <w:rPr>
          <w:rFonts w:ascii="Arial" w:cs="Arial" w:eastAsia="Arial" w:hAnsi="Arial"/>
          <w:sz w:val="14"/>
          <w:szCs w:val="14"/>
          <w:b w:val="1"/>
          <w:bCs w:val="1"/>
          <w:color w:val="auto"/>
        </w:rPr>
        <w:t>Ended</w:t>
      </w:r>
    </w:p>
    <w:p>
      <w:pPr>
        <w:jc w:val="center"/>
        <w:ind w:left="5480"/>
        <w:spacing w:after="0" w:line="221" w:lineRule="auto"/>
        <w:rPr>
          <w:sz w:val="20"/>
          <w:szCs w:val="20"/>
          <w:color w:val="auto"/>
        </w:rPr>
      </w:pPr>
      <w:r>
        <w:rPr>
          <w:rFonts w:ascii="Arial" w:cs="Arial" w:eastAsia="Arial" w:hAnsi="Arial"/>
          <w:sz w:val="14"/>
          <w:szCs w:val="14"/>
          <w:b w:val="1"/>
          <w:bCs w:val="1"/>
          <w:color w:val="auto"/>
        </w:rPr>
        <w:t>March 31,</w:t>
      </w:r>
    </w:p>
    <w:p>
      <w:pPr>
        <w:jc w:val="center"/>
        <w:ind w:left="5480"/>
        <w:spacing w:after="0" w:line="232" w:lineRule="auto"/>
        <w:rPr>
          <w:sz w:val="20"/>
          <w:szCs w:val="20"/>
          <w:color w:val="auto"/>
        </w:rPr>
      </w:pPr>
      <w:r>
        <w:rPr>
          <w:rFonts w:ascii="Arial" w:cs="Arial" w:eastAsia="Arial" w:hAnsi="Arial"/>
          <w:sz w:val="14"/>
          <w:szCs w:val="14"/>
          <w:b w:val="1"/>
          <w:bCs w:val="1"/>
          <w:color w:val="auto"/>
        </w:rPr>
        <w:t>2021</w:t>
      </w:r>
    </w:p>
    <w:tbl>
      <w:tblPr>
        <w:tblLayout w:type="fixed"/>
        <w:tblInd w:w="2260" w:type="dxa"/>
        <w:tblCellMar>
          <w:top w:w="0" w:type="dxa"/>
          <w:left w:w="0" w:type="dxa"/>
          <w:bottom w:w="0" w:type="dxa"/>
          <w:right w:w="0" w:type="dxa"/>
        </w:tblCellMar>
      </w:tblPr>
      <w:tr>
        <w:trPr>
          <w:trHeight w:val="237"/>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60" w:type="dxa"/>
            <w:vAlign w:val="bottom"/>
            <w:shd w:val="clear" w:color="auto" w:fill="CFF0FC"/>
          </w:tcPr>
          <w:p>
            <w:pPr>
              <w:spacing w:after="0"/>
              <w:rPr>
                <w:sz w:val="20"/>
                <w:szCs w:val="20"/>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60" w:type="dxa"/>
            <w:vAlign w:val="bottom"/>
          </w:tcPr>
          <w:p>
            <w:pPr>
              <w:spacing w:after="0"/>
              <w:rPr>
                <w:sz w:val="19"/>
                <w:szCs w:val="19"/>
                <w:color w:val="auto"/>
              </w:rPr>
            </w:pPr>
          </w:p>
        </w:tc>
      </w:tr>
      <w:tr>
        <w:trPr>
          <w:trHeight w:val="270"/>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6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RSU activity under the 2020 Plan for the three months ended March 31, 2021:</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Weighted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1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1,920,037</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Outstanding at March 31, 2021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1,920,037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-182245</wp:posOffset>
            </wp:positionV>
            <wp:extent cx="128905" cy="4763"/>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4763"/>
                    </a:xfrm>
                    <a:prstGeom prst="rect">
                      <a:avLst/>
                    </a:prstGeom>
                    <a:noFill/>
                  </pic:spPr>
                </pic:pic>
              </a:graphicData>
            </a:graphic>
          </wp:anchor>
        </w:drawing>
      </w:r>
    </w:p>
    <w:p>
      <w:pPr>
        <w:spacing w:after="0" w:line="209"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As of March 31, 2021, total unrecognized stock-based compensation expense for RSUs was $34.2 million, which is expected to be recognized over a remaining weighted-average period of approximately 2.7 years. During the three months ended March 31, 2021, the Company modified 138,461 RSU's under the Transition Agreement (See Note 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summarizes stock option activity under the 2020 Plan for the three months ended March 31, 2021 (in thousands, except share and per share data and years):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2"/>
              </w:rPr>
              <w:t>Weighted -</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Price Per</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Share</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615,106</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26,000</w:t>
            </w:r>
          </w:p>
        </w:tc>
        <w:tc>
          <w:tcPr>
            <w:tcW w:w="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46.39</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641,106</w:t>
            </w:r>
          </w:p>
        </w:tc>
        <w:tc>
          <w:tcPr>
            <w:tcW w:w="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20,316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Vested and expected to vest at March 31, 2021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641,106</w:t>
            </w:r>
          </w:p>
        </w:tc>
        <w:tc>
          <w:tcPr>
            <w:tcW w:w="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March 31, 2021</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-385445</wp:posOffset>
            </wp:positionV>
            <wp:extent cx="1714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-367665</wp:posOffset>
            </wp:positionV>
            <wp:extent cx="1714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1714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1714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22" w:lineRule="exact"/>
        <w:rPr>
          <w:sz w:val="20"/>
          <w:szCs w:val="20"/>
          <w:color w:val="auto"/>
        </w:rPr>
      </w:pPr>
    </w:p>
    <w:p>
      <w:pPr>
        <w:ind w:right="80" w:firstLine="441"/>
        <w:spacing w:after="0" w:line="269" w:lineRule="auto"/>
        <w:rPr>
          <w:sz w:val="20"/>
          <w:szCs w:val="20"/>
          <w:color w:val="auto"/>
        </w:rPr>
      </w:pPr>
      <w:r>
        <w:rPr>
          <w:rFonts w:ascii="Arial" w:cs="Arial" w:eastAsia="Arial" w:hAnsi="Arial"/>
          <w:sz w:val="17"/>
          <w:szCs w:val="17"/>
          <w:color w:val="auto"/>
        </w:rPr>
        <w:t>As of March 31, 2021, total unrecognized stock-based compensation cost for unvested common stock options was $7.6 million, which is expected to be recognized over a remaining weighted-average period of approximately 3.7 years. The weighted- average grant date fair value of stock options granted, including the impact of modified awards, during the three months ended March 31, 2021 was $46.39 per share. During the three months ended March 31, 2021, the Company modified 7,747 stock options under the Transition Agreement (See Note 9).</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right="100" w:firstLine="441"/>
        <w:spacing w:after="0" w:line="277" w:lineRule="auto"/>
        <w:rPr>
          <w:sz w:val="20"/>
          <w:szCs w:val="20"/>
          <w:color w:val="auto"/>
        </w:rPr>
      </w:pPr>
      <w:r>
        <w:rPr>
          <w:rFonts w:ascii="Arial" w:cs="Arial" w:eastAsia="Arial" w:hAnsi="Arial"/>
          <w:sz w:val="18"/>
          <w:szCs w:val="18"/>
          <w:color w:val="auto"/>
        </w:rPr>
        <w:t>The assumptions used in the Black-Scholes option pricing model to determine the fair value of stock option grants, including the impact of modified awards, were as follows:</w:t>
      </w:r>
    </w:p>
    <w:p>
      <w:pPr>
        <w:spacing w:after="0" w:line="16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w:t>
            </w:r>
          </w:p>
        </w:tc>
      </w:tr>
      <w:tr>
        <w:trPr>
          <w:trHeight w:val="148"/>
        </w:trPr>
        <w:tc>
          <w:tcPr>
            <w:tcW w:w="55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55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554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r>
      <w:tr>
        <w:trPr>
          <w:trHeight w:val="237"/>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76.40%</w:t>
            </w: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4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Expected term</w:t>
            </w:r>
          </w:p>
        </w:tc>
        <w:tc>
          <w:tcPr>
            <w:tcW w:w="1200" w:type="dxa"/>
            <w:vAlign w:val="bottom"/>
          </w:tcPr>
          <w:p>
            <w:pPr>
              <w:jc w:val="right"/>
              <w:spacing w:after="0"/>
              <w:rPr>
                <w:sz w:val="20"/>
                <w:szCs w:val="20"/>
                <w:color w:val="auto"/>
              </w:rPr>
            </w:pPr>
            <w:r>
              <w:rPr>
                <w:rFonts w:ascii="Arial" w:cs="Arial" w:eastAsia="Arial" w:hAnsi="Arial"/>
                <w:sz w:val="18"/>
                <w:szCs w:val="18"/>
                <w:color w:val="auto"/>
              </w:rPr>
              <w:t>4.77 years</w:t>
            </w:r>
          </w:p>
        </w:tc>
      </w:tr>
    </w:tbl>
    <w:p>
      <w:pPr>
        <w:spacing w:after="0" w:line="255" w:lineRule="exact"/>
        <w:rPr>
          <w:sz w:val="20"/>
          <w:szCs w:val="20"/>
          <w:color w:val="auto"/>
        </w:rPr>
      </w:pPr>
    </w:p>
    <w:p>
      <w:pPr>
        <w:jc w:val="both"/>
        <w:ind w:right="500" w:firstLine="441"/>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the Company’s common stock does not have a significant trading history, the expected volatility assumption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a peer group of similar companies whose share prices are publicly available. The peer group was developed based on companies in the biotechnology industry.</w:t>
      </w:r>
    </w:p>
    <w:p>
      <w:pPr>
        <w:spacing w:after="0" w:line="184"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assumption on the U.S. Treasury’s rates for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those of the expected term of the award being valued.</w:t>
      </w:r>
    </w:p>
    <w:p>
      <w:pPr>
        <w:spacing w:after="0" w:line="170"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bases the expected dividend yield assumption on the fact that it has never paid cash dividends and has no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plans to pay cash dividends.</w:t>
      </w:r>
    </w:p>
    <w:p>
      <w:pPr>
        <w:spacing w:after="0" w:line="170"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For employees, the expected term represents the period of time that options are expected to be outstanding. Because the Company has</w:t>
      </w:r>
      <w:r>
        <w:rPr>
          <w:rFonts w:ascii="Arial" w:cs="Arial" w:eastAsia="Arial" w:hAnsi="Arial"/>
          <w:sz w:val="17"/>
          <w:szCs w:val="17"/>
          <w:i w:val="1"/>
          <w:iCs w:val="1"/>
          <w:color w:val="auto"/>
        </w:rPr>
        <w:t xml:space="preserve"> </w:t>
      </w:r>
      <w:r>
        <w:rPr>
          <w:rFonts w:ascii="Arial" w:cs="Arial" w:eastAsia="Arial" w:hAnsi="Arial"/>
          <w:sz w:val="17"/>
          <w:szCs w:val="17"/>
          <w:color w:val="auto"/>
        </w:rPr>
        <w:t>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In December 2020, the Company’s board of directors and stockholders approved the BioAtla, Inc. Employee Stock Purchase Plan (the “ESPP”). The ESPP permits participants to purchase common stock through payroll deductions of up to 15% of their eligible compensation. As of March 31, 2021 and December 31, 2020, a total of 833,993 shares and 464,829 shares, respectively, of common stock were reserved for issuance under the ESPP. The number of shares of common stock reserved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 common shares or (iii) a number determined by the Company’s board of directors that is less than (i) and (ii). In February 2021, employees began to enroll in the ESPP and the Company’s first offering period commenced. Stock-based compensation expense related to the ESPP for the three months ended March 31, 2021 was immaterial.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color w:val="auto"/>
        </w:rPr>
        <w:t>Upon adoption of ASU No. 2018-07 on October 1, 2020, the measurement date of the warrants described below became fixed in accordance with the guidance, and such fair value was nominal since the warrants were deeply out-of-the-money. As of March 31, 2021 all the common stock warrants below are exercisable and expire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vMerge w:val="restart"/>
          </w:tcPr>
          <w:p>
            <w:pPr>
              <w:jc w:val="center"/>
              <w:ind w:right="277"/>
              <w:spacing w:after="0"/>
              <w:rPr>
                <w:sz w:val="20"/>
                <w:szCs w:val="20"/>
                <w:color w:val="auto"/>
              </w:rPr>
            </w:pPr>
            <w:r>
              <w:rPr>
                <w:rFonts w:ascii="Arial" w:cs="Arial" w:eastAsia="Arial" w:hAnsi="Arial"/>
                <w:sz w:val="14"/>
                <w:szCs w:val="14"/>
                <w:b w:val="1"/>
                <w:bCs w:val="1"/>
                <w:color w:val="auto"/>
                <w:w w:val="91"/>
              </w:rPr>
              <w:t>Exercise Price</w:t>
            </w: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Expiration Date</w:t>
            </w: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2"/>
              </w:rPr>
              <w:t>per Share</w:t>
            </w:r>
          </w:p>
        </w:tc>
        <w:tc>
          <w:tcPr>
            <w:tcW w:w="280" w:type="dxa"/>
            <w:vAlign w:val="bottom"/>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260" w:type="dxa"/>
            <w:vAlign w:val="bottom"/>
          </w:tcPr>
          <w:p>
            <w:pPr>
              <w:spacing w:after="0"/>
              <w:rPr>
                <w:sz w:val="20"/>
                <w:szCs w:val="20"/>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566,586</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w:t>
            </w:r>
          </w:p>
        </w:tc>
        <w:tc>
          <w:tcPr>
            <w:tcW w:w="280" w:type="dxa"/>
            <w:vAlign w:val="bottom"/>
            <w:shd w:val="clear" w:color="auto" w:fill="CFF0FC"/>
          </w:tcPr>
          <w:p>
            <w:pPr>
              <w:spacing w:after="0"/>
              <w:rPr>
                <w:sz w:val="20"/>
                <w:szCs w:val="20"/>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17, 2021</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151,088</w:t>
            </w:r>
          </w:p>
        </w:tc>
        <w:tc>
          <w:tcPr>
            <w:tcW w:w="6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132.37</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March 12, 2022</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717,674</w:t>
            </w:r>
          </w:p>
        </w:tc>
        <w:tc>
          <w:tcPr>
            <w:tcW w:w="20" w:type="dxa"/>
            <w:vAlign w:val="bottom"/>
            <w:tcBorders>
              <w:top w:val="single" w:sz="8" w:color="auto"/>
              <w:bottom w:val="single" w:sz="8" w:color="auto"/>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6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2080" w:type="dxa"/>
            <w:vAlign w:val="bottom"/>
            <w:tcBorders>
              <w:bottom w:val="single" w:sz="8" w:color="CFF0FC"/>
            </w:tcBorders>
            <w:shd w:val="clear" w:color="auto" w:fill="CFF0FC"/>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2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jc w:val="center"/>
              <w:ind w:right="257"/>
              <w:spacing w:after="0"/>
              <w:rPr>
                <w:sz w:val="20"/>
                <w:szCs w:val="20"/>
                <w:color w:val="auto"/>
              </w:rPr>
            </w:pPr>
            <w:r>
              <w:rPr>
                <w:rFonts w:ascii="Arial" w:cs="Arial" w:eastAsia="Arial" w:hAnsi="Arial"/>
                <w:sz w:val="18"/>
                <w:szCs w:val="18"/>
                <w:color w:val="auto"/>
                <w:w w:val="89"/>
              </w:rPr>
              <w:t>11</w:t>
            </w: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26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-367665</wp:posOffset>
            </wp:positionV>
            <wp:extent cx="1968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-351155</wp:posOffset>
            </wp:positionV>
            <wp:extent cx="1968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stock reserved for future issuance are as follows in common equivalent shares: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00" w:type="dxa"/>
            <w:vAlign w:val="bottom"/>
          </w:tcPr>
          <w:p>
            <w:pPr>
              <w:jc w:val="right"/>
              <w:ind w:right="155"/>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080" w:type="dxa"/>
            <w:vAlign w:val="bottom"/>
          </w:tcPr>
          <w:p>
            <w:pPr>
              <w:jc w:val="right"/>
              <w:ind w:right="36"/>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10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8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Warrants for the purchase of common stock</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717,674</w:t>
            </w:r>
          </w:p>
        </w:tc>
        <w:tc>
          <w:tcPr>
            <w:tcW w:w="20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717,674</w:t>
            </w:r>
          </w:p>
        </w:tc>
        <w:tc>
          <w:tcPr>
            <w:tcW w:w="80" w:type="dxa"/>
            <w:vAlign w:val="bottom"/>
            <w:shd w:val="clear" w:color="auto" w:fill="CFF0FC"/>
          </w:tcPr>
          <w:p>
            <w:pPr>
              <w:spacing w:after="0"/>
              <w:rPr>
                <w:sz w:val="20"/>
                <w:szCs w:val="20"/>
                <w:color w:val="auto"/>
              </w:rPr>
            </w:pPr>
          </w:p>
        </w:tc>
      </w:tr>
      <w:tr>
        <w:trPr>
          <w:trHeight w:val="215"/>
        </w:trPr>
        <w:tc>
          <w:tcPr>
            <w:tcW w:w="5400" w:type="dxa"/>
            <w:vAlign w:val="bottom"/>
          </w:tcPr>
          <w:p>
            <w:pPr>
              <w:spacing w:after="0"/>
              <w:rPr>
                <w:sz w:val="20"/>
                <w:szCs w:val="20"/>
                <w:color w:val="auto"/>
              </w:rPr>
            </w:pPr>
            <w:r>
              <w:rPr>
                <w:rFonts w:ascii="Arial" w:cs="Arial" w:eastAsia="Arial" w:hAnsi="Arial"/>
                <w:sz w:val="18"/>
                <w:szCs w:val="18"/>
                <w:color w:val="auto"/>
              </w:rPr>
              <w:t>Common stock options and restricted stock units issued and</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540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100" w:type="dxa"/>
            <w:vAlign w:val="bottom"/>
          </w:tcPr>
          <w:p>
            <w:pPr>
              <w:jc w:val="right"/>
              <w:spacing w:after="0"/>
              <w:rPr>
                <w:sz w:val="20"/>
                <w:szCs w:val="20"/>
                <w:color w:val="auto"/>
              </w:rPr>
            </w:pPr>
            <w:r>
              <w:rPr>
                <w:rFonts w:ascii="Arial" w:cs="Arial" w:eastAsia="Arial" w:hAnsi="Arial"/>
                <w:sz w:val="18"/>
                <w:szCs w:val="18"/>
                <w:color w:val="auto"/>
              </w:rPr>
              <w:t>2,561,143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2,535,143</w:t>
            </w:r>
          </w:p>
        </w:tc>
        <w:tc>
          <w:tcPr>
            <w:tcW w:w="80" w:type="dxa"/>
            <w:vAlign w:val="bottom"/>
          </w:tcPr>
          <w:p>
            <w:pPr>
              <w:spacing w:after="0"/>
              <w:rPr>
                <w:sz w:val="20"/>
                <w:szCs w:val="20"/>
                <w:color w:val="auto"/>
              </w:rPr>
            </w:pPr>
          </w:p>
        </w:tc>
      </w:tr>
      <w:tr>
        <w:trPr>
          <w:trHeight w:val="25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Awards available for future issuance under the 2020 Plan</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3,665,397</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2,404,535</w:t>
            </w:r>
          </w:p>
        </w:tc>
        <w:tc>
          <w:tcPr>
            <w:tcW w:w="80" w:type="dxa"/>
            <w:vAlign w:val="bottom"/>
            <w:shd w:val="clear" w:color="auto" w:fill="CFF0FC"/>
          </w:tcPr>
          <w:p>
            <w:pPr>
              <w:spacing w:after="0"/>
              <w:rPr>
                <w:sz w:val="21"/>
                <w:szCs w:val="2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Awards available for future issuance under the ESPP</w:t>
            </w:r>
          </w:p>
        </w:tc>
        <w:tc>
          <w:tcPr>
            <w:tcW w:w="1100" w:type="dxa"/>
            <w:vAlign w:val="bottom"/>
          </w:tcPr>
          <w:p>
            <w:pPr>
              <w:jc w:val="right"/>
              <w:spacing w:after="0"/>
              <w:rPr>
                <w:sz w:val="20"/>
                <w:szCs w:val="20"/>
                <w:color w:val="auto"/>
              </w:rPr>
            </w:pPr>
            <w:r>
              <w:rPr>
                <w:rFonts w:ascii="Arial" w:cs="Arial" w:eastAsia="Arial" w:hAnsi="Arial"/>
                <w:sz w:val="18"/>
                <w:szCs w:val="18"/>
                <w:color w:val="auto"/>
              </w:rPr>
              <w:t>833,993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464,829</w:t>
            </w:r>
          </w:p>
        </w:tc>
        <w:tc>
          <w:tcPr>
            <w:tcW w:w="80" w:type="dxa"/>
            <w:vAlign w:val="bottom"/>
          </w:tcPr>
          <w:p>
            <w:pPr>
              <w:spacing w:after="0"/>
              <w:rPr>
                <w:sz w:val="19"/>
                <w:szCs w:val="19"/>
                <w:color w:val="auto"/>
              </w:rPr>
            </w:pPr>
          </w:p>
        </w:tc>
      </w:tr>
      <w:tr>
        <w:trPr>
          <w:trHeight w:val="270"/>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common stock reserved for future issuance</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7,778,207</w:t>
            </w:r>
          </w:p>
        </w:tc>
        <w:tc>
          <w:tcPr>
            <w:tcW w:w="20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6,122,181</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-25400</wp:posOffset>
            </wp:positionV>
            <wp:extent cx="1289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1289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Profits Interest Incentive Plan</w:t>
      </w:r>
    </w:p>
    <w:p>
      <w:pPr>
        <w:spacing w:after="0" w:line="121"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Prior to the Corporate Reorganization in July 2020, the Company maintained a Profits Interest Incentive Plan (the “Plan”) for selected employees, consultants and other service providers. The Class B units generally vested over four years, were subject to continued service requirements, and only provide the participants with benefits (in the form of distributions) if the distributions from BioAtla exceed specified threshold values. Generally, upon termination of services, all unvested Class B units were forfeited to the Company and the Company had the right, but not the obligation, to repurchase the vested Class B units within two years at the termination date fair value. The Class B unit repurchase would be settled in cash, at all times at the option of the Company, and the holder did not have the right to put the Class B units to the Company under any condition. Vested Class B units that are neither repurchased by the Company nor forfeited remained subject to the terms of the Company’s operating agreement. The Class B units were not subject to sale, assignment, transfer, pledge, or allowed to be otherwise encumbered or disposed of without prior written consent of the Company.</w:t>
      </w:r>
    </w:p>
    <w:p>
      <w:pPr>
        <w:spacing w:after="0" w:line="16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Class B units were liability awards pursuant to authoritative guidance, which required the Company to record a liability based on the fair value of the Class B units as of each reporting period. Through the date of the Corporate Reorganization, the fair value of the liability awards was determined based on the Company’s estimated enterprise value, which was allocated based on a hybrid model that, in addition to the option pricing model, considering the Company’s expected IPO. Under the option pricing method, units were valued by creating a series of call options with exercise prices based on the liquidation preferences and conversion terms of each unit class.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allocation of equity-based compensation for all Class B units is as follows (in thousands):</w:t>
      </w:r>
    </w:p>
    <w:p>
      <w:pPr>
        <w:spacing w:after="0" w:line="230"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Three Months</w:t>
      </w:r>
    </w:p>
    <w:p>
      <w:pPr>
        <w:jc w:val="center"/>
        <w:ind w:left="5480"/>
        <w:spacing w:after="0" w:line="226" w:lineRule="auto"/>
        <w:rPr>
          <w:sz w:val="20"/>
          <w:szCs w:val="20"/>
          <w:color w:val="auto"/>
        </w:rPr>
      </w:pPr>
      <w:r>
        <w:rPr>
          <w:rFonts w:ascii="Arial" w:cs="Arial" w:eastAsia="Arial" w:hAnsi="Arial"/>
          <w:sz w:val="14"/>
          <w:szCs w:val="14"/>
          <w:b w:val="1"/>
          <w:bCs w:val="1"/>
          <w:color w:val="auto"/>
        </w:rPr>
        <w:t>Ended</w:t>
      </w:r>
    </w:p>
    <w:p>
      <w:pPr>
        <w:jc w:val="center"/>
        <w:ind w:left="5480"/>
        <w:spacing w:after="0" w:line="221" w:lineRule="auto"/>
        <w:rPr>
          <w:sz w:val="20"/>
          <w:szCs w:val="20"/>
          <w:color w:val="auto"/>
        </w:rPr>
      </w:pPr>
      <w:r>
        <w:rPr>
          <w:rFonts w:ascii="Arial" w:cs="Arial" w:eastAsia="Arial" w:hAnsi="Arial"/>
          <w:sz w:val="14"/>
          <w:szCs w:val="14"/>
          <w:b w:val="1"/>
          <w:bCs w:val="1"/>
          <w:color w:val="auto"/>
        </w:rPr>
        <w:t>March 31,</w:t>
      </w:r>
    </w:p>
    <w:p>
      <w:pPr>
        <w:jc w:val="center"/>
        <w:ind w:left="5480"/>
        <w:spacing w:after="0" w:line="232" w:lineRule="auto"/>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p>
    <w:tbl>
      <w:tblPr>
        <w:tblLayout w:type="fixed"/>
        <w:tblInd w:w="2260" w:type="dxa"/>
        <w:tblCellMar>
          <w:top w:w="0" w:type="dxa"/>
          <w:left w:w="0" w:type="dxa"/>
          <w:bottom w:w="0" w:type="dxa"/>
          <w:right w:w="0" w:type="dxa"/>
        </w:tblCellMar>
      </w:tblPr>
      <w:tr>
        <w:trPr>
          <w:trHeight w:val="20"/>
        </w:trPr>
        <w:tc>
          <w:tcPr>
            <w:tcW w:w="5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(2,523 )</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(3,180 )</w:t>
            </w:r>
          </w:p>
        </w:tc>
      </w:tr>
      <w:tr>
        <w:trPr>
          <w:trHeight w:val="270"/>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(5,703</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License and Option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Co-Development and Collaboration Agreement with BeiGene</w:t>
      </w:r>
    </w:p>
    <w:p>
      <w:pPr>
        <w:spacing w:after="0" w:line="117"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In April 2019, the Company entered into a Global Co-Development and Collaboration agreement (the “BeiGene Collaboration”) with BeiGene, Ltd. and BeiGene Switzerland GmbH (collectively “BeiGene”), a commercial-stage biopharmaceutical company, for the development, manufacturing and commercialization of the Company’s investigational CAB CTLA-4 antibody (BA3071). The Company and BeiGene amended the Global Co-Development and Collaboration agreement in December 2019 and in October 2020 (the “Amended BeiGene Collaboration”).</w:t>
      </w:r>
    </w:p>
    <w:p>
      <w:pPr>
        <w:spacing w:after="0" w:line="171"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Under the BeiGene Collaboration the Company would co-develop the CAB-CTLA-4 antibody to reach defined early clinical objectives (“POC Milestone”), whereby the Company would perform the development activities (“Development Services”) and BeiGene would reimburse the Company for a portion of the costs incurred by the Company for these Development Services subsequent to the filing of an Investigational New Drug Application (“IND”). Following the POC Milestone, BeiGene would then lead the parties’ joint efforts to develop the product candidate and be responsible for global regulatory filings and commercialization. Subject to the terms of the agreement, BeiGene will hold a co-exclusive license with the Company to develop and manufacture the product candidate globally and an exclusive license to commercialize the product candidate globally. BeiGene will be responsible for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4" w:name="page15"/>
    <w:bookmarkEnd w:id="14"/>
    <w:p>
      <w:pPr>
        <w:jc w:val="both"/>
        <w:ind w:right="40"/>
        <w:spacing w:after="0" w:line="263" w:lineRule="auto"/>
        <w:rPr>
          <w:sz w:val="20"/>
          <w:szCs w:val="20"/>
          <w:color w:val="auto"/>
        </w:rPr>
      </w:pPr>
      <w:r>
        <w:rPr>
          <w:rFonts w:ascii="Arial" w:cs="Arial" w:eastAsia="Arial" w:hAnsi="Arial"/>
          <w:sz w:val="18"/>
          <w:szCs w:val="18"/>
          <w:color w:val="auto"/>
        </w:rPr>
        <w:t>all costs of development, manufacturing and commercialization in China, parts of the Middle East and Asia (excluding Japan), Australia and New Zealand (the “BeiGene Territory”), and the parties would share development and manufacturing costs and commercial profits and losses upon specified terms in the rest of the world that are not part of the BeiGene Territory (the “ROW”).</w:t>
      </w:r>
    </w:p>
    <w:p>
      <w:pPr>
        <w:spacing w:after="0" w:line="184"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Subject to earlier termination, the BeiGene Collaboration shall remain in effect, on a country-by-country basis until the earlier of ten years following commercial sale or upon such time that the parties cease pursuing commercialization. Unless terminated early, at the expiration date BeiGene retains all licensing rights in the applicable territories. BeiGene may terminate the BeiGene Collaboration at any time after the one-year anniversary of the agreement subject to 90 days written notice, or any time subject to 45 days’ notice if it is determined that the proof of concept milestone or technological or scientific feasibility will not be achieved. The BeiGene Collaboration also contains customary provisions for termination by either party, including the event of breach of the BeiGene Collaboration, subject to cure.</w:t>
      </w:r>
    </w:p>
    <w:p>
      <w:pPr>
        <w:spacing w:after="0" w:line="192"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In 2019, BeiGene paid the Company an upfront non-refundable payment of $20.0 million and paid the Company $5.0 million for the reimbursement of manufacturing costs. Under the BeiGene Collaboration, the Company was eligible to receive variable consideration for subsequent development and regulatory milestones globally and commercial milestones in the BeiGene Territory and tiered royalties ranging from the mid-single digits to the mid-double digits based on net sales in the BeiGene Territory.</w:t>
      </w:r>
    </w:p>
    <w:p>
      <w:pPr>
        <w:spacing w:after="0" w:line="187"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The Company concluded that the BeiGene Collaboration is a contract with a customer and applied relevant guidance from Topic 606 through reaching the POC milestone as the licenses to intellectual property granted to BeiGene and the obligation to perform research and development services are outputs of the Company’s ongoing activities.</w:t>
      </w:r>
    </w:p>
    <w:p>
      <w:pPr>
        <w:spacing w:after="0" w:line="184"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The Company identified material promises in the BeiGene Collaboration through POC milestone, consisting of the licenses described above and the Development Services. It was determined that the licenses are not distinct from the development services resulting in a single performance obligation.</w:t>
      </w:r>
    </w:p>
    <w:p>
      <w:pPr>
        <w:spacing w:after="0" w:line="124"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In accordance with Topic 606, the Company determined the transaction price of the agreement is limited to the $25.0 million received, and excluded the variable consideration of expense reimbursements, milestone payments and royalties as they are fully constrained. The expense reimbursements were included in the transaction price in the reporting period the Company concluded it was probable that inclusion of such amounts in the transaction price would not result in a significant reversal in revenue recognized.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will be recognized when the related sales occur.</w:t>
      </w:r>
    </w:p>
    <w:p>
      <w:pPr>
        <w:spacing w:after="0" w:line="164"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Under the terms of the Amended BeiGene Collaboration, BeiGene is generally responsible for developing BA3071 and is responsible for global regulatory filings and commercialization. Subject to the terms of the Amended BeiGene Collaboration, BeiGene holds an exclusive license with the Company to develop and manufacture the BA3071 candidate globally, and BeiGene is responsible for all costs of development, manufacturing and commercialization globally. The Amended BeiGene Collaboration provides that the Company is eligible to receive tiered royalties, ranging from the high-single digits to the low twenties, on sales worldwide, up to $225.5 million in subsequent development and regulatory milestone payments globally and commercial milestones in the BeiGene territory (reduced from $249 million under the BeiGene Collaboration), and a $5.0 million milestone payment upon the completion of the Company’s amended performance obligations, including the transfer of the master cell bank for BA3071 and other know-how.</w:t>
      </w:r>
    </w:p>
    <w:p>
      <w:pPr>
        <w:spacing w:after="0" w:line="166" w:lineRule="exact"/>
        <w:rPr>
          <w:sz w:val="20"/>
          <w:szCs w:val="20"/>
          <w:color w:val="auto"/>
        </w:rPr>
      </w:pPr>
    </w:p>
    <w:p>
      <w:pPr>
        <w:ind w:right="120" w:firstLine="441"/>
        <w:spacing w:after="0" w:line="301" w:lineRule="auto"/>
        <w:rPr>
          <w:sz w:val="20"/>
          <w:szCs w:val="20"/>
          <w:color w:val="auto"/>
        </w:rPr>
      </w:pPr>
      <w:r>
        <w:rPr>
          <w:rFonts w:ascii="Arial" w:cs="Arial" w:eastAsia="Arial" w:hAnsi="Arial"/>
          <w:sz w:val="16"/>
          <w:szCs w:val="16"/>
          <w:color w:val="auto"/>
        </w:rPr>
        <w:t>Under the Amended BeiGene Collaboration, the Company’s amended performance obligation is satisfied at a point in time determined to be when BeiGene has received the know-how and master cell bank for BA3071. Until then BeiGene cannot benefit from the ability to further develop and manufacture the BA3071 candidate. Under the original collaboration agreement, the Company recognized revenue over time using an input method based on actual costs incurred compared to estimated total costs expected to be incurred to fulfill its performance obligation to perform development services.</w:t>
      </w:r>
    </w:p>
    <w:p>
      <w:pPr>
        <w:spacing w:after="0" w:line="157" w:lineRule="exact"/>
        <w:rPr>
          <w:sz w:val="20"/>
          <w:szCs w:val="20"/>
          <w:color w:val="auto"/>
        </w:rPr>
      </w:pPr>
    </w:p>
    <w:p>
      <w:pPr>
        <w:jc w:val="both"/>
        <w:ind w:right="100" w:firstLine="441"/>
        <w:spacing w:after="0" w:line="287" w:lineRule="auto"/>
        <w:rPr>
          <w:sz w:val="20"/>
          <w:szCs w:val="20"/>
          <w:color w:val="auto"/>
        </w:rPr>
      </w:pPr>
      <w:r>
        <w:rPr>
          <w:rFonts w:ascii="Arial" w:cs="Arial" w:eastAsia="Arial" w:hAnsi="Arial"/>
          <w:sz w:val="16"/>
          <w:szCs w:val="16"/>
          <w:color w:val="auto"/>
        </w:rPr>
        <w:t>For the three months ended March 31, 2021 and 2020, the Company recognized revenue of $0 and $0.1 million, respectively, related to the BeiGene collaboration. As of March 31, 2021 and December 31, 2020, the Company had $19.8 million of related deferred revenue which was classified as current. The deferred revenue is expected to be earned upon transfer of the know-how and master cell bank within the next twelve months.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Biotech Investment Group, LLC</w:t>
      </w:r>
    </w:p>
    <w:p>
      <w:pPr>
        <w:spacing w:after="0" w:line="117"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Prior to the Corporate Reorganization, Biotech Investment Group, LLC (“BIG”), was a principal owner, related party of the Company and affiliated with Biotech Investment Group II LLC (“BIG II”). Subsequent to the Corporate Reorganization, BIG is no longer a principal owner and, as a result, neither BIG nor its affiliates are related parties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Biotech Investment Group II LLC</w:t>
      </w:r>
    </w:p>
    <w:p>
      <w:pPr>
        <w:spacing w:after="0" w:line="117"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For the three months ended March 31, 2020, the Company recognized interest expense (including amortization of debt discounts) of $20,000 related to an outstanding convertible promissory note payable to BIG II. The convertible promissory note payable to BIG II was settled in connection with the Corporate Reorganization in July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Jay Short and Carolyn Anderson Short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Promissory Notes</w:t>
      </w:r>
    </w:p>
    <w:p>
      <w:pPr>
        <w:spacing w:after="0" w:line="117"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For the three months ended March 31, 2020, the Company recognized interest expense (including amortization of debt discounts) of $39,000 related to outstanding convertible promissory notes payable to Dr. Jay Short and Carolyn Anderson Short. The convertible promissory notes payable to Dr. Jay Short and Carolyn Anderson Short were settled in connection with the Corporate Reorganization in July 2020.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Agreement</w:t>
      </w:r>
    </w:p>
    <w:p>
      <w:pPr>
        <w:spacing w:after="0" w:line="117"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On March 18, 2021, the Company and Carolyn Anderson Short, its co-founder and Chief of Intellectual Property &amp; Strategy, mutually agreed that Ms. Short would depart the Company on May 31, 2021 following an agreed upon transition period. The Transition Agreement provides for the following severance benefits in exchange for a release of claims by Ms. Short: (i) a lump sum payment equal to eighteen (18) months of Ms. Short’s current base salary, (ii) a payment at her targeted bonus rate for 2021, pro-rated to the separation date, and (iii) accelerated full vesting of her equity awards including 7,747 stock options and 138,461 restricted stock units. The modification of these equity awards resulted in an incremental fair value of $7.0 million which will be recognized on a straight-line basis over the transition service period. For the three months ended March 31, 2021, the Company recognized $0.2 million related to the lump sum salary payment and target bonus, and a $1.0 million non-cash charge related to the modified equity awards.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401(k) Plan</w:t>
      </w:r>
    </w:p>
    <w:p>
      <w:pPr>
        <w:spacing w:after="0" w:line="121" w:lineRule="exact"/>
        <w:rPr>
          <w:sz w:val="20"/>
          <w:szCs w:val="20"/>
          <w:color w:val="auto"/>
        </w:rPr>
      </w:pPr>
    </w:p>
    <w:p>
      <w:pPr>
        <w:ind w:right="100" w:firstLine="441"/>
        <w:spacing w:after="0" w:line="287" w:lineRule="auto"/>
        <w:rPr>
          <w:sz w:val="20"/>
          <w:szCs w:val="20"/>
          <w:color w:val="auto"/>
        </w:rPr>
      </w:pPr>
      <w:r>
        <w:rPr>
          <w:rFonts w:ascii="Arial" w:cs="Arial" w:eastAsia="Arial" w:hAnsi="Arial"/>
          <w:sz w:val="16"/>
          <w:szCs w:val="16"/>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As of March 31, 2021 and December 31, 2020, the Company had not made any matching contributions.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together with our unaudited financial statements and notes thereto included in “Item 1. Financial Statements” of this Quarterly Report on Form 10-Q and the audited financial statements and notes thereto as of and for the year ended December 31, 2020 included in the Annual Report on Form 10-K, filed with the Securities and Exchange Commission, or the SEC, on March 24, 2021.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spacing w:after="0" w:line="17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are a United States-based company with research facilities in San Diego, California and, through our contractual relationship with BioDuro,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BA3011 and BA3021,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 We do not have any products approved for sale, and we have not generated any revenue from product sales.</w:t>
      </w:r>
    </w:p>
    <w:p>
      <w:pPr>
        <w:spacing w:after="0" w:line="181"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In July 2020, BioAtla, LLC completed a series of transactions, or the Corporate Reorganization, in connection with which it converted from a limited liability company into a Delaware corporation, spun-off Himalaya Therapeutics SEZC, and completed a Series D convertible preferred stock financing. Following the Corporate Reorganization, BioAtla, Inc. continued to hold all operations, employees, property and assets of BioAtla, LLC (excluding Himalaya Therapeutics SEZC) and assumed all of the obligations of BioAtla, LLC (exclusive of the profits interest liability related to awards granted under BioAtla, LLC’s profits interest plan). In addition, following the Corporate Reorganization, BioAtla, Inc. is a single legal entity with no consolidated variable interest entities, or VIEs, or subsidiaries. The condensed consolidated financial statements discussed in this section and included in Item 1 of this Quarterly Report on Form 10-Q are those of BioAtla, LLC and its consolidated subsidiaries prior to the Corporate Reorganization and those of BioAtla, Inc. subsequent to the Corporate Reorganization.</w:t>
      </w:r>
    </w:p>
    <w:p>
      <w:pPr>
        <w:spacing w:after="0" w:line="192"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 was $18.7 million for the three months ended March 31, 2021. As of March 31, 2021, we had an accumulated deficit of $109.6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advance the clinical development of BA3011;</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advance the clinical development of BA3021;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7" w:name="page18"/>
    <w:bookmarkEnd w:id="17"/>
    <w:p>
      <w:pPr>
        <w:ind w:left="960"/>
        <w:spacing w:after="0"/>
        <w:rPr>
          <w:sz w:val="20"/>
          <w:szCs w:val="20"/>
          <w:color w:val="auto"/>
        </w:rPr>
      </w:pPr>
      <w:r>
        <w:rPr>
          <w:rFonts w:ascii="Arial" w:cs="Arial" w:eastAsia="Arial" w:hAnsi="Arial"/>
          <w:sz w:val="18"/>
          <w:szCs w:val="18"/>
          <w:color w:val="auto"/>
        </w:rPr>
        <w:t>expand our pipeline of bispecific and other CAB antibody-based product candidates;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 to invest in our CAB technology platform;</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maintain, protect and expand our intellectual property portfolio, including patents, trade secrets and know-how;</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establish additional product collaborations and commercial manufacturing relationships with third parties;</w:t>
      </w:r>
    </w:p>
    <w:p>
      <w:pPr>
        <w:spacing w:after="0" w:line="117" w:lineRule="exact"/>
        <w:rPr>
          <w:sz w:val="20"/>
          <w:szCs w:val="20"/>
          <w:color w:val="auto"/>
        </w:rPr>
      </w:pPr>
    </w:p>
    <w:p>
      <w:pPr>
        <w:ind w:left="960" w:right="260"/>
        <w:spacing w:after="0" w:line="277" w:lineRule="auto"/>
        <w:rPr>
          <w:sz w:val="20"/>
          <w:szCs w:val="20"/>
          <w:color w:val="auto"/>
        </w:rPr>
      </w:pPr>
      <w:r>
        <w:rPr>
          <w:rFonts w:ascii="Arial" w:cs="Arial" w:eastAsia="Arial" w:hAnsi="Arial"/>
          <w:sz w:val="18"/>
          <w:szCs w:val="18"/>
          <w:color w:val="auto"/>
        </w:rPr>
        <w:t>build sales, marketing and distribution infrastructure and relationships with third parties to commercialize product candidates for which we may obtain marketing approval;</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 to expand our operational, financial and management information systems;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attract, hire and retain additional clinical, scientific, management, administrative and commercial personnel.</w:t>
      </w:r>
    </w:p>
    <w:p>
      <w:pPr>
        <w:spacing w:after="0" w:line="225" w:lineRule="exact"/>
        <w:rPr>
          <w:sz w:val="20"/>
          <w:szCs w:val="20"/>
          <w:color w:val="auto"/>
        </w:rPr>
      </w:pPr>
    </w:p>
    <w:p>
      <w:pPr>
        <w:ind w:right="160" w:firstLine="509"/>
        <w:spacing w:after="0" w:line="308" w:lineRule="auto"/>
        <w:rPr>
          <w:sz w:val="20"/>
          <w:szCs w:val="20"/>
          <w:color w:val="auto"/>
        </w:rPr>
      </w:pPr>
      <w:r>
        <w:rPr>
          <w:rFonts w:ascii="Arial" w:cs="Arial" w:eastAsia="Arial" w:hAnsi="Arial"/>
          <w:sz w:val="17"/>
          <w:szCs w:val="17"/>
          <w:color w:val="auto"/>
        </w:rPr>
        <w:t>Furthermore, we expect to incur additional costs associated with operating as a public company, including significant legal, accounting, insurance, investor relations and other administrative and professional services expenses that we did not incur as a private company.</w:t>
      </w:r>
    </w:p>
    <w:p>
      <w:pPr>
        <w:spacing w:after="0" w:line="14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88"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Through the date of our initial public offering, or IPO, in December 2020, we had funded our operations primarily through the receipt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$71.0 million from our collaboration agreements, $27.6 million from the issuance of convertible debt and $138.3 million from the issuance of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In December 2020, we completed our IPO in which we sold 12,075,000 shares of our common stock at the IPO price to the public of $18.00 per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which included the exercise in full of the underwriters’ option to purchase additional shares, for aggregate cash proceeds of $217.4 million.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incurred $19.0 million of issuance costs in connection with our IPO. Upon the closing of our IPO, all outstanding shares of our convertible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converted into 13,876,510 shares of our common stock and 1,492,059 shares of our Class B common stock. As of March 31, 2021, our cash and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equivalents totaled approximately $221.2 million. Based on our current operating plan, our current cash and cash equivalents are expected to be sufficient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fund our ongoing operations at least through the end of 2022. However, we have based this estimate on assumptions that may prove to be wrong, and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could utilize our available capital resources sooner than we currently expect.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ind w:right="20" w:firstLine="509"/>
        <w:spacing w:after="0" w:line="266" w:lineRule="auto"/>
        <w:rPr>
          <w:sz w:val="20"/>
          <w:szCs w:val="20"/>
          <w:color w:val="auto"/>
        </w:rPr>
      </w:pPr>
      <w:r>
        <w:rPr>
          <w:rFonts w:ascii="Arial" w:cs="Arial" w:eastAsia="Arial" w:hAnsi="Arial"/>
          <w:sz w:val="17"/>
          <w:szCs w:val="17"/>
          <w:color w:val="auto"/>
        </w:rPr>
        <w:t>On March 11, 2020, the World Health Organization declared the outbreak of COVID-19 caused by a novel strain of coronavirus as a pandemic, which continues to spread throughout the United States and around the world. The worldwide COVID-19 pandemic may affect our ability to complete our current preclinical studies and clinical trials, initiate and complete our planned preclinical studies and clinical trials, disrupt regulatory activities or have other adverse effects on our business, results of operations, financial condition and prospects. In addition, the pandemic has caused substantial disruption in the financial markets and may adversely impact economies worldwide, both of which could adversely affect our business, operations and ability to raise funds to support our operations. To date, we have not experienced material business disruptions, including with respect to any of the clinical trials we are conducting, or impairments of any of our assets as a result of the pandemic. We are following, and plan to continue to follow, recommendations from federal, state and local governments regarding workplace policies, practices and procedures. In March 2020, we implemented a remote working policy for many of our employees, began restricting non-essential travel and temporarily reduced salaries of our employees from March 2020 to July 2020. We are complying with all applicable guidelines for our clinical trials, including remote clinical monitoring. In April 2020, we borrowed $0.7 million under the Paycheck Protection Program under the CARES Act, as discussed further under “—Liquidity and capital resources.” We are continuing to monitor the potential impact of the pandemic, but we cannot be certain what the overall impact will be on our business, financial condition, results of operations and prospects.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 date, we have not generated any revenue from the sale of products and do not expect to generate meaningful revenue in the near future.</w:t>
      </w:r>
    </w:p>
    <w:p>
      <w:pPr>
        <w:spacing w:after="0" w:line="23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April 2019, we entered into a Global Co-Development and Collaboration Agreement with BeiGene, Ltd. which, as amended in December 2019 and October 2020, provides for the development, manufacturing and commercialization of BA3071. Under the terms of our BeiGene collaboration, BeiGene is generally responsible for developing BA3071 and is responsible for global regulatory filings and commercialization. Subject to the terms of the agreement, BeiGene holds an exclusive license with us to develop and manufacture the product candidate globally. BeiGene is responsible for all costs of development, manufacturing and commercialization globally. In addition, we may in the future seek third-party collaborators or joint venture partners for development and commercialization of additional CAB product candidates. At the time of execution of the BeiGene collaboration, we received a</w:t>
      </w:r>
    </w:p>
    <w:p>
      <w:pPr>
        <w:spacing w:after="0" w:line="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$20.0 million upfront payment and in December 2019, we received an additional $5.0 million for the reimbursement of manufacturing costs. We are eligible to receive up to $225.5 million in subsequent development and regulatory milestones globally and commercial milestones in the BeiGene territory, together with tiered royalties, ranging from the high-single digits to the low twenties, on sales worldwide. Pursuant to the terms of the October 2020 amendment, we agreed to transfer certain know-how and materials to BeiGene related to the manufacture of BA3071.</w:t>
      </w:r>
    </w:p>
    <w:p>
      <w:pPr>
        <w:spacing w:after="0" w:line="176"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We did not recognize any revenue for the three months ended March 31, 2021 and for the three months ended March 31, 2020 we recognized revenue only from our collaboration with BeiGene.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 primarily of costs incurred in the discovery and development of our product candidates.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External expenses consist of:</w:t>
      </w:r>
    </w:p>
    <w:p>
      <w:pPr>
        <w:spacing w:after="0" w:line="117" w:lineRule="exact"/>
        <w:rPr>
          <w:sz w:val="20"/>
          <w:szCs w:val="20"/>
          <w:color w:val="auto"/>
        </w:rPr>
      </w:pPr>
    </w:p>
    <w:p>
      <w:pPr>
        <w:ind w:left="1340" w:right="60"/>
        <w:spacing w:after="0" w:line="277" w:lineRule="auto"/>
        <w:rPr>
          <w:sz w:val="20"/>
          <w:szCs w:val="20"/>
          <w:color w:val="auto"/>
        </w:rPr>
      </w:pPr>
      <w:r>
        <w:rPr>
          <w:rFonts w:ascii="Arial" w:cs="Arial" w:eastAsia="Arial" w:hAnsi="Arial"/>
          <w:sz w:val="18"/>
          <w:szCs w:val="18"/>
          <w:color w:val="auto"/>
        </w:rPr>
        <w:t>Fees paid to third parties such as contractors, clinical research organizations (CROs) and consultants, including through our relationship with BioDuro, and other costs related to preclinical and clinical trials;</w:t>
      </w:r>
    </w:p>
    <w:p>
      <w:pPr>
        <w:spacing w:after="0" w:line="62" w:lineRule="exact"/>
        <w:rPr>
          <w:sz w:val="20"/>
          <w:szCs w:val="20"/>
          <w:color w:val="auto"/>
        </w:rPr>
      </w:pPr>
    </w:p>
    <w:p>
      <w:pPr>
        <w:ind w:left="1340" w:right="500"/>
        <w:spacing w:after="0" w:line="277" w:lineRule="auto"/>
        <w:rPr>
          <w:sz w:val="20"/>
          <w:szCs w:val="20"/>
          <w:color w:val="auto"/>
        </w:rPr>
      </w:pPr>
      <w:r>
        <w:rPr>
          <w:rFonts w:ascii="Arial" w:cs="Arial" w:eastAsia="Arial" w:hAnsi="Arial"/>
          <w:sz w:val="18"/>
          <w:szCs w:val="18"/>
          <w:color w:val="auto"/>
        </w:rPr>
        <w:t>Fees paid to third parties such as contract manufacturing organizations (CMOs) and other vendors for manufacturing research and clinical trial materials; and</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Expenses related to laboratory supplies and services.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Unallocated expenses consist of:</w:t>
      </w:r>
    </w:p>
    <w:p>
      <w:pPr>
        <w:spacing w:after="0" w:line="117" w:lineRule="exact"/>
        <w:rPr>
          <w:sz w:val="20"/>
          <w:szCs w:val="20"/>
          <w:color w:val="auto"/>
        </w:rPr>
      </w:pPr>
    </w:p>
    <w:p>
      <w:pPr>
        <w:ind w:left="1340" w:right="420"/>
        <w:spacing w:after="0" w:line="277" w:lineRule="auto"/>
        <w:rPr>
          <w:sz w:val="20"/>
          <w:szCs w:val="20"/>
          <w:color w:val="auto"/>
        </w:rPr>
      </w:pPr>
      <w:r>
        <w:rPr>
          <w:rFonts w:ascii="Arial" w:cs="Arial" w:eastAsia="Arial" w:hAnsi="Arial"/>
          <w:sz w:val="18"/>
          <w:szCs w:val="18"/>
          <w:color w:val="auto"/>
        </w:rPr>
        <w:t>Personnel-related expenses, including salaries, benefits and equity-based compensation expenses, for personnel in our research and development functions; and</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Related equipment and facilities depreciation expenses.</w:t>
      </w:r>
    </w:p>
    <w:p>
      <w:pPr>
        <w:spacing w:after="0" w:line="2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84"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We expect our research and development expenses to increase substantially for the foreseeable future as we continue to invest in research and development activities to advance our product candidates and our clinical programs and expand our product candidate pipeline. The process of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Our general and administrative expenses consist primarily of personnel-related expenses for personnel in our executive, finance, corporate and other administrative functions, intellectual property and patent costs, facilities and other allocated expenses, other expenses for outside professional services, including legal, human resources, audit and accounting services and insurance costs. Personnel-related expenses consist of salaries, benefits and equity-based compensation. We expect our general and administrative expenses to increase as a result of operating as a public company, including additional costs</w:t>
      </w:r>
    </w:p>
    <w:p>
      <w:pPr>
        <w:spacing w:after="0" w:line="1" w:lineRule="exact"/>
        <w:rPr>
          <w:sz w:val="20"/>
          <w:szCs w:val="20"/>
          <w:color w:val="auto"/>
        </w:rPr>
      </w:pPr>
    </w:p>
    <w:p>
      <w:pPr>
        <w:ind w:right="100" w:firstLine="8"/>
        <w:spacing w:after="0" w:line="255"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comply with the rules and regulations of the SEC and those of The Nasdaq Global Market, (ii) for legal and auditing services, (iii) for additional insurance, (iv) for investor relations activities and (v) for other administrative and professional services. We also expect our intellectual property expenses to increase as we expand our intellectual property portfolio.</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100" w:firstLine="509"/>
        <w:spacing w:after="0" w:line="277" w:lineRule="auto"/>
        <w:rPr>
          <w:sz w:val="20"/>
          <w:szCs w:val="20"/>
          <w:color w:val="auto"/>
        </w:rPr>
      </w:pPr>
      <w:r>
        <w:rPr>
          <w:rFonts w:ascii="Arial" w:cs="Arial" w:eastAsia="Arial" w:hAnsi="Arial"/>
          <w:sz w:val="18"/>
          <w:szCs w:val="18"/>
          <w:color w:val="auto"/>
        </w:rPr>
        <w:t>Interest income consists primarily of interest earned on our cash and cash equivalent balances. Our interest income has not been significant to date, but we expect interest income to increase as we invest the net proceeds from our IPO.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Interest expense consists primarily of interest incurred on our outstanding convertible debt, including coupon interest and the amortization of debt discounts, including those related to beneficial conversion features and embedded derivatives. We expect our interest expense to decline subsequent to the settlement of our outstanding convertible debt in July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The convertible promissory notes we issued during 2019 and 2020 contained redemption features which we determined were embedded derivatives to be recognized as liabilities and measured at fair value. At the end of each reporting period, changes in the estimated fair value during the period were recorded as a change in the fair value of derivative liability. The embedded derivative liability was recorded at fair value utilizing an income approach that identified the cash flows using a “with-and-without” valuation methodology. The inputs used to determine the estimated fair value of the derivative instrument were based primarily on the probability of an underlying event triggering the embedded derivative occurring and the timing of such event. We will no longer record changes in the fair value of the derivative liability subsequent to the settlement of the derivative liability in connection with the conversion of our outstanding convertible debt in July 2020.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right"/>
              <w:ind w:right="68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9"/>
                <w:szCs w:val="19"/>
                <w:color w:val="auto"/>
              </w:rPr>
            </w:pPr>
          </w:p>
        </w:tc>
      </w:tr>
      <w:tr>
        <w:trPr>
          <w:trHeight w:val="237"/>
        </w:trPr>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w w:val="95"/>
              </w:rPr>
              <w:t>(in thousands)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(89 )</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10,423</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8,762</w:t>
            </w:r>
          </w:p>
        </w:tc>
        <w:tc>
          <w:tcPr>
            <w:tcW w:w="80" w:type="dxa"/>
            <w:vAlign w:val="bottom"/>
            <w:shd w:val="clear" w:color="auto" w:fill="CFF0FC"/>
          </w:tcPr>
          <w:p>
            <w:pPr>
              <w:spacing w:after="0"/>
              <w:rPr>
                <w:sz w:val="21"/>
                <w:szCs w:val="2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8,374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(463 )</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8,837</w:t>
            </w:r>
          </w:p>
        </w:tc>
        <w:tc>
          <w:tcPr>
            <w:tcW w:w="80" w:type="dxa"/>
            <w:vAlign w:val="bottom"/>
          </w:tcPr>
          <w:p>
            <w:pPr>
              <w:spacing w:after="0"/>
              <w:rPr>
                <w:sz w:val="19"/>
                <w:szCs w:val="19"/>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18,797</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(18,797 )</w:t>
            </w:r>
          </w:p>
        </w:tc>
        <w:tc>
          <w:tcPr>
            <w:tcW w:w="30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(1,109 )</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(17,688 )</w:t>
            </w:r>
          </w:p>
        </w:tc>
      </w:tr>
      <w:tr>
        <w:trPr>
          <w:trHeight w:val="24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53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r>
      <w:tr>
        <w:trPr>
          <w:trHeight w:val="24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(2 )</w:t>
            </w:r>
          </w:p>
        </w:tc>
        <w:tc>
          <w:tcPr>
            <w:tcW w:w="3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(547 )</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FF0FC"/>
          </w:tcPr>
          <w:p>
            <w:pPr>
              <w:spacing w:after="0"/>
              <w:rPr>
                <w:sz w:val="21"/>
                <w:szCs w:val="2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Change in fair value of derivative liability</w:t>
            </w:r>
          </w:p>
        </w:tc>
        <w:tc>
          <w:tcPr>
            <w:tcW w:w="2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(47 )</w:t>
            </w: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Consolidated net loss and comprehensive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(18,701 )</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(1,604 )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(17,097 )</w:t>
            </w: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-1108075</wp:posOffset>
            </wp:positionV>
            <wp:extent cx="146050" cy="4763"/>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6050" cy="4763"/>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-1108075</wp:posOffset>
            </wp:positionV>
            <wp:extent cx="128905" cy="4763"/>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4763"/>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-1108075</wp:posOffset>
            </wp:positionV>
            <wp:extent cx="51435" cy="4763"/>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4763"/>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-182245</wp:posOffset>
            </wp:positionV>
            <wp:extent cx="146050" cy="4763"/>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6050" cy="4763"/>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-182245</wp:posOffset>
            </wp:positionV>
            <wp:extent cx="128905" cy="4763"/>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4763"/>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-182245</wp:posOffset>
            </wp:positionV>
            <wp:extent cx="51435" cy="4763"/>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4763"/>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ind w:right="40" w:firstLine="509"/>
        <w:spacing w:after="0" w:line="287" w:lineRule="auto"/>
        <w:rPr>
          <w:sz w:val="20"/>
          <w:szCs w:val="20"/>
          <w:color w:val="auto"/>
        </w:rPr>
      </w:pPr>
      <w:r>
        <w:rPr>
          <w:rFonts w:ascii="Arial" w:cs="Arial" w:eastAsia="Arial" w:hAnsi="Arial"/>
          <w:sz w:val="16"/>
          <w:szCs w:val="16"/>
          <w:color w:val="auto"/>
        </w:rPr>
        <w:t>Collaboration revenue for the three months ended March 31, 2021 and 2020 consisted of revenue recognized under our collaboration with BeiGene. BeiGene collaboration revenue decreased to $0 for the three months ended March 31, 2021 from $0.1 million for the three months ended March 31, 2020. Under the amended collaboration agreement with BeiGene, the remaining $19.8 million of deferred revenue is expected to be earned upon transfer of</w:t>
      </w:r>
    </w:p>
    <w:p>
      <w:pPr>
        <w:spacing w:after="0" w:line="2" w:lineRule="exact"/>
        <w:rPr>
          <w:sz w:val="20"/>
          <w:szCs w:val="20"/>
          <w:color w:val="auto"/>
        </w:rPr>
      </w:pPr>
    </w:p>
    <w:p>
      <w:pPr>
        <w:jc w:val="right"/>
        <w:ind w:right="5460"/>
        <w:spacing w:after="0" w:line="260" w:lineRule="auto"/>
        <w:rPr>
          <w:sz w:val="20"/>
          <w:szCs w:val="20"/>
          <w:color w:val="auto"/>
        </w:rPr>
      </w:pPr>
      <w:r>
        <w:rPr>
          <w:rFonts w:ascii="Arial" w:cs="Arial" w:eastAsia="Arial" w:hAnsi="Arial"/>
          <w:sz w:val="18"/>
          <w:szCs w:val="18"/>
          <w:color w:val="auto"/>
        </w:rPr>
        <w:t>the know-how and materials to BeiGene related to the manufacture of BA3071.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allocated by CAB program for the periods indicated:</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9"/>
                <w:szCs w:val="19"/>
                <w:color w:val="auto"/>
              </w:rPr>
            </w:pPr>
          </w:p>
        </w:tc>
      </w:tr>
      <w:tr>
        <w:trPr>
          <w:trHeight w:val="237"/>
        </w:trPr>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(in thousands)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5300" w:type="dxa"/>
            <w:vAlign w:val="bottom"/>
          </w:tcPr>
          <w:p>
            <w:pPr>
              <w:ind w:left="240"/>
              <w:spacing w:after="0"/>
              <w:rPr>
                <w:sz w:val="20"/>
                <w:szCs w:val="20"/>
                <w:color w:val="auto"/>
              </w:rPr>
            </w:pPr>
            <w:r>
              <w:rPr>
                <w:rFonts w:ascii="Arial" w:cs="Arial" w:eastAsia="Arial" w:hAnsi="Arial"/>
                <w:sz w:val="18"/>
                <w:szCs w:val="18"/>
                <w:color w:val="auto"/>
              </w:rPr>
              <w:t>BA3011 (AXL-ADC)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4,573</w:t>
            </w:r>
          </w:p>
        </w:tc>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879</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3,694</w:t>
            </w:r>
          </w:p>
        </w:tc>
        <w:tc>
          <w:tcPr>
            <w:tcW w:w="80" w:type="dxa"/>
            <w:vAlign w:val="bottom"/>
          </w:tcPr>
          <w:p>
            <w:pPr>
              <w:spacing w:after="0"/>
              <w:rPr>
                <w:sz w:val="20"/>
                <w:szCs w:val="20"/>
                <w:color w:val="auto"/>
              </w:rPr>
            </w:pPr>
          </w:p>
        </w:tc>
      </w:tr>
      <w:tr>
        <w:trPr>
          <w:trHeight w:val="24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BA3021 (ROR2-ADC)</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FF0FC"/>
          </w:tcPr>
          <w:p>
            <w:pPr>
              <w:spacing w:after="0"/>
              <w:rPr>
                <w:sz w:val="21"/>
                <w:szCs w:val="2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Other CAB Programs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80" w:type="dxa"/>
            <w:vAlign w:val="bottom"/>
          </w:tcPr>
          <w:p>
            <w:pPr>
              <w:spacing w:after="0"/>
              <w:rPr>
                <w:sz w:val="19"/>
                <w:szCs w:val="19"/>
                <w:color w:val="auto"/>
              </w:rPr>
            </w:pP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Total external expenses</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7,621</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5,186</w:t>
            </w:r>
          </w:p>
        </w:tc>
        <w:tc>
          <w:tcPr>
            <w:tcW w:w="80" w:type="dxa"/>
            <w:vAlign w:val="bottom"/>
            <w:shd w:val="clear" w:color="auto" w:fill="CFF0FC"/>
          </w:tcPr>
          <w:p>
            <w:pPr>
              <w:spacing w:after="0"/>
              <w:rPr>
                <w:sz w:val="20"/>
                <w:szCs w:val="20"/>
                <w:color w:val="auto"/>
              </w:rPr>
            </w:pPr>
          </w:p>
        </w:tc>
      </w:tr>
      <w:tr>
        <w:trPr>
          <w:trHeight w:val="237"/>
        </w:trPr>
        <w:tc>
          <w:tcPr>
            <w:tcW w:w="5300" w:type="dxa"/>
            <w:vAlign w:val="bottom"/>
          </w:tcPr>
          <w:p>
            <w:pPr>
              <w:ind w:left="240"/>
              <w:spacing w:after="0"/>
              <w:rPr>
                <w:sz w:val="20"/>
                <w:szCs w:val="20"/>
                <w:color w:val="auto"/>
              </w:rPr>
            </w:pPr>
            <w:r>
              <w:rPr>
                <w:rFonts w:ascii="Arial" w:cs="Arial" w:eastAsia="Arial" w:hAnsi="Arial"/>
                <w:sz w:val="18"/>
                <w:szCs w:val="18"/>
                <w:color w:val="auto"/>
              </w:rPr>
              <w:t>Personnel and related</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p>
        </w:tc>
      </w:tr>
      <w:tr>
        <w:trPr>
          <w:trHeight w:val="24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Equity-based compensation</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(2,523 )</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w:t>
            </w:r>
          </w:p>
        </w:tc>
        <w:tc>
          <w:tcPr>
            <w:tcW w:w="80" w:type="dxa"/>
            <w:vAlign w:val="bottom"/>
            <w:shd w:val="clear" w:color="auto" w:fill="CFF0FC"/>
          </w:tcPr>
          <w:p>
            <w:pPr>
              <w:spacing w:after="0"/>
              <w:rPr>
                <w:sz w:val="21"/>
                <w:szCs w:val="2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Facilities and 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7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10,423</w:t>
            </w:r>
          </w:p>
        </w:tc>
        <w:tc>
          <w:tcPr>
            <w:tcW w:w="2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8,762</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1460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1460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1289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1289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2"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Research and development expenses were $10.4 million and $1.7 million for the three months ended March 31, 2021 and 2020, respectively. The increase of $8.8 million was primarily driven by a $5.3 million increase in external costs due to manufacturing for our clinical candidates and ongoing clinical development for both BA3011 and BA3021, a $2.5 million increase related to 2020 fair value adjustments to units issued under our former profits interest plan and a $1.0 million increase in stock-based compensation due to awards issued in connection with our IPO.</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General and administrative expenses were $8.4 million and $(0.5) million for the three months ended March 31, 2021 and 2020, respectively. The increase of $8.9 million was primarily driven by a $3.7 million increase in stock-based compensation due to awards issued in connection with the IPO and for new employees, a $3.2 million increase in equity-based compensation related to 2020 fair value adjustments to units issued under our former profits interest plan, a $0.7 million increase in insurance expense, a $0.6 million increase in professional fees related to accounting and audit services, a $0.5 million increase in personnel related expenses as we expanded our administrative functions in support of our development activities, a $0.2 million increase in other expenses including corporate franchise taxes and a $0.1 million increase in depreciation expense. These increases were offset by a $0.1 million decrease in travel related expense.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Interest income was $98,000 and $5,000 for the three months ended March 31, 2021 and 2020, respectively. The increase of $93,000 was primarily due to interest income on the proceeds we received in the IPO.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Interest expense was $2,000 and $0.5 million for the three months ended March 31, 2021 and 2020, respectively. The decrease of $0.5 million was primarily due to reduced interest expense as a result of the settlement of all of our convertible debt in July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Change in fair value of derivative liability was $0 and $47,000 for the three months ended March 31, 2021 and 2020, respectively. The decrease of $47,000 was primarily due to the settlement of all of our convertible debt, and related embedded derivatives, in July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We have incurred aggregate net losses and negative cash flows from operations since our inception and anticipate we will continue to incur net losses for the foreseeable future. As of March 31, 2021, we had cash and cash equivalents of $221.2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and Promissory Notes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2019, we had outstanding convertible notes with an aggregate principal balance of $19.0 million and issued an additional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$2.8 million of convertible notes between March and April of 2020. All principal and accrued interest under the convertible notes was converted into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Series D preferred stock in July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1" w:name="page22"/>
    <w:bookmarkEnd w:id="21"/>
    <w:p>
      <w:pPr>
        <w:ind w:right="100" w:firstLine="509"/>
        <w:spacing w:after="0" w:line="296" w:lineRule="auto"/>
        <w:rPr>
          <w:sz w:val="20"/>
          <w:szCs w:val="20"/>
          <w:color w:val="auto"/>
        </w:rPr>
      </w:pPr>
      <w:r>
        <w:rPr>
          <w:rFonts w:ascii="Arial" w:cs="Arial" w:eastAsia="Arial" w:hAnsi="Arial"/>
          <w:sz w:val="16"/>
          <w:szCs w:val="16"/>
          <w:color w:val="auto"/>
        </w:rPr>
        <w:t>On April 22, 2020, we received proceeds from a loan, or PPP Loan, in the amount of $0.7 million from City National Bank, as lender, pursuant to the Paycheck Protection Program, or PPP, of the CARES Act. The PPP Loan is evidenced by a promissory note, or Note, which contains customary events of default relating to, among other things, payment defaults and breaches of representations, warranties or terms of the PPP Loan documents. The PPP Loan matures on April 22, 2022 and bears interest at an annual rate of approximately 1%. Beginning in August 2021, we are required to begin making monthly payments of principal and interest. We may prepay the PPP Loan at any time prior to maturity with no prepayment penalties.</w:t>
      </w:r>
    </w:p>
    <w:p>
      <w:pPr>
        <w:spacing w:after="0" w:line="161"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proceeds from the PPP Loan may only be used for payroll costs (including benefits), rent and utility obligations, and interest on certain of our other debt obligations.</w:t>
      </w:r>
    </w:p>
    <w:p>
      <w:pPr>
        <w:spacing w:after="0" w:line="17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All or a portion of the PPP Loan may be forgiven by the U.S. Small Business Administration, or SBA, upon application by us beginning 60 days after loan approval and upon documentation of expenditures in accordance with the SBA requirements. In the event the PPP Loan, or any portion thereof, is forgiven pursuant to the PPP, the amount forgiven is applied to outstanding principal. If it is determined that we were not eligible to receive the PPP Loan, we may be subject to penalties and could be required to repay the PPP Loan in its entirety.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38" w:lineRule="exact"/>
        <w:rPr>
          <w:sz w:val="20"/>
          <w:szCs w:val="20"/>
          <w:color w:val="auto"/>
        </w:rPr>
      </w:pPr>
    </w:p>
    <w:p>
      <w:pPr>
        <w:ind w:left="960" w:right="460"/>
        <w:spacing w:after="0" w:line="277" w:lineRule="auto"/>
        <w:rPr>
          <w:sz w:val="20"/>
          <w:szCs w:val="20"/>
          <w:color w:val="auto"/>
        </w:rPr>
      </w:pPr>
      <w:r>
        <w:rPr>
          <w:rFonts w:ascii="Arial" w:cs="Arial" w:eastAsia="Arial" w:hAnsi="Arial"/>
          <w:sz w:val="18"/>
          <w:szCs w:val="18"/>
          <w:color w:val="auto"/>
        </w:rPr>
        <w:t>the initiation, scope, rate of progress, results and costs of our preclinical studies, clinical trials and other related activities for our product candidates;</w:t>
      </w:r>
    </w:p>
    <w:p>
      <w:pPr>
        <w:spacing w:after="0" w:line="62" w:lineRule="exact"/>
        <w:rPr>
          <w:sz w:val="20"/>
          <w:szCs w:val="20"/>
          <w:color w:val="auto"/>
        </w:rPr>
      </w:pPr>
    </w:p>
    <w:p>
      <w:pPr>
        <w:ind w:left="960" w:right="300"/>
        <w:spacing w:after="0" w:line="277" w:lineRule="auto"/>
        <w:rPr>
          <w:sz w:val="20"/>
          <w:szCs w:val="20"/>
          <w:color w:val="auto"/>
        </w:rPr>
      </w:pPr>
      <w:r>
        <w:rPr>
          <w:rFonts w:ascii="Arial" w:cs="Arial" w:eastAsia="Arial" w:hAnsi="Arial"/>
          <w:sz w:val="18"/>
          <w:szCs w:val="18"/>
          <w:color w:val="auto"/>
        </w:rPr>
        <w:t>the costs associated with manufacturing our product candidates and establishing commercial supplies and sales, marketing and distribution capabilities;</w:t>
      </w:r>
    </w:p>
    <w:p>
      <w:pPr>
        <w:spacing w:after="0" w:line="62" w:lineRule="exact"/>
        <w:rPr>
          <w:sz w:val="20"/>
          <w:szCs w:val="20"/>
          <w:color w:val="auto"/>
        </w:rPr>
      </w:pPr>
    </w:p>
    <w:p>
      <w:pPr>
        <w:ind w:left="960" w:right="3620"/>
        <w:spacing w:after="0" w:line="397" w:lineRule="auto"/>
        <w:rPr>
          <w:sz w:val="20"/>
          <w:szCs w:val="20"/>
          <w:color w:val="auto"/>
        </w:rPr>
      </w:pPr>
      <w:r>
        <w:rPr>
          <w:rFonts w:ascii="Arial" w:cs="Arial" w:eastAsia="Arial" w:hAnsi="Arial"/>
          <w:sz w:val="17"/>
          <w:szCs w:val="17"/>
          <w:color w:val="auto"/>
        </w:rPr>
        <w:t>the timing and costs of capital expenditures to support our research and development efforts; the number and characteristics of other product candidates that we pursue;</w:t>
      </w:r>
    </w:p>
    <w:p>
      <w:pPr>
        <w:spacing w:after="0" w:line="1" w:lineRule="exact"/>
        <w:rPr>
          <w:sz w:val="20"/>
          <w:szCs w:val="20"/>
          <w:color w:val="auto"/>
        </w:rPr>
      </w:pPr>
    </w:p>
    <w:p>
      <w:pPr>
        <w:ind w:left="960" w:right="180"/>
        <w:spacing w:after="0" w:line="263" w:lineRule="auto"/>
        <w:rPr>
          <w:sz w:val="20"/>
          <w:szCs w:val="20"/>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receipt and amount of sales from our potential products;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need and ability to hire additional management, scientific and medical personnel;</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effect of competing products that may limit market penetration of our product candidates;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compliance and administrative costs associated with being a public company; and</w:t>
      </w:r>
    </w:p>
    <w:p>
      <w:pPr>
        <w:spacing w:after="0" w:line="117" w:lineRule="exact"/>
        <w:rPr>
          <w:sz w:val="20"/>
          <w:szCs w:val="20"/>
          <w:color w:val="auto"/>
        </w:rPr>
      </w:pPr>
    </w:p>
    <w:p>
      <w:pPr>
        <w:ind w:left="960" w:right="120"/>
        <w:spacing w:after="0" w:line="277" w:lineRule="auto"/>
        <w:rPr>
          <w:sz w:val="20"/>
          <w:szCs w:val="20"/>
          <w:color w:val="auto"/>
        </w:rPr>
      </w:pPr>
      <w:r>
        <w:rPr>
          <w:rFonts w:ascii="Arial" w:cs="Arial" w:eastAsia="Arial" w:hAnsi="Arial"/>
          <w:sz w:val="18"/>
          <w:szCs w:val="18"/>
          <w:color w:val="auto"/>
        </w:rPr>
        <w:t>the extent to which we acquire or invest in businesses, products or technologies, although we have no commitments or agreements relating to any of these types of transactions.</w:t>
      </w:r>
    </w:p>
    <w:p>
      <w:pPr>
        <w:spacing w:after="0" w:line="170" w:lineRule="exact"/>
        <w:rPr>
          <w:sz w:val="20"/>
          <w:szCs w:val="20"/>
          <w:color w:val="auto"/>
        </w:rPr>
      </w:pPr>
    </w:p>
    <w:p>
      <w:pPr>
        <w:jc w:val="both"/>
        <w:ind w:right="440" w:firstLine="509"/>
        <w:spacing w:after="0" w:line="263" w:lineRule="auto"/>
        <w:rPr>
          <w:sz w:val="20"/>
          <w:szCs w:val="20"/>
          <w:color w:val="auto"/>
        </w:rPr>
      </w:pPr>
      <w:r>
        <w:rPr>
          <w:rFonts w:ascii="Arial" w:cs="Arial" w:eastAsia="Arial" w:hAnsi="Arial"/>
          <w:sz w:val="18"/>
          <w:szCs w:val="18"/>
          <w:color w:val="auto"/>
        </w:rPr>
        <w:t>Based on our current operating plan, our current cash and cash equivalents are expected to be sufficient to fund our ongoing operations at least through the end of 2022. However, we have based this estimate on assumptions that may prove to be wrong, and we could utilize our available capital resources sooner than we currently expect.</w:t>
      </w:r>
    </w:p>
    <w:p>
      <w:pPr>
        <w:spacing w:after="0" w:line="184"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In addition, 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line="287" w:lineRule="auto"/>
        <w:rPr>
          <w:sz w:val="20"/>
          <w:szCs w:val="20"/>
          <w:color w:val="auto"/>
        </w:rPr>
      </w:pPr>
      <w:r>
        <w:rPr>
          <w:rFonts w:ascii="Arial" w:cs="Arial" w:eastAsia="Arial" w:hAnsi="Arial"/>
          <w:sz w:val="16"/>
          <w:szCs w:val="16"/>
          <w:color w:val="auto"/>
        </w:rPr>
        <w:t>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the COVID-19 pandemic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summarizes our cash flows for the periods indicated:</w:t>
      </w:r>
    </w:p>
    <w:p>
      <w:pPr>
        <w:spacing w:after="0" w:line="230"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wp:posOffset>
            </wp:positionV>
            <wp:extent cx="1517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4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7"/>
        </w:trPr>
        <w:tc>
          <w:tcPr>
            <w:tcW w:w="5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(14,994 )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(3,814 )</w:t>
            </w:r>
          </w:p>
        </w:tc>
      </w:tr>
      <w:tr>
        <w:trPr>
          <w:trHeight w:val="256"/>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FF0FC"/>
          </w:tcPr>
          <w:p>
            <w:pPr>
              <w:spacing w:after="0"/>
              <w:rPr>
                <w:sz w:val="22"/>
                <w:szCs w:val="22"/>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(501 )</w:t>
            </w:r>
          </w:p>
        </w:tc>
        <w:tc>
          <w:tcPr>
            <w:tcW w:w="34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540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(1,911 )</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r>
      <w:tr>
        <w:trPr>
          <w:trHeight w:val="270"/>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(17,406</w:t>
            </w:r>
          </w:p>
        </w:tc>
        <w:tc>
          <w:tcPr>
            <w:tcW w:w="2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used in operating activities for the three months ended March 31, 2021 was $15.0 million, which consisted of a consolidated net loss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$18.7 million, a net change of $1.2 million in our operating assets and liabilities and $4.9 million of non-cash transactions. The net change in our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was primarily due to an increase in accounts payable and accrued expenses of $0.1 million and an increase in prepaid expenses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assets of $1.3 million. The non-cash transactions primarily consisted of $4.6 million of stock-based compensation related to the issuance of RSUs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options in the fourth quarter of 2020 and non-cash charges of $0.3 million related to depreciation and amortization, offset by a $0.1 million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deferred rent.</w:t>
      </w:r>
    </w:p>
    <w:p>
      <w:pPr>
        <w:spacing w:after="0" w:line="211" w:lineRule="exact"/>
        <w:rPr>
          <w:sz w:val="20"/>
          <w:szCs w:val="20"/>
          <w:color w:val="auto"/>
        </w:rPr>
      </w:pPr>
    </w:p>
    <w:p>
      <w:pPr>
        <w:ind w:right="200" w:firstLine="509"/>
        <w:spacing w:after="0" w:line="272" w:lineRule="auto"/>
        <w:rPr>
          <w:sz w:val="20"/>
          <w:szCs w:val="20"/>
          <w:color w:val="auto"/>
        </w:rPr>
      </w:pPr>
      <w:r>
        <w:rPr>
          <w:rFonts w:ascii="Arial" w:cs="Arial" w:eastAsia="Arial" w:hAnsi="Arial"/>
          <w:sz w:val="17"/>
          <w:szCs w:val="17"/>
          <w:color w:val="auto"/>
        </w:rPr>
        <w:t>Net cash used in operating activities for the three months ended March 31, 2020 was $3.8 million, which consisted of a consolidated net loss of $1.6 million and a net change of $3.2 million in our net operating assets and liabilities, and $5.4 million in non-cash transaction. The net change in our operating assets and liabilities was primarily due to an increase in prepaid expenses and other assets of $0.4 million, an increase in accounts payable and accrued expenses of $2.5 million and an increase in accrued interest of $0.4 million on our outstanding convertible debt. The $5.4 million change in non-cash transactions primarily consisted of a decrease in the profits interest liability of $5.7 million primarily due to a decrease in the fair value of the underlying awards and $0.1 million related to the change in fair value of our derivative liability and deferred rent, offset by non-cash charges of $0.2 million related to depreciation and amortization and $0.2 million of non-cash interest.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Cash used in investing activities was $0.5 million and $20,000 for the three months ended March 31, 2021 and 2020, respectively, related to the purchase of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117"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Net cash used in financing activities was $1.9 million for the three months ended March 31, 2021, which consisted primarily of our payment of initial public offering costs.</w:t>
      </w:r>
    </w:p>
    <w:p>
      <w:pPr>
        <w:spacing w:after="0" w:line="170" w:lineRule="exact"/>
        <w:rPr>
          <w:sz w:val="20"/>
          <w:szCs w:val="20"/>
          <w:color w:val="auto"/>
        </w:rPr>
      </w:pPr>
    </w:p>
    <w:p>
      <w:pPr>
        <w:ind w:right="120" w:firstLine="509"/>
        <w:spacing w:after="0" w:line="258" w:lineRule="auto"/>
        <w:rPr>
          <w:sz w:val="20"/>
          <w:szCs w:val="20"/>
          <w:color w:val="auto"/>
        </w:rPr>
      </w:pPr>
      <w:r>
        <w:rPr>
          <w:rFonts w:ascii="Arial" w:cs="Arial" w:eastAsia="Arial" w:hAnsi="Arial"/>
          <w:sz w:val="18"/>
          <w:szCs w:val="18"/>
          <w:color w:val="auto"/>
        </w:rPr>
        <w:t>Net cash provided by financing activities was $0.5 million for the three months ended March 31, 2020, which consisted primarily of proceeds from the issuance of convertible notes.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6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on Form 10-K for the year ended December 31, 2020. There have not been any material changes to the critical accounting policies discussed therein during the three months ended March 31,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 to a smaller reporting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As required by Rules 13a-15(b) and 15d-15(b) of the Exchange Act, our management with the participation of our Chief Executive Officer and our Chief Financial Officer, evaluated the effectiveness of our disclosure controls and procedures as of March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2021, our Chief Executive Officer and our Chief Financial Officer concluded that, as of such date,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2021 that have materially affected, or are reasonably likely to materially affect, our internal control over financial reporting.</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Investing in our common stock involves a high degree of risk. You should carefully consider all information in this Annual Report on Form 10-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K, including our consolidated financial statements and related notes appearing elsewhere in this prospectus and “Management’s discussion and analysis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condition and results of operations,” before purchasing our common stock. These risks are discussed more fully in the section titled “Risk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Factors.” These risks and uncertainties include, but are not limited to, the following:</w:t>
      </w:r>
    </w:p>
    <w:p>
      <w:pPr>
        <w:spacing w:after="0" w:line="103"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62" w:lineRule="exact"/>
        <w:rPr>
          <w:sz w:val="20"/>
          <w:szCs w:val="20"/>
          <w:color w:val="auto"/>
        </w:rPr>
      </w:pPr>
    </w:p>
    <w:p>
      <w:pPr>
        <w:ind w:left="960" w:right="380"/>
        <w:spacing w:after="0" w:line="263" w:lineRule="auto"/>
        <w:rPr>
          <w:sz w:val="20"/>
          <w:szCs w:val="20"/>
          <w:color w:val="auto"/>
        </w:rPr>
      </w:pPr>
      <w:r>
        <w:rPr>
          <w:rFonts w:ascii="Arial" w:cs="Arial" w:eastAsia="Arial" w:hAnsi="Arial"/>
          <w:sz w:val="18"/>
          <w:szCs w:val="18"/>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product candidates may fail in development or suffer delays that adversely affect their commercial viability.</w:t>
      </w:r>
    </w:p>
    <w:p>
      <w:pPr>
        <w:spacing w:after="0" w:line="117" w:lineRule="exact"/>
        <w:rPr>
          <w:sz w:val="20"/>
          <w:szCs w:val="20"/>
          <w:color w:val="auto"/>
        </w:rPr>
      </w:pPr>
    </w:p>
    <w:p>
      <w:pPr>
        <w:ind w:left="960" w:right="440"/>
        <w:spacing w:after="0" w:line="277" w:lineRule="auto"/>
        <w:rPr>
          <w:sz w:val="20"/>
          <w:szCs w:val="20"/>
          <w:color w:val="auto"/>
        </w:rPr>
      </w:pPr>
      <w:r>
        <w:rPr>
          <w:rFonts w:ascii="Arial" w:cs="Arial" w:eastAsia="Arial" w:hAnsi="Arial"/>
          <w:sz w:val="18"/>
          <w:szCs w:val="18"/>
          <w:color w:val="auto"/>
        </w:rPr>
        <w:t>We are substantially dependent on the success of our patented CAB technology platform, and our future success depends heavily on the successful development of this platform.</w:t>
      </w:r>
    </w:p>
    <w:p>
      <w:pPr>
        <w:spacing w:after="0" w:line="62"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We may expend our resources to pursue particular product candidates and fail to capitalize on product candidates that may be more profitable or for which there is a greater likelihood of success</w:t>
      </w:r>
    </w:p>
    <w:p>
      <w:pPr>
        <w:spacing w:after="0" w:line="62" w:lineRule="exact"/>
        <w:rPr>
          <w:sz w:val="20"/>
          <w:szCs w:val="20"/>
          <w:color w:val="auto"/>
        </w:rPr>
      </w:pPr>
    </w:p>
    <w:p>
      <w:pPr>
        <w:ind w:left="960" w:right="560"/>
        <w:spacing w:after="0" w:line="277" w:lineRule="auto"/>
        <w:rPr>
          <w:sz w:val="20"/>
          <w:szCs w:val="20"/>
          <w:color w:val="auto"/>
        </w:rPr>
      </w:pPr>
      <w:r>
        <w:rPr>
          <w:rFonts w:ascii="Arial" w:cs="Arial" w:eastAsia="Arial" w:hAnsi="Arial"/>
          <w:sz w:val="18"/>
          <w:szCs w:val="18"/>
          <w:color w:val="auto"/>
        </w:rPr>
        <w:t>The market may not be receptive to our product candidates because they are based on our novel therapeutic modality, and we may not generate any future revenue from the sale or licensing of product candidates.</w:t>
      </w:r>
    </w:p>
    <w:p>
      <w:pPr>
        <w:spacing w:after="0" w:line="62" w:lineRule="exact"/>
        <w:rPr>
          <w:sz w:val="20"/>
          <w:szCs w:val="20"/>
          <w:color w:val="auto"/>
        </w:rPr>
      </w:pPr>
    </w:p>
    <w:p>
      <w:pPr>
        <w:ind w:left="960" w:right="240"/>
        <w:spacing w:after="0" w:line="277" w:lineRule="auto"/>
        <w:rPr>
          <w:sz w:val="20"/>
          <w:szCs w:val="20"/>
          <w:color w:val="auto"/>
        </w:rPr>
      </w:pPr>
      <w:r>
        <w:rPr>
          <w:rFonts w:ascii="Arial" w:cs="Arial" w:eastAsia="Arial" w:hAnsi="Arial"/>
          <w:sz w:val="18"/>
          <w:szCs w:val="18"/>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sz w:val="20"/>
          <w:szCs w:val="20"/>
          <w:color w:val="auto"/>
        </w:rPr>
      </w:pPr>
    </w:p>
    <w:p>
      <w:pPr>
        <w:jc w:val="both"/>
        <w:ind w:left="960" w:right="120"/>
        <w:spacing w:after="0" w:line="308" w:lineRule="auto"/>
        <w:rPr>
          <w:sz w:val="20"/>
          <w:szCs w:val="20"/>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left="960" w:right="980"/>
        <w:spacing w:after="0" w:line="277" w:lineRule="auto"/>
        <w:rPr>
          <w:sz w:val="20"/>
          <w:szCs w:val="20"/>
          <w:color w:val="auto"/>
        </w:rPr>
      </w:pPr>
      <w:r>
        <w:rPr>
          <w:rFonts w:ascii="Arial" w:cs="Arial" w:eastAsia="Arial" w:hAnsi="Arial"/>
          <w:sz w:val="18"/>
          <w:szCs w:val="18"/>
          <w:color w:val="auto"/>
        </w:rPr>
        <w:t>Delays in the commencement and completion of clinical trials could increase costs and delay or prevent regulatory approval and commercialization of our product candidates.</w:t>
      </w:r>
    </w:p>
    <w:p>
      <w:pPr>
        <w:spacing w:after="0" w:line="62" w:lineRule="exact"/>
        <w:rPr>
          <w:sz w:val="20"/>
          <w:szCs w:val="20"/>
          <w:color w:val="auto"/>
        </w:rPr>
      </w:pPr>
    </w:p>
    <w:p>
      <w:pPr>
        <w:ind w:left="960" w:right="80"/>
        <w:spacing w:after="0" w:line="277" w:lineRule="auto"/>
        <w:rPr>
          <w:sz w:val="20"/>
          <w:szCs w:val="20"/>
          <w:color w:val="auto"/>
        </w:rPr>
      </w:pPr>
      <w:r>
        <w:rPr>
          <w:rFonts w:ascii="Arial" w:cs="Arial" w:eastAsia="Arial" w:hAnsi="Arial"/>
          <w:sz w:val="18"/>
          <w:szCs w:val="18"/>
          <w:color w:val="auto"/>
        </w:rPr>
        <w:t>We face competition from entities that have developed or may develop product candidates for cancer, including companies developing novel treatments and technology platforms.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We may be unable to obtain U.S. or foreign regulatory approval and, as a result, unable to commercialize our product candidates.</w:t>
      </w:r>
    </w:p>
    <w:p>
      <w:pPr>
        <w:spacing w:after="0" w:line="129" w:lineRule="exact"/>
        <w:rPr>
          <w:sz w:val="20"/>
          <w:szCs w:val="20"/>
          <w:color w:val="auto"/>
        </w:rPr>
      </w:pPr>
    </w:p>
    <w:p>
      <w:pPr>
        <w:jc w:val="both"/>
        <w:ind w:left="960" w:right="100"/>
        <w:spacing w:after="0" w:line="311" w:lineRule="auto"/>
        <w:rPr>
          <w:sz w:val="20"/>
          <w:szCs w:val="20"/>
          <w:color w:val="auto"/>
        </w:rPr>
      </w:pPr>
      <w:r>
        <w:rPr>
          <w:rFonts w:ascii="Arial" w:cs="Arial" w:eastAsia="Arial" w:hAnsi="Arial"/>
          <w:sz w:val="16"/>
          <w:szCs w:val="16"/>
          <w:color w:val="auto"/>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41" w:lineRule="exact"/>
        <w:rPr>
          <w:sz w:val="20"/>
          <w:szCs w:val="20"/>
          <w:color w:val="auto"/>
        </w:rPr>
      </w:pPr>
    </w:p>
    <w:p>
      <w:pPr>
        <w:ind w:left="960" w:right="60"/>
        <w:spacing w:after="0" w:line="277" w:lineRule="auto"/>
        <w:rPr>
          <w:sz w:val="20"/>
          <w:szCs w:val="20"/>
          <w:color w:val="auto"/>
        </w:rPr>
      </w:pPr>
      <w:r>
        <w:rPr>
          <w:rFonts w:ascii="Arial" w:cs="Arial" w:eastAsia="Arial" w:hAnsi="Arial"/>
          <w:sz w:val="18"/>
          <w:szCs w:val="18"/>
          <w:color w:val="auto"/>
        </w:rPr>
        <w:t>Even if we receive regulatory approval for any of our product candidates, we will be subject to ongoing regulatory obligations and continued regulatory review, which may result in significant additional expense.</w:t>
      </w:r>
    </w:p>
    <w:p>
      <w:pPr>
        <w:spacing w:after="0" w:line="62" w:lineRule="exact"/>
        <w:rPr>
          <w:sz w:val="20"/>
          <w:szCs w:val="20"/>
          <w:color w:val="auto"/>
        </w:rPr>
      </w:pPr>
    </w:p>
    <w:p>
      <w:pPr>
        <w:ind w:left="960" w:right="540"/>
        <w:spacing w:after="0" w:line="277" w:lineRule="auto"/>
        <w:rPr>
          <w:sz w:val="20"/>
          <w:szCs w:val="20"/>
          <w:color w:val="auto"/>
        </w:rPr>
      </w:pPr>
      <w:r>
        <w:rPr>
          <w:rFonts w:ascii="Arial" w:cs="Arial" w:eastAsia="Arial" w:hAnsi="Arial"/>
          <w:sz w:val="18"/>
          <w:szCs w:val="18"/>
          <w:color w:val="auto"/>
        </w:rPr>
        <w:t>If we fail to attract and retain qualified senior management and key scientific personnel, our business may be materially and adversely affected.</w:t>
      </w:r>
    </w:p>
    <w:p>
      <w:pPr>
        <w:spacing w:after="0" w:line="62" w:lineRule="exact"/>
        <w:rPr>
          <w:sz w:val="20"/>
          <w:szCs w:val="20"/>
          <w:color w:val="auto"/>
        </w:rPr>
      </w:pPr>
    </w:p>
    <w:p>
      <w:pPr>
        <w:ind w:left="960" w:right="140"/>
        <w:spacing w:after="0" w:line="342" w:lineRule="auto"/>
        <w:rPr>
          <w:sz w:val="20"/>
          <w:szCs w:val="20"/>
          <w:color w:val="auto"/>
        </w:rPr>
      </w:pPr>
      <w:r>
        <w:rPr>
          <w:rFonts w:ascii="Arial" w:cs="Arial" w:eastAsia="Arial" w:hAnsi="Arial"/>
          <w:sz w:val="16"/>
          <w:szCs w:val="16"/>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16" w:lineRule="exact"/>
        <w:rPr>
          <w:sz w:val="20"/>
          <w:szCs w:val="20"/>
          <w:color w:val="auto"/>
        </w:rPr>
      </w:pPr>
    </w:p>
    <w:p>
      <w:pPr>
        <w:ind w:left="960"/>
        <w:spacing w:after="0" w:line="263" w:lineRule="auto"/>
        <w:rPr>
          <w:sz w:val="20"/>
          <w:szCs w:val="20"/>
          <w:color w:val="auto"/>
        </w:rPr>
      </w:pPr>
      <w:r>
        <w:rPr>
          <w:rFonts w:ascii="Arial" w:cs="Arial" w:eastAsia="Arial" w:hAnsi="Arial"/>
          <w:sz w:val="18"/>
          <w:szCs w:val="18"/>
          <w:color w:val="auto"/>
        </w:rPr>
        <w:t>A portion of our research and development activities take place in China, and uncertainties regarding the interpretation and enforcement of Chinese laws, rules and regulations, a trade war or political unrest in China could materially adversely affect our business, financial condition and results of operations.</w:t>
      </w:r>
    </w:p>
    <w:p>
      <w:pPr>
        <w:spacing w:after="0" w:line="76" w:lineRule="exact"/>
        <w:rPr>
          <w:sz w:val="20"/>
          <w:szCs w:val="20"/>
          <w:color w:val="auto"/>
        </w:rPr>
      </w:pPr>
    </w:p>
    <w:p>
      <w:pPr>
        <w:ind w:left="960" w:right="20"/>
        <w:spacing w:after="0" w:line="274" w:lineRule="auto"/>
        <w:rPr>
          <w:sz w:val="20"/>
          <w:szCs w:val="20"/>
          <w:color w:val="auto"/>
        </w:rPr>
      </w:pPr>
      <w:r>
        <w:rPr>
          <w:rFonts w:ascii="Arial" w:cs="Arial" w:eastAsia="Arial" w:hAnsi="Arial"/>
          <w:sz w:val="17"/>
          <w:szCs w:val="17"/>
          <w:color w:val="auto"/>
        </w:rPr>
        <w:t>We face risks related to health epidemics and outbreaks, including the COVID-19 pandemic, which could significantly disrupt our preclinical studies and clinical trials, and therefore our receipt of necessary regulatory approvals could be delayed or prevented.</w:t>
      </w: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25" w:name="page26"/>
    <w:bookmarkEnd w:id="25"/>
    <w:p>
      <w:pPr>
        <w:jc w:val="both"/>
        <w:ind w:left="960" w:right="180"/>
        <w:spacing w:after="0" w:line="263" w:lineRule="auto"/>
        <w:rPr>
          <w:sz w:val="20"/>
          <w:szCs w:val="20"/>
          <w:color w:val="auto"/>
        </w:rPr>
      </w:pPr>
      <w:r>
        <w:rPr>
          <w:rFonts w:ascii="Arial" w:cs="Arial" w:eastAsia="Arial" w:hAnsi="Arial"/>
          <w:sz w:val="18"/>
          <w:szCs w:val="18"/>
          <w:color w:val="auto"/>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76" w:lineRule="exact"/>
        <w:rPr>
          <w:sz w:val="20"/>
          <w:szCs w:val="20"/>
          <w:color w:val="auto"/>
        </w:rPr>
      </w:pPr>
    </w:p>
    <w:p>
      <w:pPr>
        <w:ind w:left="960" w:right="60"/>
        <w:spacing w:after="0" w:line="263" w:lineRule="auto"/>
        <w:rPr>
          <w:sz w:val="20"/>
          <w:szCs w:val="20"/>
          <w:color w:val="auto"/>
        </w:rPr>
      </w:pPr>
      <w:r>
        <w:rPr>
          <w:rFonts w:ascii="Arial" w:cs="Arial" w:eastAsia="Arial" w:hAnsi="Arial"/>
          <w:sz w:val="18"/>
          <w:szCs w:val="18"/>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6" w:lineRule="exact"/>
        <w:rPr>
          <w:sz w:val="20"/>
          <w:szCs w:val="20"/>
          <w:color w:val="auto"/>
        </w:rPr>
      </w:pPr>
    </w:p>
    <w:p>
      <w:pPr>
        <w:jc w:val="both"/>
        <w:ind w:left="960" w:right="100"/>
        <w:spacing w:after="0" w:line="263" w:lineRule="auto"/>
        <w:rPr>
          <w:sz w:val="20"/>
          <w:szCs w:val="20"/>
          <w:color w:val="auto"/>
        </w:rPr>
      </w:pPr>
      <w:r>
        <w:rPr>
          <w:rFonts w:ascii="Arial" w:cs="Arial" w:eastAsia="Arial" w:hAnsi="Arial"/>
          <w:sz w:val="18"/>
          <w:szCs w:val="18"/>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future issuance of equity or of debt securities that are convertible into equity will dilute our share capital.</w:t>
      </w:r>
    </w:p>
    <w:p>
      <w:pPr>
        <w:spacing w:after="0" w:line="117" w:lineRule="exact"/>
        <w:rPr>
          <w:sz w:val="20"/>
          <w:szCs w:val="20"/>
          <w:color w:val="auto"/>
        </w:rPr>
      </w:pPr>
    </w:p>
    <w:p>
      <w:pPr>
        <w:ind w:left="960"/>
        <w:spacing w:after="0" w:line="308" w:lineRule="auto"/>
        <w:rPr>
          <w:sz w:val="20"/>
          <w:szCs w:val="20"/>
          <w:color w:val="auto"/>
        </w:rPr>
      </w:pPr>
      <w:r>
        <w:rPr>
          <w:rFonts w:ascii="Arial" w:cs="Arial" w:eastAsia="Arial" w:hAnsi="Arial"/>
          <w:sz w:val="17"/>
          <w:szCs w:val="17"/>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7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BA3011 and BA3021,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81"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$35.9 million and</w:t>
      </w:r>
    </w:p>
    <w:p>
      <w:pPr>
        <w:ind w:right="100"/>
        <w:spacing w:after="0" w:line="269" w:lineRule="auto"/>
        <w:rPr>
          <w:sz w:val="20"/>
          <w:szCs w:val="20"/>
          <w:color w:val="auto"/>
        </w:rPr>
      </w:pPr>
      <w:r>
        <w:rPr>
          <w:rFonts w:ascii="Arial" w:cs="Arial" w:eastAsia="Arial" w:hAnsi="Arial"/>
          <w:sz w:val="17"/>
          <w:szCs w:val="17"/>
          <w:color w:val="auto"/>
        </w:rPr>
        <w:t>$29.8 million for the years ended December 31, 2020 and 2019, respectively. For the three months ended March 31, 2021 our net loss was $18.7 million. As of March 31, 2021, we had an accumulated deficit of $109.6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w:t>
      </w:r>
    </w:p>
    <w:p>
      <w:pPr>
        <w:spacing w:after="0" w:line="180"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86"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1" w:lineRule="exact"/>
        <w:rPr>
          <w:sz w:val="20"/>
          <w:szCs w:val="20"/>
          <w:color w:val="auto"/>
        </w:rPr>
      </w:pPr>
    </w:p>
    <w:p>
      <w:pPr>
        <w:ind w:right="260" w:firstLine="509"/>
        <w:spacing w:after="0" w:line="258" w:lineRule="auto"/>
        <w:rPr>
          <w:sz w:val="20"/>
          <w:szCs w:val="20"/>
          <w:color w:val="auto"/>
        </w:rPr>
      </w:pPr>
      <w:r>
        <w:rPr>
          <w:rFonts w:ascii="Arial" w:cs="Arial" w:eastAsia="Arial" w:hAnsi="Arial"/>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right="20"/>
        <w:spacing w:after="0" w:line="254" w:lineRule="auto"/>
        <w:rPr>
          <w:sz w:val="20"/>
          <w:szCs w:val="20"/>
          <w:color w:val="auto"/>
        </w:rPr>
      </w:pPr>
      <w:r>
        <w:rPr>
          <w:rFonts w:ascii="Arial" w:cs="Arial" w:eastAsia="Arial" w:hAnsi="Arial"/>
          <w:sz w:val="18"/>
          <w:szCs w:val="18"/>
          <w:color w:val="auto"/>
        </w:rPr>
        <w:t>since inception, and we expect our expenses to increase in connection with our ongoing activities, particularly as we conduct clinical trials of, and seek marketing approval for, BA3011 and BA3021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92"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As of March 31, 2021, we had approximately $221.2 million in cash and cash equivalents. Based on our current operating plan, our current cash and cash equivalents are expected to be sufficient to fund our ongoing operations at least through the end of 2022.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6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and progress of our ongoing clinical trials for BA3011 and BA3021;</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and scope of preclinical and clinical programs we decide to pursue;</w:t>
      </w:r>
    </w:p>
    <w:p>
      <w:pPr>
        <w:spacing w:after="0" w:line="117" w:lineRule="exact"/>
        <w:rPr>
          <w:sz w:val="20"/>
          <w:szCs w:val="20"/>
          <w:color w:val="auto"/>
        </w:rPr>
      </w:pPr>
    </w:p>
    <w:p>
      <w:pPr>
        <w:ind w:left="960" w:right="280"/>
        <w:spacing w:after="0" w:line="277" w:lineRule="auto"/>
        <w:rPr>
          <w:sz w:val="20"/>
          <w:szCs w:val="20"/>
          <w:color w:val="auto"/>
        </w:rPr>
      </w:pPr>
      <w:r>
        <w:rPr>
          <w:rFonts w:ascii="Arial" w:cs="Arial" w:eastAsia="Arial" w:hAnsi="Arial"/>
          <w:sz w:val="18"/>
          <w:szCs w:val="18"/>
          <w:color w:val="auto"/>
        </w:rPr>
        <w:t>the progress of the development efforts of our current collaborator, BeiGene, for BA3071 or collaborators with whom we may in the future enter into collaborations and research and development agreements;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and amount of target specific indication and milestone payments we may receive under our collaboration agreements;</w:t>
      </w:r>
    </w:p>
    <w:p>
      <w:pPr>
        <w:spacing w:after="0" w:line="117" w:lineRule="exact"/>
        <w:rPr>
          <w:sz w:val="20"/>
          <w:szCs w:val="20"/>
          <w:color w:val="auto"/>
        </w:rPr>
      </w:pPr>
    </w:p>
    <w:p>
      <w:pPr>
        <w:ind w:left="960" w:right="380"/>
        <w:spacing w:after="0" w:line="277" w:lineRule="auto"/>
        <w:rPr>
          <w:sz w:val="20"/>
          <w:szCs w:val="20"/>
          <w:color w:val="auto"/>
        </w:rPr>
      </w:pPr>
      <w:r>
        <w:rPr>
          <w:rFonts w:ascii="Arial" w:cs="Arial" w:eastAsia="Arial" w:hAnsi="Arial"/>
          <w:sz w:val="18"/>
          <w:szCs w:val="18"/>
          <w:color w:val="auto"/>
        </w:rPr>
        <w:t>our ability to maintain our current licenses, collaboration and research and development programs or possibly establish new collaboration arrangements;</w:t>
      </w:r>
    </w:p>
    <w:p>
      <w:pPr>
        <w:spacing w:after="0" w:line="62" w:lineRule="exact"/>
        <w:rPr>
          <w:sz w:val="20"/>
          <w:szCs w:val="20"/>
          <w:color w:val="auto"/>
        </w:rPr>
      </w:pPr>
    </w:p>
    <w:p>
      <w:pPr>
        <w:ind w:left="960" w:right="3600"/>
        <w:spacing w:after="0" w:line="375" w:lineRule="auto"/>
        <w:rPr>
          <w:sz w:val="20"/>
          <w:szCs w:val="20"/>
          <w:color w:val="auto"/>
        </w:rPr>
      </w:pPr>
      <w:r>
        <w:rPr>
          <w:rFonts w:ascii="Arial" w:cs="Arial" w:eastAsia="Arial" w:hAnsi="Arial"/>
          <w:sz w:val="18"/>
          <w:szCs w:val="18"/>
          <w:color w:val="auto"/>
        </w:rPr>
        <w:t>the costs involved in prosecuting and enforcing patent and other intellectual property claims; the cost and timing of regulatory approvals; and</w:t>
      </w:r>
    </w:p>
    <w:p>
      <w:pPr>
        <w:spacing w:after="0" w:line="1" w:lineRule="exact"/>
        <w:rPr>
          <w:sz w:val="20"/>
          <w:szCs w:val="20"/>
          <w:color w:val="auto"/>
        </w:rPr>
      </w:pPr>
    </w:p>
    <w:p>
      <w:pPr>
        <w:ind w:left="960" w:right="780"/>
        <w:spacing w:after="0" w:line="277" w:lineRule="auto"/>
        <w:rPr>
          <w:sz w:val="20"/>
          <w:szCs w:val="20"/>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70"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4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have no products on the market and our product candidates are in various stages of development. We are currently conducting Phase 2 clinical trials of BA3011 and BA3021, and we plan to work with our partner BeiGene to initiate Phase 1 trials of BA3071 in 2021 with various other product candidates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In addition, the FDA may not agree with our clinical trial plans. For example, we have initiated potentially registration-enabling Phase 2 trials for BA3011 in treatment-refractory sarcoma patients and PD-1 refractory NSCLC patients. The FDA has reviewed the trial designs, but has not opined on whether the Phase 2 clinical trials will in fact be sufficient to support regulatory approval. However, the FDA is expected to consider this further at the interim data review point. We cannot assure you that the FDA will agree that such data will be sufficient to support approval.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w:t>
      </w:r>
    </w:p>
    <w:p>
      <w:pPr>
        <w:spacing w:after="0" w:line="7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in our clinical trials resulting from factors including those related to the COVID-19 pandemic;</w:t>
      </w:r>
    </w:p>
    <w:p>
      <w:pPr>
        <w:spacing w:after="0" w:line="117" w:lineRule="exact"/>
        <w:rPr>
          <w:sz w:val="20"/>
          <w:szCs w:val="20"/>
          <w:color w:val="auto"/>
        </w:rPr>
      </w:pPr>
    </w:p>
    <w:p>
      <w:pPr>
        <w:ind w:left="960" w:right="60"/>
        <w:spacing w:after="0" w:line="277" w:lineRule="auto"/>
        <w:rPr>
          <w:sz w:val="20"/>
          <w:szCs w:val="20"/>
          <w:color w:val="auto"/>
        </w:rPr>
      </w:pPr>
      <w:r>
        <w:rPr>
          <w:rFonts w:ascii="Arial" w:cs="Arial" w:eastAsia="Arial" w:hAnsi="Arial"/>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62" w:lineRule="exact"/>
        <w:rPr>
          <w:sz w:val="20"/>
          <w:szCs w:val="20"/>
          <w:color w:val="auto"/>
        </w:rPr>
      </w:pPr>
    </w:p>
    <w:p>
      <w:pPr>
        <w:ind w:left="960" w:right="40"/>
        <w:spacing w:after="0" w:line="277" w:lineRule="auto"/>
        <w:rPr>
          <w:sz w:val="20"/>
          <w:szCs w:val="20"/>
          <w:color w:val="auto"/>
        </w:rPr>
      </w:pPr>
      <w:r>
        <w:rPr>
          <w:rFonts w:ascii="Arial" w:cs="Arial" w:eastAsia="Arial" w:hAnsi="Arial"/>
          <w:sz w:val="18"/>
          <w:szCs w:val="18"/>
          <w:color w:val="auto"/>
        </w:rPr>
        <w:t>product-related side effects experienced by participants in clinical trials or by individuals using therapeutic biologics that share characteristics with our product candidates;</w:t>
      </w:r>
    </w:p>
    <w:p>
      <w:pPr>
        <w:spacing w:after="0" w:line="62" w:lineRule="exact"/>
        <w:rPr>
          <w:sz w:val="20"/>
          <w:szCs w:val="20"/>
          <w:color w:val="auto"/>
        </w:rPr>
      </w:pPr>
    </w:p>
    <w:p>
      <w:pPr>
        <w:ind w:left="960" w:right="360"/>
        <w:spacing w:after="0" w:line="342" w:lineRule="auto"/>
        <w:rPr>
          <w:sz w:val="20"/>
          <w:szCs w:val="20"/>
          <w:color w:val="auto"/>
        </w:rPr>
      </w:pPr>
      <w:r>
        <w:rPr>
          <w:rFonts w:ascii="Arial" w:cs="Arial" w:eastAsia="Arial" w:hAnsi="Arial"/>
          <w:sz w:val="16"/>
          <w:szCs w:val="16"/>
          <w:color w:val="auto"/>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conditions imposed by the FDA or comparable foreign authorities, including the EMA, regarding the scope or design of clinical trials;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in enrolling patients in clinical trials;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high drop-out rates of patients;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inadequate drug materials or other supplies necessary for the conduct of our clinical trials;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greater than anticipated clinical trial costs;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poor effectiveness of our product candidates during clinical trials;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deficiencies in our third-party manufacturers’ manufacturing processes or facilities;</w:t>
      </w:r>
    </w:p>
    <w:p>
      <w:pPr>
        <w:spacing w:after="0" w:line="117" w:lineRule="exact"/>
        <w:rPr>
          <w:sz w:val="20"/>
          <w:szCs w:val="20"/>
          <w:color w:val="auto"/>
        </w:rPr>
      </w:pPr>
    </w:p>
    <w:p>
      <w:pPr>
        <w:ind w:left="960" w:right="300"/>
        <w:spacing w:after="0" w:line="342" w:lineRule="auto"/>
        <w:rPr>
          <w:sz w:val="20"/>
          <w:szCs w:val="20"/>
          <w:color w:val="auto"/>
        </w:rPr>
      </w:pPr>
      <w:r>
        <w:rPr>
          <w:rFonts w:ascii="Arial" w:cs="Arial" w:eastAsia="Arial" w:hAnsi="Arial"/>
          <w:sz w:val="16"/>
          <w:szCs w:val="16"/>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16" w:lineRule="exact"/>
        <w:rPr>
          <w:sz w:val="20"/>
          <w:szCs w:val="20"/>
          <w:color w:val="auto"/>
        </w:rPr>
      </w:pPr>
    </w:p>
    <w:p>
      <w:pPr>
        <w:ind w:left="960" w:right="260"/>
        <w:spacing w:after="0" w:line="277" w:lineRule="auto"/>
        <w:rPr>
          <w:sz w:val="20"/>
          <w:szCs w:val="20"/>
          <w:color w:val="auto"/>
        </w:rPr>
      </w:pPr>
      <w:r>
        <w:rPr>
          <w:rFonts w:ascii="Arial" w:cs="Arial" w:eastAsia="Arial" w:hAnsi="Arial"/>
          <w:sz w:val="18"/>
          <w:szCs w:val="18"/>
          <w:color w:val="auto"/>
        </w:rPr>
        <w:t>failure of any third-party contractors, investigators or contract research organizations, or CROs, to comply with regulatory requirements or otherwise meet their contractual obligations in a timely manner, or at all;</w:t>
      </w:r>
    </w:p>
    <w:p>
      <w:pPr>
        <w:spacing w:after="0" w:line="62" w:lineRule="exact"/>
        <w:rPr>
          <w:sz w:val="20"/>
          <w:szCs w:val="20"/>
          <w:color w:val="auto"/>
        </w:rPr>
      </w:pPr>
    </w:p>
    <w:p>
      <w:pPr>
        <w:ind w:left="960" w:right="420"/>
        <w:spacing w:after="0" w:line="277" w:lineRule="auto"/>
        <w:rPr>
          <w:sz w:val="20"/>
          <w:szCs w:val="20"/>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varying interpretations of data by the FDA and similar foreign regulatory agencies, including the EMA.</w:t>
      </w:r>
    </w:p>
    <w:p>
      <w:pPr>
        <w:spacing w:after="0" w:line="225" w:lineRule="exact"/>
        <w:rPr>
          <w:sz w:val="20"/>
          <w:szCs w:val="20"/>
          <w:color w:val="auto"/>
        </w:rPr>
      </w:pPr>
    </w:p>
    <w:p>
      <w:pPr>
        <w:ind w:right="780" w:firstLine="509"/>
        <w:spacing w:after="0" w:line="258" w:lineRule="auto"/>
        <w:rPr>
          <w:sz w:val="20"/>
          <w:szCs w:val="20"/>
          <w:color w:val="auto"/>
        </w:rPr>
      </w:pPr>
      <w:r>
        <w:rPr>
          <w:rFonts w:ascii="Arial" w:cs="Arial" w:eastAsia="Arial" w:hAnsi="Arial"/>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8" w:name="page29"/>
    <w:bookmarkEnd w:id="28"/>
    <w:p>
      <w:pPr>
        <w:ind w:right="40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62"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would be required to abandon or redesign all of our current product candidates, which could have a material adverse effect on our business, financial condition, results of operations and prospects.</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62"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are using our patented technology platform to develop CABs in oncology indications with our lead product candidates BA3011 and BA3021, as well as continuing to build our pipeline of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62"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We focus our product candidate development on therapeutic CAB antibodies for the treatment of various oncology indications, such as soft tissue and bone sarcoma, NSCLC, melanoma and ovarian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In addition, the subset of patients that are likely to respond to our product candidates, as identified by our quantitative biomarker assay/TmPS, may not correspond with and may be smaller than what market data may indicate.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ind w:right="34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 the timing of our receipt of any marketing and commercialization approvals;</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terms of any approvals and the countries in which approvals are obtained;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safety and efficacy of our product candidates;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prevalence and severity of any adverse side effects associated with our product candidates;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limitations or warnings contained in any labeling approved by the FDA or other regulatory authority, including the EMA;</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relative convenience and ease of administration of our product candidates;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willingness of patients to accept any new methods of administration;</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success of any physician education programs;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availability of adequate government and third-party payor reimbursement;</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pricing of our products, particularly as compared to alternative treatments; and</w:t>
      </w:r>
    </w:p>
    <w:p>
      <w:pPr>
        <w:spacing w:after="0" w:line="117" w:lineRule="exact"/>
        <w:rPr>
          <w:sz w:val="20"/>
          <w:szCs w:val="20"/>
          <w:color w:val="auto"/>
        </w:rPr>
      </w:pPr>
    </w:p>
    <w:p>
      <w:pPr>
        <w:ind w:left="960" w:right="340"/>
        <w:spacing w:after="0" w:line="277" w:lineRule="auto"/>
        <w:rPr>
          <w:sz w:val="20"/>
          <w:szCs w:val="20"/>
          <w:color w:val="auto"/>
        </w:rPr>
      </w:pPr>
      <w:r>
        <w:rPr>
          <w:rFonts w:ascii="Arial" w:cs="Arial" w:eastAsia="Arial" w:hAnsi="Arial"/>
          <w:sz w:val="18"/>
          <w:szCs w:val="18"/>
          <w:color w:val="auto"/>
        </w:rPr>
        <w:t>availability of alternative effective treatments for the disease indications our product candidates are intended to treat and the relative risks, benefits and costs of those treatments.</w:t>
      </w:r>
    </w:p>
    <w:p>
      <w:pPr>
        <w:spacing w:after="0" w:line="170"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including in our Phase 2 clinical trials of BA3011 for the treatment of soft tissue and bone sarcoma and PD-1 refractory NSCLC, our Phase 2 clinical trial of BA3021 for the treatment of PD-1 refractory melanoma and NSCLC and any subsequent or post-marketing confirmatory clinical trials.</w:t>
      </w:r>
    </w:p>
    <w:p>
      <w:pPr>
        <w:spacing w:after="0" w:line="166" w:lineRule="exact"/>
        <w:rPr>
          <w:sz w:val="20"/>
          <w:szCs w:val="20"/>
          <w:color w:val="auto"/>
        </w:rPr>
      </w:pPr>
    </w:p>
    <w:p>
      <w:pPr>
        <w:ind w:right="60" w:firstLine="509"/>
        <w:spacing w:after="0" w:line="266" w:lineRule="auto"/>
        <w:rPr>
          <w:sz w:val="20"/>
          <w:szCs w:val="20"/>
          <w:color w:val="auto"/>
        </w:rPr>
      </w:pPr>
      <w:r>
        <w:rPr>
          <w:rFonts w:ascii="Arial" w:cs="Arial" w:eastAsia="Arial" w:hAnsi="Arial"/>
          <w:sz w:val="17"/>
          <w:szCs w:val="17"/>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For example, we have initiated potentially registration-enabling Phase 2 trials for BA3011 in treatment-refractory sarcoma patients and PD-1 refractory NSCLC. The FDA has reviewed the trial designs, but has not opined on whether the Phase 2 clinical trials will in fact be sufficient to support regulatory approval. However, the FDA is expected to consider this further at the interim data review point. We cannot assure you that the FDA will agree that such data will be sufficient to support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ind w:right="14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such as the interim data from our ongoing Phase 2 clinical trials of BA3011 and BA3021.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w:t>
      </w:r>
    </w:p>
    <w:p>
      <w:pPr>
        <w:spacing w:after="0" w:line="1"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94"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62" w:lineRule="exact"/>
        <w:rPr>
          <w:sz w:val="20"/>
          <w:szCs w:val="20"/>
          <w:color w:val="auto"/>
        </w:rPr>
      </w:pPr>
    </w:p>
    <w:p>
      <w:pPr>
        <w:jc w:val="both"/>
        <w:ind w:right="180" w:firstLine="509"/>
        <w:spacing w:after="0" w:line="286" w:lineRule="auto"/>
        <w:rPr>
          <w:sz w:val="20"/>
          <w:szCs w:val="20"/>
          <w:color w:val="auto"/>
        </w:rPr>
      </w:pPr>
      <w:r>
        <w:rPr>
          <w:rFonts w:ascii="Arial" w:cs="Arial" w:eastAsia="Arial" w:hAnsi="Arial"/>
          <w:sz w:val="17"/>
          <w:szCs w:val="17"/>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5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negative preclinical data;</w:t>
      </w:r>
    </w:p>
    <w:p>
      <w:pPr>
        <w:spacing w:after="0" w:line="117" w:lineRule="exact"/>
        <w:rPr>
          <w:sz w:val="20"/>
          <w:szCs w:val="20"/>
          <w:color w:val="auto"/>
        </w:rPr>
      </w:pPr>
    </w:p>
    <w:p>
      <w:pPr>
        <w:ind w:left="960" w:right="100"/>
        <w:spacing w:after="0" w:line="277" w:lineRule="auto"/>
        <w:rPr>
          <w:sz w:val="20"/>
          <w:szCs w:val="20"/>
          <w:color w:val="auto"/>
        </w:rPr>
      </w:pPr>
      <w:r>
        <w:rPr>
          <w:rFonts w:ascii="Arial" w:cs="Arial" w:eastAsia="Arial" w:hAnsi="Arial"/>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in reaching, or a failure to reach, a consensus with regulatory authorities on study design;</w:t>
      </w:r>
    </w:p>
    <w:p>
      <w:pPr>
        <w:spacing w:after="0" w:line="117"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difficulties in obtaining IRB approval at each site</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challenges in recruiting suitable patients to participate in a trial;</w:t>
      </w:r>
    </w:p>
    <w:p>
      <w:pPr>
        <w:spacing w:after="0" w:line="117" w:lineRule="exact"/>
        <w:rPr>
          <w:sz w:val="20"/>
          <w:szCs w:val="20"/>
          <w:color w:val="auto"/>
        </w:rPr>
      </w:pPr>
    </w:p>
    <w:p>
      <w:pPr>
        <w:ind w:left="960" w:right="420"/>
        <w:spacing w:after="0" w:line="277" w:lineRule="auto"/>
        <w:rPr>
          <w:sz w:val="20"/>
          <w:szCs w:val="20"/>
          <w:color w:val="auto"/>
        </w:rPr>
      </w:pPr>
      <w:r>
        <w:rPr>
          <w:rFonts w:ascii="Arial" w:cs="Arial" w:eastAsia="Arial" w:hAnsi="Arial"/>
          <w:sz w:val="18"/>
          <w:szCs w:val="18"/>
          <w:color w:val="auto"/>
        </w:rPr>
        <w:t>the inability to enroll a sufficient number of patients in clinical trials to ensure adequate statistical power to detect statistically significant treatment effects;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difficulties in having patients complete a trial or return for post-treatment follow-up;</w:t>
      </w:r>
    </w:p>
    <w:p>
      <w:pPr>
        <w:spacing w:after="0" w:line="117" w:lineRule="exact"/>
        <w:rPr>
          <w:sz w:val="20"/>
          <w:szCs w:val="20"/>
          <w:color w:val="auto"/>
        </w:rPr>
      </w:pPr>
    </w:p>
    <w:p>
      <w:pPr>
        <w:ind w:left="960" w:right="180"/>
        <w:spacing w:after="0" w:line="277" w:lineRule="auto"/>
        <w:rPr>
          <w:sz w:val="20"/>
          <w:szCs w:val="20"/>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62"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unforeseen safety issues, including occurrence of treatment emergent adverse events, or TEAEs, associated with the product candidate that are viewed to outweigh the product candidate’s potential benefits;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difficulties in adding new clinical trial sites;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ambiguous or negative interim results;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lack of adequate funding to continue the clinical trial;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1" w:name="page32"/>
    <w:bookmarkEnd w:id="31"/>
    <w:p>
      <w:pPr>
        <w:ind w:left="960"/>
        <w:spacing w:after="0"/>
        <w:rPr>
          <w:sz w:val="20"/>
          <w:szCs w:val="20"/>
          <w:color w:val="auto"/>
        </w:rPr>
      </w:pPr>
      <w:r>
        <w:rPr>
          <w:rFonts w:ascii="Arial" w:cs="Arial" w:eastAsia="Arial" w:hAnsi="Arial"/>
          <w:sz w:val="17"/>
          <w:szCs w:val="17"/>
          <w:color w:val="auto"/>
        </w:rPr>
        <w:t>difficulties in manufacturing sufficient quantities of acceptable product candidate for use in clinical trials in a timely manner, or at all; or</w:t>
      </w:r>
    </w:p>
    <w:p>
      <w:pPr>
        <w:spacing w:after="0" w:line="129" w:lineRule="exact"/>
        <w:rPr>
          <w:sz w:val="20"/>
          <w:szCs w:val="20"/>
          <w:color w:val="auto"/>
        </w:rPr>
      </w:pPr>
    </w:p>
    <w:p>
      <w:pPr>
        <w:ind w:left="960" w:right="360"/>
        <w:spacing w:after="0" w:line="277" w:lineRule="auto"/>
        <w:rPr>
          <w:sz w:val="20"/>
          <w:szCs w:val="20"/>
          <w:color w:val="auto"/>
        </w:rPr>
      </w:pPr>
      <w:r>
        <w:rPr>
          <w:rFonts w:ascii="Arial" w:cs="Arial" w:eastAsia="Arial" w:hAnsi="Arial"/>
          <w:sz w:val="18"/>
          <w:szCs w:val="18"/>
          <w:color w:val="auto"/>
        </w:rPr>
        <w:t>the COVID-19 pandemic, which may result in clinical site closures, delays to patient enrollment, patients discontinuing their treatment or follow up visits or changes to trial protocols.</w:t>
      </w:r>
    </w:p>
    <w:p>
      <w:pPr>
        <w:spacing w:after="0" w:line="17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72"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2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62"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For example, we may face difficulty enrolling a sufficient number of patients in a timely manner in our clinical trials for BA3011 and BA3021 due to the limited number of suitable patients meeting the required AXL or ROR2 tumor membrane expression levels.</w:t>
      </w:r>
    </w:p>
    <w:p>
      <w:pPr>
        <w:spacing w:after="0" w:line="188"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the COVID-19 pandemic or other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6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295" w:lineRule="exact"/>
        <w:rPr>
          <w:sz w:val="20"/>
          <w:szCs w:val="20"/>
          <w:color w:val="auto"/>
        </w:rPr>
      </w:pPr>
    </w:p>
    <w:p>
      <w:pPr>
        <w:ind w:right="480"/>
        <w:spacing w:after="0" w:line="375" w:lineRule="auto"/>
        <w:rPr>
          <w:sz w:val="20"/>
          <w:szCs w:val="20"/>
          <w:color w:val="auto"/>
        </w:rPr>
      </w:pPr>
      <w:r>
        <w:rPr>
          <w:rFonts w:ascii="Arial" w:cs="Arial" w:eastAsia="Arial" w:hAnsi="Arial"/>
          <w:sz w:val="15"/>
          <w:szCs w:val="15"/>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1"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ind w:right="220"/>
        <w:spacing w:after="0" w:line="277" w:lineRule="auto"/>
        <w:rPr>
          <w:sz w:val="20"/>
          <w:szCs w:val="20"/>
          <w:color w:val="auto"/>
        </w:rPr>
      </w:pPr>
      <w:r>
        <w:rPr>
          <w:rFonts w:ascii="Arial" w:cs="Arial" w:eastAsia="Arial" w:hAnsi="Arial"/>
          <w:sz w:val="18"/>
          <w:szCs w:val="18"/>
          <w:color w:val="auto"/>
        </w:rPr>
        <w:t>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70"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In our clinical trials for BA3011 and BA3021, we have observed adverse events such as reversible myelosuppression, transient liver enzyme elevations, pyrexia, or fever, metabolic disturbances and peripheral neuropathy.</w:t>
      </w:r>
    </w:p>
    <w:p>
      <w:pPr>
        <w:spacing w:after="0" w:line="170"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spacing w:after="0" w:line="18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BA3011 and BA3021 have demonstrated manageable tolerability profiles thus far, we cannot assure you that these and our other product candidates will not cause more severe side effects in a greater proportion of patients.</w:t>
      </w:r>
    </w:p>
    <w:p>
      <w:pPr>
        <w:spacing w:after="0" w:line="188"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In addition, BA3011 and BA3021 are being studied in combination with other therapies, which may exacerbate adverse events associated with the therapy. Patients treated with BA3011, BA3021 or our other product candidates may also be undergoing surgical, radiation or chemotherapy treatments, which can cause side effects or adverse events that are unrelated to our product candidate but may still impact the success of our clinical trials.</w:t>
      </w:r>
    </w:p>
    <w:p>
      <w:pPr>
        <w:spacing w:after="0" w:line="149"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BA3011 and BA3021 clinical trials may die or experience major clinical events either during the course of our clinical trials or after participating in such trials due mainly to the gravity of their illness, which has occurred in the past.</w:t>
      </w:r>
    </w:p>
    <w:p>
      <w:pPr>
        <w:spacing w:after="0" w:line="18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In the event that any of our product candidates receive regulatory approval, and we or others later identify undesirable and unforeseen side effects caused by such product, any of the following negative consequences could occur, including:</w:t>
      </w:r>
    </w:p>
    <w:p>
      <w:pPr>
        <w:spacing w:after="0" w:line="62" w:lineRule="exact"/>
        <w:rPr>
          <w:sz w:val="20"/>
          <w:szCs w:val="20"/>
          <w:color w:val="auto"/>
        </w:rPr>
      </w:pPr>
    </w:p>
    <w:p>
      <w:pPr>
        <w:ind w:left="960" w:right="680"/>
        <w:spacing w:after="0" w:line="277" w:lineRule="auto"/>
        <w:rPr>
          <w:sz w:val="20"/>
          <w:szCs w:val="20"/>
          <w:color w:val="auto"/>
        </w:rPr>
      </w:pPr>
      <w:r>
        <w:rPr>
          <w:rFonts w:ascii="Arial" w:cs="Arial" w:eastAsia="Arial" w:hAnsi="Arial"/>
          <w:sz w:val="18"/>
          <w:szCs w:val="18"/>
          <w:color w:val="auto"/>
        </w:rPr>
        <w:t>regulatory authorities may suspend, limit or withdraw their approval of such product, or seek an injunction against its manufacture or distribution;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required to conduct additional clinical trials or post-approval studies;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required to recall a product or change the way such product is administered to patients;</w:t>
      </w:r>
    </w:p>
    <w:p>
      <w:pPr>
        <w:spacing w:after="0" w:line="117" w:lineRule="exact"/>
        <w:rPr>
          <w:sz w:val="20"/>
          <w:szCs w:val="20"/>
          <w:color w:val="auto"/>
        </w:rPr>
      </w:pPr>
    </w:p>
    <w:p>
      <w:pPr>
        <w:ind w:left="960" w:right="520"/>
        <w:spacing w:after="0" w:line="277" w:lineRule="auto"/>
        <w:rPr>
          <w:sz w:val="20"/>
          <w:szCs w:val="20"/>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sz w:val="20"/>
          <w:szCs w:val="20"/>
          <w:color w:val="auto"/>
        </w:rPr>
      </w:pPr>
    </w:p>
    <w:p>
      <w:pPr>
        <w:ind w:left="960" w:right="180"/>
        <w:spacing w:after="0" w:line="342" w:lineRule="auto"/>
        <w:rPr>
          <w:sz w:val="20"/>
          <w:szCs w:val="20"/>
          <w:color w:val="auto"/>
        </w:rPr>
      </w:pPr>
      <w:r>
        <w:rPr>
          <w:rFonts w:ascii="Arial" w:cs="Arial" w:eastAsia="Arial" w:hAnsi="Arial"/>
          <w:sz w:val="16"/>
          <w:szCs w:val="16"/>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16" w:lineRule="exact"/>
        <w:rPr>
          <w:sz w:val="20"/>
          <w:szCs w:val="20"/>
          <w:color w:val="auto"/>
        </w:rPr>
      </w:pPr>
    </w:p>
    <w:p>
      <w:pPr>
        <w:ind w:left="960" w:right="160"/>
        <w:spacing w:after="0" w:line="342" w:lineRule="auto"/>
        <w:rPr>
          <w:sz w:val="20"/>
          <w:szCs w:val="20"/>
          <w:color w:val="auto"/>
        </w:rPr>
      </w:pPr>
      <w:r>
        <w:rPr>
          <w:rFonts w:ascii="Arial" w:cs="Arial" w:eastAsia="Arial" w:hAnsi="Arial"/>
          <w:sz w:val="16"/>
          <w:szCs w:val="16"/>
          <w:color w:val="auto"/>
        </w:rPr>
        <w:t>we may be required to implement a Risk Evaluation and Mitigation Strategy, or REMS, and/or create a Medication Guide outlining the risks of such side effects for distribution to patients, a communication plan for healthcare providers and/or other elements to assure safe use;</w:t>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could be sued and held liable for harm caused to patients;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product may become less competitive;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20" w:firstLine="509"/>
        <w:spacing w:after="0" w:line="287"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120"/>
        <w:spacing w:after="0" w:line="342" w:lineRule="auto"/>
        <w:rPr>
          <w:sz w:val="20"/>
          <w:szCs w:val="20"/>
          <w:color w:val="auto"/>
        </w:rPr>
      </w:pPr>
      <w:r>
        <w:rPr>
          <w:rFonts w:ascii="Arial" w:cs="Arial" w:eastAsia="Arial" w:hAnsi="Arial"/>
          <w:sz w:val="16"/>
          <w:szCs w:val="16"/>
          <w:b w:val="1"/>
          <w:bCs w:val="1"/>
          <w:i w:val="1"/>
          <w:iCs w:val="1"/>
          <w:color w:val="auto"/>
        </w:rPr>
        <w:t>We or our collaborator BeiGene are developing certain of our product candidates in combination with other therapies, and regulatory approval, safety or supply issues with these other therapies may delay or prevent the development and approval of our product candidates.</w:t>
      </w:r>
    </w:p>
    <w:p>
      <w:pPr>
        <w:spacing w:after="0" w:line="16"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Currently, we are evaluating the use of each of BA3011 and BA3021 in combination with an anti-PD-1 inhibitor and plan to evaluate the use of BA3071, which is being developed by our collaborator BeiGene, in combination with an anti-PD-1 inhibitor.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78"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Currently, our collaborator BeiGene is evaluating the use of BA3071 in combination with tislelizumab, an anti-PD-1 antibody in late stage development for solid tumor patients. However, tislelizumab has not been approved by the FDA for the treatment of solid tumors.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65" w:lineRule="exact"/>
        <w:rPr>
          <w:sz w:val="20"/>
          <w:szCs w:val="20"/>
          <w:color w:val="auto"/>
        </w:rPr>
      </w:pPr>
    </w:p>
    <w:p>
      <w:pPr>
        <w:jc w:val="both"/>
        <w:ind w:right="20" w:firstLine="509"/>
        <w:spacing w:after="0" w:line="286" w:lineRule="auto"/>
        <w:rPr>
          <w:sz w:val="20"/>
          <w:szCs w:val="20"/>
          <w:color w:val="auto"/>
        </w:rPr>
      </w:pPr>
      <w:r>
        <w:rPr>
          <w:rFonts w:ascii="Arial" w:cs="Arial" w:eastAsia="Arial" w:hAnsi="Arial"/>
          <w:sz w:val="17"/>
          <w:szCs w:val="17"/>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73" w:lineRule="exact"/>
        <w:rPr>
          <w:sz w:val="20"/>
          <w:szCs w:val="20"/>
          <w:color w:val="auto"/>
        </w:rPr>
      </w:pPr>
    </w:p>
    <w:p>
      <w:pPr>
        <w:ind w:right="200"/>
        <w:spacing w:after="0" w:line="320" w:lineRule="auto"/>
        <w:rPr>
          <w:sz w:val="20"/>
          <w:szCs w:val="20"/>
          <w:color w:val="auto"/>
        </w:rPr>
      </w:pPr>
      <w:r>
        <w:rPr>
          <w:rFonts w:ascii="Arial" w:cs="Arial" w:eastAsia="Arial" w:hAnsi="Arial"/>
          <w:sz w:val="15"/>
          <w:szCs w:val="15"/>
          <w:b w:val="1"/>
          <w:bCs w:val="1"/>
          <w:i w:val="1"/>
          <w:iCs w:val="1"/>
          <w:color w:val="auto"/>
        </w:rPr>
        <w:t>If safe and effective use of any of our product candidates, such as BA3011 and BA3021, depends on a companion diagnostic test, then the FDA generally will require approval or clearance of that companion diagnostic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3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are exploring predictive biomarkers to determine patient selection for our clinical trials. Specifically, to help inform which patients may be most suitable for treatment with BA3011 and BA3021, we have developed a Clinical Laboratory Improvement Amendments, or CLIA, validated quantitative biomarker assay, the Tumor membrane Percent Score, or TmPS, which measures AXL and ROR2 expression levels on the tumor membrane and cytoplasm. We are using both AXL and ROR2 TmPS scores in our ongoing clinical trials and they may be used for patient selection in future clinical trials. If the AXL and ROR2 TmPS scores prove to be a useful method for patient selection, we will incorporate the specific diagnostic test into our registrational studies and partner with the appropriate diagnostic provider to codevelop a companion diagnostic.</w:t>
      </w:r>
    </w:p>
    <w:p>
      <w:pPr>
        <w:spacing w:after="0" w:line="178" w:lineRule="exact"/>
        <w:rPr>
          <w:sz w:val="20"/>
          <w:szCs w:val="20"/>
          <w:color w:val="auto"/>
        </w:rPr>
      </w:pPr>
    </w:p>
    <w:p>
      <w:pPr>
        <w:ind w:right="40" w:firstLine="509"/>
        <w:spacing w:after="0" w:line="266" w:lineRule="auto"/>
        <w:rPr>
          <w:sz w:val="20"/>
          <w:szCs w:val="20"/>
          <w:color w:val="auto"/>
        </w:rPr>
      </w:pPr>
      <w:r>
        <w:rPr>
          <w:rFonts w:ascii="Arial" w:cs="Arial" w:eastAsia="Arial" w:hAnsi="Arial"/>
          <w:sz w:val="17"/>
          <w:szCs w:val="17"/>
          <w:color w:val="auto"/>
        </w:rPr>
        <w:t>If safe and effective use of any of our product candidates, such as BA3011 and BA3021, depends on a companion diagnostic test then the FDA generally will require approval or clearance of that companion diagnostic, at the same time that the FDA approves our product candidates, if at all. The process of obtaining or creating such diagnostic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ind w:right="40"/>
        <w:spacing w:after="0" w:line="277" w:lineRule="auto"/>
        <w:rPr>
          <w:sz w:val="20"/>
          <w:szCs w:val="20"/>
          <w:color w:val="auto"/>
        </w:rPr>
      </w:pPr>
      <w:r>
        <w:rPr>
          <w:rFonts w:ascii="Arial" w:cs="Arial" w:eastAsia="Arial" w:hAnsi="Arial"/>
          <w:sz w:val="18"/>
          <w:szCs w:val="18"/>
          <w:color w:val="auto"/>
        </w:rPr>
        <w:t>not be able to compete effectively upon approval, which could adversely impact our ability to generate revenue from the sale of our approved products and our business, financial condition, results of operations and prospects.</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expect to rely on third parties for the design, development and manufacture of companion diagnostic tests for our product candidates that require such tests. 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BA3011 and BA3021.</w:t>
      </w:r>
    </w:p>
    <w:p>
      <w:pPr>
        <w:spacing w:after="0" w:line="30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1"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spacing w:after="0" w:line="165"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BA3011 and BA3021.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94"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8" w:lineRule="exact"/>
        <w:rPr>
          <w:sz w:val="20"/>
          <w:szCs w:val="20"/>
          <w:color w:val="auto"/>
        </w:rPr>
      </w:pPr>
    </w:p>
    <w:p>
      <w:pPr>
        <w:ind w:right="240" w:firstLine="509"/>
        <w:spacing w:after="0" w:line="284"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5" w:name="page36"/>
    <w:bookmarkEnd w:id="35"/>
    <w:p>
      <w:pPr>
        <w:ind w:right="200" w:firstLine="509"/>
        <w:spacing w:after="0" w:line="301" w:lineRule="auto"/>
        <w:rPr>
          <w:sz w:val="20"/>
          <w:szCs w:val="20"/>
          <w:color w:val="auto"/>
        </w:rPr>
      </w:pPr>
      <w:r>
        <w:rPr>
          <w:rFonts w:ascii="Arial" w:cs="Arial" w:eastAsia="Arial" w:hAnsi="Arial"/>
          <w:sz w:val="16"/>
          <w:szCs w:val="16"/>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 candidates for which we intend to seek approval may face competition sooner than anticipated.</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18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 Other aspects of the BPCIA, some of which may impact the BPCIA exclusivity provisions, have also been the subject of recent litigation, including litigation challenging the constitutionality of the ACA.</w:t>
      </w:r>
    </w:p>
    <w:p>
      <w:pPr>
        <w:spacing w:after="0" w:line="188"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For example, on December 14, 2018, a Texas U.S. District Court Judge ruled that the ACA is unconstitutional in its entirety because the “individual mandate” was repealed by Congress as part of the Tax Cuts and Jobs Act, or the TCJA.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oral arguments were held on November 10, 2020, although it is unclear when a decision will be made or how the Supreme Court will rule. Although the Supreme Court has yet to rule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 We continue to evaluate the effect that the ACA and its possible reform, repeal and replacement has on our business and exclusivity under the BPCIA. It is uncertain the extent to which any such changes may impact our business or financial condition.</w:t>
      </w:r>
    </w:p>
    <w:p>
      <w:pPr>
        <w:spacing w:after="0" w:line="28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62" w:lineRule="exact"/>
        <w:rPr>
          <w:sz w:val="20"/>
          <w:szCs w:val="20"/>
          <w:color w:val="auto"/>
        </w:rPr>
      </w:pPr>
    </w:p>
    <w:p>
      <w:pPr>
        <w:ind w:right="60" w:firstLine="509"/>
        <w:spacing w:after="0" w:line="266" w:lineRule="auto"/>
        <w:rPr>
          <w:sz w:val="20"/>
          <w:szCs w:val="20"/>
          <w:color w:val="auto"/>
        </w:rPr>
      </w:pPr>
      <w:r>
        <w:rPr>
          <w:rFonts w:ascii="Arial" w:cs="Arial" w:eastAsia="Arial" w:hAnsi="Arial"/>
          <w:sz w:val="17"/>
          <w:szCs w:val="17"/>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caused by product liability claims that could have a material and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U.S. or foreign regulatory approval and, as a result, unable to commercialize our product candidates.</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7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our product candidates could fail to receive regulatory approval for many reasons including the following:</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sz w:val="20"/>
          <w:szCs w:val="20"/>
          <w:color w:val="auto"/>
        </w:rPr>
      </w:pPr>
    </w:p>
    <w:p>
      <w:pPr>
        <w:ind w:left="960" w:right="120"/>
        <w:spacing w:after="0" w:line="277" w:lineRule="auto"/>
        <w:rPr>
          <w:sz w:val="20"/>
          <w:szCs w:val="20"/>
          <w:color w:val="auto"/>
        </w:rPr>
      </w:pPr>
      <w:r>
        <w:rPr>
          <w:rFonts w:ascii="Arial" w:cs="Arial" w:eastAsia="Arial" w:hAnsi="Arial"/>
          <w:sz w:val="18"/>
          <w:szCs w:val="18"/>
          <w:color w:val="auto"/>
        </w:rPr>
        <w:t>we may be unable to demonstrate to the satisfaction of the FDA or comparable foreign regulatory authorities that a product candidate is safe, pure and potent for its proposed indication;</w:t>
      </w:r>
    </w:p>
    <w:p>
      <w:pPr>
        <w:spacing w:after="0" w:line="62" w:lineRule="exact"/>
        <w:rPr>
          <w:sz w:val="20"/>
          <w:szCs w:val="20"/>
          <w:color w:val="auto"/>
        </w:rPr>
      </w:pPr>
    </w:p>
    <w:p>
      <w:pPr>
        <w:ind w:left="960" w:right="480"/>
        <w:spacing w:after="0" w:line="277" w:lineRule="auto"/>
        <w:rPr>
          <w:sz w:val="20"/>
          <w:szCs w:val="20"/>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62" w:lineRule="exact"/>
        <w:rPr>
          <w:sz w:val="20"/>
          <w:szCs w:val="20"/>
          <w:color w:val="auto"/>
        </w:rPr>
      </w:pPr>
    </w:p>
    <w:p>
      <w:pPr>
        <w:ind w:left="960" w:right="2220"/>
        <w:spacing w:after="0" w:line="422" w:lineRule="auto"/>
        <w:rPr>
          <w:sz w:val="20"/>
          <w:szCs w:val="20"/>
          <w:color w:val="auto"/>
        </w:rPr>
      </w:pPr>
      <w:r>
        <w:rPr>
          <w:rFonts w:ascii="Arial" w:cs="Arial" w:eastAsia="Arial" w:hAnsi="Arial"/>
          <w:sz w:val="16"/>
          <w:szCs w:val="16"/>
          <w:color w:val="auto"/>
        </w:rPr>
        <w:t>we may be unable to demonstrate that a product candidate’s clinical and other benefits outweigh its safety risks; we may be unable to demonstrate a sufficient response rate or duration of response for a product candidate;</w:t>
      </w:r>
    </w:p>
    <w:p>
      <w:pPr>
        <w:spacing w:after="0" w:line="1" w:lineRule="exact"/>
        <w:rPr>
          <w:sz w:val="20"/>
          <w:szCs w:val="20"/>
          <w:color w:val="auto"/>
        </w:rPr>
      </w:pPr>
    </w:p>
    <w:p>
      <w:pPr>
        <w:ind w:left="960" w:right="700"/>
        <w:spacing w:after="0" w:line="277" w:lineRule="auto"/>
        <w:rPr>
          <w:sz w:val="20"/>
          <w:szCs w:val="20"/>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62" w:lineRule="exact"/>
        <w:rPr>
          <w:sz w:val="20"/>
          <w:szCs w:val="20"/>
          <w:color w:val="auto"/>
        </w:rPr>
      </w:pPr>
    </w:p>
    <w:p>
      <w:pPr>
        <w:ind w:left="960" w:right="320"/>
        <w:spacing w:after="0" w:line="308" w:lineRule="auto"/>
        <w:rPr>
          <w:sz w:val="20"/>
          <w:szCs w:val="20"/>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38" w:lineRule="exact"/>
        <w:rPr>
          <w:sz w:val="20"/>
          <w:szCs w:val="20"/>
          <w:color w:val="auto"/>
        </w:rPr>
      </w:pPr>
    </w:p>
    <w:p>
      <w:pPr>
        <w:ind w:left="960" w:right="480"/>
        <w:spacing w:after="0" w:line="263" w:lineRule="auto"/>
        <w:rPr>
          <w:sz w:val="20"/>
          <w:szCs w:val="20"/>
          <w:color w:val="auto"/>
        </w:rPr>
      </w:pPr>
      <w:r>
        <w:rPr>
          <w:rFonts w:ascii="Arial" w:cs="Arial" w:eastAsia="Arial" w:hAnsi="Arial"/>
          <w:sz w:val="18"/>
          <w:szCs w:val="18"/>
          <w:color w:val="auto"/>
        </w:rPr>
        <w:t>we or our contractors may not meet the current Good Manufacturing Practices, or cGMPs, and other applicable requirements for manufacturing processes, procedures, documentation and facilities necessary for approval by the FDA or comparable foreign regulatory authorities.</w:t>
      </w:r>
    </w:p>
    <w:p>
      <w:pPr>
        <w:spacing w:after="0" w:line="184"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ind w:right="40" w:firstLine="509"/>
        <w:spacing w:after="0" w:line="257"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29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8"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We intend to seek an accelerated approval for BA3011 and BA3021 and we may seek accelerated approval for one or more of our other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However, full approval of another product for the same indication as any of our product candidates for which we are seeking accelerated approval may make accelerated approval of our product candidates more difficult. If granted, accelerated approval is contingent on the sponsor’s agreement to conduct, in a diligent manner, additional post-approval confirmatory studies to verify and describe the drug’s clinical benefit and, in some cases, the FDA may require that the trial be designed, initiated, and/or fully enrolled prior to submission of the application or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74"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received funding under the CARES Act.</w:t>
      </w:r>
    </w:p>
    <w:p>
      <w:pPr>
        <w:spacing w:after="0" w:line="117"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On April 22, 2020, we executed a promissory note in favor of City National Bank evidencing an unsecured loan, or the PPP loan, in the aggregate principal amount of approximately $0.7 million, which was made pursuant to the Paycheck Protection Program, or the PPP. The PPP was established under the CARES Act, which was enacted on March 27, 2020, and is administered by the U.S. Small Business Administration, or the SBA. The promissory note provides for a fixed interest rate of one percent per year with a maturity date of April 22, 2022. Monthly principal and interest payments due on the loan are deferred until August 2021. We may prepay the loan at any time prior to April 30, 2022 with no prepayment penalties or premiums. We have used all proceeds from the loan to retain employees, maintain payroll and make lease and utility payments. Under the terms of the CARES Act, loan recipients can apply for and be granted forgiveness for all or a portion of the loans granted under the PPP beginning 60 days after loan approval. Such forgiveness will be subject to approval by the SBA and the lender and determined, subject to limitations, based on factors set forth in the CARES Act, including verification of the use of loan proceeds for payment of payroll costs and payments of mortgage interest, rent and utilities. The terms of any forgiveness may also be subject to further regulations and guidelines that the SBA may adopt. If the loan is not forgiven, we will be required to repay the outstanding principal, along with accrued interest. We will carefully monitor all qualifying expenses and other requirements necessary to attain loan forgiveness. While we intend to ask for forgiveness, we cannot assure you that we will obtain forgiveness of the PPP Loan in whole or in part.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78"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the FDA’s Good Clinical Practices, or GCP,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restrictions on the marketing or manufacturing of the product;</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withdrawal of the product from the market or voluntary or mandatory product recalls;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fines, warning or untitled letters or holds on clinical trials;</w:t>
      </w:r>
    </w:p>
    <w:p>
      <w:pPr>
        <w:spacing w:after="0" w:line="117" w:lineRule="exact"/>
        <w:rPr>
          <w:sz w:val="20"/>
          <w:szCs w:val="20"/>
          <w:color w:val="auto"/>
        </w:rPr>
      </w:pPr>
    </w:p>
    <w:p>
      <w:pPr>
        <w:ind w:left="960" w:right="640"/>
        <w:spacing w:after="0" w:line="277" w:lineRule="auto"/>
        <w:rPr>
          <w:sz w:val="20"/>
          <w:szCs w:val="20"/>
          <w:color w:val="auto"/>
        </w:rPr>
      </w:pPr>
      <w:r>
        <w:rPr>
          <w:rFonts w:ascii="Arial" w:cs="Arial" w:eastAsia="Arial" w:hAnsi="Arial"/>
          <w:sz w:val="18"/>
          <w:szCs w:val="18"/>
          <w:color w:val="auto"/>
        </w:rPr>
        <w:t>delay of approval or refusal by the FDA or comparable regulatory authorities in other jurisdictions to approve pending applications or supplements to approved applications filed by us, our current collaborator or any future strategic partners;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suspension or revocation of product license approvals;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2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77" w:lineRule="exact"/>
        <w:rPr>
          <w:sz w:val="20"/>
          <w:szCs w:val="20"/>
          <w:color w:val="auto"/>
        </w:rPr>
      </w:pPr>
    </w:p>
    <w:p>
      <w:pPr>
        <w:ind w:right="60" w:firstLine="509"/>
        <w:spacing w:after="0" w:line="258"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9" w:name="page40"/>
    <w:bookmarkEnd w:id="39"/>
    <w:p>
      <w:pPr>
        <w:ind w:right="120"/>
        <w:spacing w:after="0" w:line="272" w:lineRule="auto"/>
        <w:rPr>
          <w:sz w:val="20"/>
          <w:szCs w:val="20"/>
          <w:color w:val="auto"/>
        </w:rPr>
      </w:pPr>
      <w:r>
        <w:rPr>
          <w:rFonts w:ascii="Arial" w:cs="Arial" w:eastAsia="Arial" w:hAnsi="Arial"/>
          <w:sz w:val="17"/>
          <w:szCs w:val="17"/>
          <w:color w:val="auto"/>
        </w:rPr>
        <w:t>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7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78"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HHS has solicited feedback on some of these measures and has implemented others under its existing authority. For example, in May 2019, CMS issued a final rule to allow Medicare Advantage Plans the option of using step therapy for Part B drugs beginning January 1, 2020. This final rule codified CMS’s policy change that was effective January 1, 2019.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81" w:lineRule="exact"/>
        <w:rPr>
          <w:sz w:val="20"/>
          <w:szCs w:val="20"/>
          <w:color w:val="auto"/>
        </w:rPr>
      </w:pPr>
    </w:p>
    <w:p>
      <w:pPr>
        <w:ind w:right="160" w:firstLine="509"/>
        <w:spacing w:after="0" w:line="266" w:lineRule="auto"/>
        <w:rPr>
          <w:sz w:val="20"/>
          <w:szCs w:val="20"/>
          <w:color w:val="auto"/>
        </w:rPr>
      </w:pPr>
      <w:r>
        <w:rPr>
          <w:rFonts w:ascii="Arial" w:cs="Arial" w:eastAsia="Arial" w:hAnsi="Arial"/>
          <w:sz w:val="17"/>
          <w:szCs w:val="17"/>
          <w:color w:val="auto"/>
        </w:rPr>
        <w:t>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right="100"/>
        <w:spacing w:after="0" w:line="277" w:lineRule="auto"/>
        <w:rPr>
          <w:sz w:val="20"/>
          <w:szCs w:val="20"/>
          <w:color w:val="auto"/>
        </w:rPr>
      </w:pPr>
      <w:r>
        <w:rPr>
          <w:rFonts w:ascii="Arial" w:cs="Arial" w:eastAsia="Arial" w:hAnsi="Arial"/>
          <w:sz w:val="18"/>
          <w:szCs w:val="18"/>
          <w:color w:val="auto"/>
        </w:rPr>
        <w:t>business, financial condition, results of operations or prospects could be materially and adversely affected, and our ability to commercialize such products, once approved, could be materially impaired.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BA3011 as a treatment for soft tissue and bone sarcoma, physicians may nevertheless use our product for their patients in a manner that is inconsistent with the approved labeling. If we are found to have promoted such off-label uses, we may become subject to significant liability.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2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right="100" w:firstLine="509"/>
        <w:spacing w:after="0" w:line="28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April 15, 2021, the FDA issued a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is otherwise limited by travel restrictions, but where the FDA determines that a remote evaluation would still be appropriate. Regulatory authorities outside the United States may adopt similar restrictions or other policy measures in response to the COVID-19 pandemic.</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as of June 23, 2020, the FDA noted it was continuing to ensure timely reviews of applications for medical products</w:t>
      </w:r>
    </w:p>
    <w:p>
      <w:pPr>
        <w:spacing w:after="0" w:line="23"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during the COVID-19 pandemic in line with its user fee performance goals. On July 16, 2020, the FDA noted that it is continuing to expedite oncology product development with its staff teleworking full-time.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right="880"/>
        <w:spacing w:after="0" w:line="277"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9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suppliers and vendors may engage in misconduct or other improper activities, including noncompliance with regulatory standards and requirements.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suppliers and vendors may engage in fraudulent conduct or other illegal activity. Misconduct by these parties could include intentional, reckless and/or negligent conduct or disclosure of unauthorized activities to us that violates: (i) FDA laws and regulations, including those laws that require the reporting of true, complete and accurate information to the FDA, (ii) manufacturing standards, (iii) federal and state healthcare fraud and abuse laws and regulations or (iv)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 including exclusion from government healthcare programs, and serious harm to our reputation.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For example, in March 2010, the ACA was enacted, which substantially changed the way healthcare is financed by both the government and private insurers, and significantly impacted the U.S. pharmaceutical industry. Some of the provisions of the ACA have yet to be implemented, and there have been judicial and Congressional challenges to certain aspects of the ACA, as well as efforts by the Trump administration to repeal or replace certain aspects of the ACA. Since January 2017, President Trump signed several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two bills affecting the implementation of certain taxes under the ACA have passed. On December 22, 2017, President Trump signed into law federal tax legislation commonly referred to as the TCJA, which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ACA-mandated “Cadillac” tax on high-cost employer-sponsored health coverage and medical device tax and, effective January 1, 2021, also eliminates the health insurer tax. The Bipartisan Budget Act of 2018 among other things, amended the ACA, effective January 1, 2019, to close the coverage gap in most Medicare Part D drug plans. In December 2018, CMS published a new final rule permitting further collections and payments to and from</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2" w:name="page43"/>
    <w:bookmarkEnd w:id="42"/>
    <w:p>
      <w:pPr>
        <w:spacing w:after="0" w:line="286" w:lineRule="auto"/>
        <w:rPr>
          <w:sz w:val="20"/>
          <w:szCs w:val="20"/>
          <w:color w:val="auto"/>
        </w:rPr>
      </w:pPr>
      <w:r>
        <w:rPr>
          <w:rFonts w:ascii="Arial" w:cs="Arial" w:eastAsia="Arial" w:hAnsi="Arial"/>
          <w:sz w:val="16"/>
          <w:szCs w:val="16"/>
          <w:color w:val="auto"/>
        </w:rPr>
        <w:t>certain ACA-qualified health plans and health insurance issuers under the ACA risk adjustment program in response to the outcome of federal district court litigation regarding the method CMS uses to determine this risk adjustment. On December 14, 2018, a Texas U.S. District Court Judge ruled that the ACA is unconstitutional in its entirety because the “individual mandate” was repealed by Congress as part of the TCJA.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and oral arguments were held on November 10, 2020, although it is unclear when a decision will be made or how the Supreme Court will rule. Although the Supreme Court has yet to rule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 We are continuing to monitor any changes to the ACA that, in turn, may potentially impact our business in the future.</w:t>
      </w:r>
    </w:p>
    <w:p>
      <w:pPr>
        <w:spacing w:after="0" w:line="174"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unless additional congressional action is taken. In addition, the CARES Act suspended the 2% Medicare sequester from May 1, 2020 through December 31, 2020.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177"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2020 contained further drug price control measures that could be enacted during the budget process or in future legislation, including, for example, measures to permit</w:t>
      </w:r>
    </w:p>
    <w:p>
      <w:pPr>
        <w:spacing w:after="0" w:line="182"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Medicare Part D plans to negotiate the price of certain drugs under Medicare Part B, to allow some states to negotiate prices under Medicaid, and to eliminate cost sharing for generic drugs for low-income patients. Although a number of these and other measures may require additional authorization to become effective, Congress or the executive branch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4"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176" w:lineRule="exact"/>
        <w:rPr>
          <w:sz w:val="20"/>
          <w:szCs w:val="20"/>
          <w:color w:val="auto"/>
        </w:rPr>
      </w:pPr>
    </w:p>
    <w:p>
      <w:pPr>
        <w:ind w:right="120" w:firstLine="509"/>
        <w:spacing w:after="0" w:line="286"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3" w:name="page44"/>
    <w:bookmarkEnd w:id="43"/>
    <w:p>
      <w:pPr>
        <w:ind w:right="80" w:firstLine="509"/>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92" w:lineRule="exact"/>
        <w:rPr>
          <w:sz w:val="20"/>
          <w:szCs w:val="20"/>
          <w:color w:val="auto"/>
        </w:rPr>
      </w:pPr>
    </w:p>
    <w:p>
      <w:pPr>
        <w:ind w:right="160" w:firstLine="509"/>
        <w:spacing w:after="0" w:line="287"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 It is possible that additional governmental action is taken to address the COVID-</w:t>
      </w:r>
    </w:p>
    <w:p>
      <w:pPr>
        <w:spacing w:after="0" w:line="2"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19 pandemic. For example, on April 18, 2020, CMS announced that QHP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90"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0"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68" w:lineRule="exact"/>
        <w:rPr>
          <w:sz w:val="20"/>
          <w:szCs w:val="20"/>
          <w:color w:val="auto"/>
        </w:rPr>
      </w:pPr>
    </w:p>
    <w:p>
      <w:pPr>
        <w:ind w:left="960" w:right="160"/>
        <w:spacing w:after="0" w:line="257" w:lineRule="auto"/>
        <w:rPr>
          <w:sz w:val="20"/>
          <w:szCs w:val="20"/>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0" w:lineRule="exact"/>
        <w:rPr>
          <w:sz w:val="20"/>
          <w:szCs w:val="20"/>
          <w:color w:val="auto"/>
        </w:rPr>
      </w:pPr>
    </w:p>
    <w:p>
      <w:pPr>
        <w:ind w:left="960" w:right="60"/>
        <w:spacing w:after="0" w:line="296" w:lineRule="auto"/>
        <w:rPr>
          <w:sz w:val="20"/>
          <w:szCs w:val="20"/>
          <w:color w:val="auto"/>
        </w:rPr>
      </w:pPr>
      <w:r>
        <w:rPr>
          <w:rFonts w:ascii="Arial" w:cs="Arial" w:eastAsia="Arial" w:hAnsi="Arial"/>
          <w:sz w:val="16"/>
          <w:szCs w:val="16"/>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53" w:lineRule="exact"/>
        <w:rPr>
          <w:sz w:val="20"/>
          <w:szCs w:val="20"/>
          <w:color w:val="auto"/>
        </w:rPr>
      </w:pPr>
    </w:p>
    <w:p>
      <w:pPr>
        <w:ind w:left="960"/>
        <w:spacing w:after="0" w:line="268" w:lineRule="auto"/>
        <w:rPr>
          <w:sz w:val="20"/>
          <w:szCs w:val="20"/>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ind w:left="960" w:right="60"/>
        <w:spacing w:after="0" w:line="255" w:lineRule="auto"/>
        <w:rPr>
          <w:sz w:val="20"/>
          <w:szCs w:val="20"/>
          <w:color w:val="auto"/>
        </w:rPr>
      </w:pPr>
      <w:r>
        <w:rPr>
          <w:rFonts w:ascii="Arial" w:cs="Arial" w:eastAsia="Arial" w:hAnsi="Arial"/>
          <w:sz w:val="18"/>
          <w:szCs w:val="18"/>
          <w:color w:val="auto"/>
        </w:rPr>
        <w:t>HIPAA, as amended by the Health Information Technology for Economic and Clinical Health Act of 2009 and its implementing regulations, or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84" w:lineRule="exact"/>
        <w:rPr>
          <w:sz w:val="20"/>
          <w:szCs w:val="20"/>
          <w:color w:val="auto"/>
        </w:rPr>
      </w:pPr>
    </w:p>
    <w:p>
      <w:pPr>
        <w:ind w:left="960" w:right="40"/>
        <w:spacing w:after="0" w:line="277" w:lineRule="auto"/>
        <w:rPr>
          <w:sz w:val="20"/>
          <w:szCs w:val="20"/>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customers;</w:t>
      </w:r>
    </w:p>
    <w:p>
      <w:pPr>
        <w:spacing w:after="0" w:line="62" w:lineRule="exact"/>
        <w:rPr>
          <w:sz w:val="20"/>
          <w:szCs w:val="20"/>
          <w:color w:val="auto"/>
        </w:rPr>
      </w:pPr>
    </w:p>
    <w:p>
      <w:pPr>
        <w:ind w:left="960" w:right="40"/>
        <w:spacing w:after="0" w:line="254" w:lineRule="auto"/>
        <w:rPr>
          <w:sz w:val="20"/>
          <w:szCs w:val="20"/>
          <w:color w:val="auto"/>
        </w:rPr>
      </w:pPr>
      <w:r>
        <w:rPr>
          <w:rFonts w:ascii="Arial" w:cs="Arial" w:eastAsia="Arial" w:hAnsi="Arial"/>
          <w:sz w:val="18"/>
          <w:szCs w:val="18"/>
          <w:color w:val="auto"/>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and teaching hospitals, as well as ownership and investment interests held by the physicians described above and their immediate family members. Effective January 1, 2022, the U.S. federal physician transparency reporting requirements will extend to include transfers of value made during the previous year to certain non-physician providers such as physician assistants and nurse practitioners; and</w:t>
      </w:r>
    </w:p>
    <w:p>
      <w:pPr>
        <w:spacing w:after="0" w:line="87" w:lineRule="exact"/>
        <w:rPr>
          <w:sz w:val="20"/>
          <w:szCs w:val="20"/>
          <w:color w:val="auto"/>
        </w:rPr>
      </w:pPr>
    </w:p>
    <w:p>
      <w:pPr>
        <w:ind w:left="960" w:right="80"/>
        <w:spacing w:after="0" w:line="272" w:lineRule="auto"/>
        <w:rPr>
          <w:sz w:val="20"/>
          <w:szCs w:val="20"/>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77"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geographical scope of European Union data protection law to non-European Union entities under certain conditions, tightens existing European Union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process and we may be required to put in place additional mechanisms ensuring compliance with the GDPR. Moreover, the United Kingdom leaving the European Union could also lead to further legislative and regulatory changes. Further, from January 1, 2021, we will have to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United Kingdom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In addition, on June 28, 2018, the State of California enacted the California Consumer Privacy Act, or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similar laws have been proposed at the federal level and in other states.</w:t>
      </w:r>
    </w:p>
    <w:p>
      <w:pPr>
        <w:spacing w:after="0" w:line="188"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jc w:val="both"/>
        <w:ind w:right="120" w:firstLine="509"/>
        <w:spacing w:after="0" w:line="301"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62"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ind w:right="100" w:firstLine="509"/>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87"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attract and retain qualified senior management and key scientific personnel, our business may be materially and adversely affected.</w:t>
      </w:r>
    </w:p>
    <w:p>
      <w:pPr>
        <w:spacing w:after="0" w:line="140"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and Scott Smith, our President, as well as our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88"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76"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2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w:t>
      </w:r>
    </w:p>
    <w:p>
      <w:pPr>
        <w:spacing w:after="0" w:line="76" w:lineRule="exact"/>
        <w:rPr>
          <w:sz w:val="20"/>
          <w:szCs w:val="20"/>
          <w:color w:val="auto"/>
        </w:rPr>
      </w:pPr>
    </w:p>
    <w:p>
      <w:pPr>
        <w:ind w:left="5540" w:right="4120" w:hanging="4577"/>
        <w:spacing w:after="0" w:line="277" w:lineRule="auto"/>
        <w:rPr>
          <w:sz w:val="20"/>
          <w:szCs w:val="20"/>
          <w:color w:val="auto"/>
        </w:rPr>
      </w:pPr>
      <w:r>
        <w:rPr>
          <w:rFonts w:ascii="Arial" w:cs="Arial" w:eastAsia="Arial" w:hAnsi="Arial"/>
          <w:sz w:val="18"/>
          <w:szCs w:val="18"/>
          <w:color w:val="auto"/>
        </w:rPr>
        <w:t>identifying, recruiting, integrating, maintaining and motivating additional employees;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left="960" w:right="120"/>
        <w:spacing w:after="0" w:line="308" w:lineRule="auto"/>
        <w:rPr>
          <w:sz w:val="20"/>
          <w:szCs w:val="20"/>
          <w:color w:val="auto"/>
        </w:rPr>
      </w:pPr>
      <w:r>
        <w:rPr>
          <w:rFonts w:ascii="Arial" w:cs="Arial" w:eastAsia="Arial" w:hAnsi="Arial"/>
          <w:sz w:val="17"/>
          <w:szCs w:val="17"/>
          <w:color w:val="auto"/>
        </w:rPr>
        <w:t>managing our internal development efforts effectively, including the clinical and regulatory review process for BA3011 and BA3021 and any other product candidates, while complying with our contractual obligations to contractors and other third parties; and</w:t>
      </w:r>
    </w:p>
    <w:p>
      <w:pPr>
        <w:spacing w:after="0" w:line="3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BA3011, BA3021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To date, we have used the services of outside vendors to perform tasks, including preclinical and clinical trial management, manufacturing, statistics and analysis and research and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BA3011, BA3021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BA3011, BA3021 and any future product candidates and, accordingly, may not achieve our research, development and commercialization goals.</w:t>
      </w:r>
    </w:p>
    <w:p>
      <w:pPr>
        <w:spacing w:after="0" w:line="2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consultants, existing or future collaborators, may fail or suffer security or data privacy breaches or other unauthorized or improper access to, use of or destruction of our proprietary and confidential data, employee data or personal data, which could result in additional costs, significant liabilities, harm to our reputation and material disruption of our operations.</w:t>
      </w:r>
    </w:p>
    <w:p>
      <w:pPr>
        <w:spacing w:after="0" w:line="79"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Despite the implementation of security measures, our internal computer systems and those of our current and any future CROs, manufacturers, other contractors, consultants, existing or future collaborators and other third-party service providers are vulnerable to damage from various methods, including cybersecurity attacks, breaches, intentional or accidental mistakes or errors, or other technological failures, which can include, among other things, computer viruses, unauthorized access attempts, including third parties gaining access to systems using stolen or inferred credentials, denial-of-</w:t>
      </w:r>
    </w:p>
    <w:p>
      <w:pPr>
        <w:spacing w:after="0" w:line="1"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service attacks, phishing attempts, service disruptions, natural disasters, fire, terrorism, war and telecommunication and electrical failures. As the cyber-threat landscape evolves, these attacks are growing in frequency, sophistication and intensity, and are becoming increasingly difficult to detect. If such an event were to occur and cause interruptions in our operations or result in the unauthorized acquisition of or access to personally identifiable information or individually identifiable health information (violating certain privacy laws such as HIPAA, HITECH, the CCPA and GDPR), it could result in a material disruption of our product candidate development programs and our business operations and we could incur significant liabilities.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184"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88"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right="100"/>
        <w:spacing w:after="0" w:line="263" w:lineRule="auto"/>
        <w:rPr>
          <w:sz w:val="20"/>
          <w:szCs w:val="20"/>
          <w:color w:val="auto"/>
        </w:rPr>
      </w:pPr>
      <w:r>
        <w:rPr>
          <w:rFonts w:ascii="Arial" w:cs="Arial" w:eastAsia="Arial" w:hAnsi="Arial"/>
          <w:sz w:val="18"/>
          <w:szCs w:val="18"/>
          <w:b w:val="1"/>
          <w:bCs w:val="1"/>
          <w:i w:val="1"/>
          <w:iCs w:val="1"/>
          <w:color w:val="auto"/>
        </w:rPr>
        <w:t>A portion of our research and development activities take place in China. Uncertainties regarding the interpretation and enforcement of Chinese laws, rules and regulations, a trade war or political unrest in China could materially adversely affect our business, financial condition and results of operations.</w:t>
      </w:r>
    </w:p>
    <w:p>
      <w:pPr>
        <w:spacing w:after="0" w:line="76"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conduct preclinical research and development activities in China through BioDuro, which is U.S. owned, but governed by Chinese laws, rules and regulations and have a collaboration with BeiGene, a company headquartered in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165"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Furthermore, we are exposed to the possibility of disruption of our research and development activities in the event of changes in the policies of the United States or Chinese governments, political unrest or unstable economic conditions in China. For example, a trade war could lead to increased costs for clinical materials that are manufactured in China.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272"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spacing w:after="0" w:line="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A portion of our current operations are located in our facilities in San Diego, California, and we conduct a portion of our research and development activities in China through our arrangement with BioDuro.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which are stored in a one master cell bank for each antibody manufactured stored in multiple locations.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conducting business internationally.</w:t>
      </w:r>
    </w:p>
    <w:p>
      <w:pPr>
        <w:spacing w:after="0" w:line="117"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We, our collaborators or licensees may seek regulatory approval of our product candidates outside of the United States including China, the European Union, Australia, New Zealand, and Japan. We conduct preclinical research and development activities in China through BioDuro, which is U.S. owned, but governed by Chinese laws, and have a collaboration with BeiGene, a company headquartered in China. Accordingly, we expect that we will be subject to additional risks related to operating in foreign countries if we obtain the necessary approvals, including:</w:t>
      </w:r>
    </w:p>
    <w:p>
      <w:pPr>
        <w:spacing w:after="0" w:line="63" w:lineRule="exact"/>
        <w:rPr>
          <w:sz w:val="20"/>
          <w:szCs w:val="20"/>
          <w:color w:val="auto"/>
        </w:rPr>
      </w:pPr>
    </w:p>
    <w:p>
      <w:pPr>
        <w:ind w:left="5540" w:right="4340" w:hanging="4577"/>
        <w:spacing w:after="0" w:line="277" w:lineRule="auto"/>
        <w:rPr>
          <w:sz w:val="20"/>
          <w:szCs w:val="20"/>
          <w:color w:val="auto"/>
        </w:rPr>
      </w:pPr>
      <w:r>
        <w:rPr>
          <w:rFonts w:ascii="Arial" w:cs="Arial" w:eastAsia="Arial" w:hAnsi="Arial"/>
          <w:sz w:val="18"/>
          <w:szCs w:val="18"/>
          <w:color w:val="auto"/>
        </w:rPr>
        <w:t>differing regulatory requirements and reimbursement regimes in foreign countries;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ind w:left="960" w:right="2460"/>
        <w:spacing w:after="0" w:line="375" w:lineRule="auto"/>
        <w:rPr>
          <w:sz w:val="20"/>
          <w:szCs w:val="20"/>
          <w:color w:val="auto"/>
        </w:rPr>
      </w:pPr>
      <w:r>
        <w:rPr>
          <w:rFonts w:ascii="Arial" w:cs="Arial" w:eastAsia="Arial" w:hAnsi="Arial"/>
          <w:sz w:val="18"/>
          <w:szCs w:val="18"/>
          <w:color w:val="auto"/>
        </w:rPr>
        <w:t>unexpected changes in tariffs, trade barriers, price and exchange controls and other regulatory requirements; economic weakness, including inflation, or political instability in particular foreign economies and markets; compliance with tax, employment, immigration and labor laws for employees living or traveling abroad; foreign taxes, including withholding of payroll taxes;</w:t>
      </w:r>
    </w:p>
    <w:p>
      <w:pPr>
        <w:spacing w:after="0" w:line="2"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difficulties staffing and managing foreign operations;</w:t>
      </w:r>
    </w:p>
    <w:p>
      <w:pPr>
        <w:spacing w:after="0" w:line="117" w:lineRule="exact"/>
        <w:rPr>
          <w:sz w:val="20"/>
          <w:szCs w:val="20"/>
          <w:color w:val="auto"/>
        </w:rPr>
      </w:pPr>
    </w:p>
    <w:p>
      <w:pPr>
        <w:ind w:left="960" w:right="3260"/>
        <w:spacing w:after="0" w:line="375" w:lineRule="auto"/>
        <w:rPr>
          <w:sz w:val="20"/>
          <w:szCs w:val="20"/>
          <w:color w:val="auto"/>
        </w:rPr>
      </w:pPr>
      <w:r>
        <w:rPr>
          <w:rFonts w:ascii="Arial" w:cs="Arial" w:eastAsia="Arial" w:hAnsi="Arial"/>
          <w:sz w:val="18"/>
          <w:szCs w:val="18"/>
          <w:color w:val="auto"/>
        </w:rPr>
        <w:t>workforce uncertainty in countries where labor unrest is more common than in the United States; potential liability under the FCPA or comparable foreign regulations;</w:t>
      </w:r>
    </w:p>
    <w:p>
      <w:pPr>
        <w:spacing w:after="0" w:line="1" w:lineRule="exact"/>
        <w:rPr>
          <w:sz w:val="20"/>
          <w:szCs w:val="20"/>
          <w:color w:val="auto"/>
        </w:rPr>
      </w:pPr>
    </w:p>
    <w:p>
      <w:pPr>
        <w:ind w:left="960" w:right="460"/>
        <w:spacing w:after="0" w:line="277" w:lineRule="auto"/>
        <w:rPr>
          <w:sz w:val="20"/>
          <w:szCs w:val="20"/>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sz w:val="20"/>
          <w:szCs w:val="20"/>
          <w:color w:val="auto"/>
        </w:rPr>
      </w:pPr>
    </w:p>
    <w:p>
      <w:pPr>
        <w:ind w:left="960" w:right="1660"/>
        <w:spacing w:after="0" w:line="402" w:lineRule="auto"/>
        <w:rPr>
          <w:sz w:val="20"/>
          <w:szCs w:val="20"/>
          <w:color w:val="auto"/>
        </w:rPr>
      </w:pPr>
      <w:r>
        <w:rPr>
          <w:rFonts w:ascii="Arial" w:cs="Arial" w:eastAsia="Arial" w:hAnsi="Arial"/>
          <w:sz w:val="18"/>
          <w:szCs w:val="18"/>
          <w:color w:val="auto"/>
        </w:rPr>
        <w:t>production shortages resulting from any events affecting raw material supply or manufacturing capabilities abroad; and business interruptions resulting from geo-political actions, including war and terrorism.</w:t>
      </w:r>
    </w:p>
    <w:p>
      <w:pPr>
        <w:spacing w:after="0" w:line="63"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27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We face risks related to health epidemics and outbreaks, including the COVID-19 pandemic, which could significantly disrupt our preclinical studies and clinical trials, and therefore our receipt of necessary regulatory approvals could be delayed or prevented.</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face risks related to health epidemics or outbreaks of communicable diseases. For example, in December 2019, a novel strain</w:t>
      </w:r>
    </w:p>
    <w:p>
      <w:pPr>
        <w:spacing w:after="0" w:line="23"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of coronavirus, SARS-CoV-2, causing a disease referred to as COVID-19, emerged in China. Since then, COVID-19 has spread to multiple countries worldwide, including the United States and member states of the European Union. On March 11, 2020, the World Health Organization declared the outbreak of COVID-19 as a pandemic. The outbreak of such communicable diseases could result in a widespread health crisis that could adversely affect general commercial activity and the economies and financial markets of many countries, which in the case of COVID-19 has occurred. The COVID-19 pandemic has resulted in governments implementing numerous containment measures, such as travel bans and restrictions,</w:t>
      </w:r>
    </w:p>
    <w:p>
      <w:pPr>
        <w:spacing w:after="0" w:line="3" w:lineRule="exact"/>
        <w:rPr>
          <w:sz w:val="20"/>
          <w:szCs w:val="20"/>
          <w:color w:val="auto"/>
        </w:rPr>
      </w:pPr>
    </w:p>
    <w:p>
      <w:pPr>
        <w:ind w:right="520"/>
        <w:spacing w:after="0" w:line="281" w:lineRule="auto"/>
        <w:rPr>
          <w:sz w:val="20"/>
          <w:szCs w:val="20"/>
          <w:color w:val="auto"/>
        </w:rPr>
      </w:pPr>
      <w:r>
        <w:rPr>
          <w:rFonts w:ascii="Arial" w:cs="Arial" w:eastAsia="Arial" w:hAnsi="Arial"/>
          <w:sz w:val="16"/>
          <w:szCs w:val="16"/>
          <w:color w:val="auto"/>
        </w:rPr>
        <w:t>particularly quarantines, shelter-in-place or total lock-down orders and business limitations and shutdowns. For example, our primary operations are located in San Diego, California, and San Diego County and the State of California issued shelter-in-place orders in response to the COVID-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19 pandemic. These containment measures are subject to change and the respective government authorities may tighten the restrictions at any time.</w:t>
      </w:r>
    </w:p>
    <w:p>
      <w:pPr>
        <w:spacing w:after="0" w:line="22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are following, and plan to continue to follow, recommendations from federal, state and local governments regarding workplace policies, practices and procedures. In March 2020, we implemented a remote working policy for many of our employees, began restricting non-essential travel. We are complying with all applicable guidelines for our clinical trials, including remote clinical monitoring. In April 2020, we borrowed $0.7 million under the Paycheck Protection Program under the Coronavirus Aid, Relief and Economic Security, or CARES Act, as discussed further under “—Liquidity and capital resources.” We are continuing to monitor the potential impact of the pandemic, but we cannot be certain what the overall impact will be on our business, financial condition, results of operations and prospects.</w:t>
      </w:r>
    </w:p>
    <w:p>
      <w:pPr>
        <w:spacing w:after="0" w:line="192"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In addition, the COVID-19 pandemic is having a severe effect on the clinical trials of many drug candidates. Some trials have been merely delayed, while others have been cancelled. The extent to which the COVID-19 pandemic may impact our preclinical and clinical trial operations will depend on future developments, which are highly uncertain and cannot be predicted with confidence, such as the duration and geographic reach of the outbreak, the severity of COVID-19, and the effectiveness of actions to contain and treat COVID-19. To date, we have not experienced material business disruptions, including with respect to any of the clinical trials we are conducting, or impairments of any of our assets as a result of the pandemic, the continued spread of COVID-19 globally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the outbreak may affect their ability to devote sufficient time and resources to our programs or to travel to sites to perform work for us. Similarly, our preclinical trials could be delayed and/or disrupted by the COVID-19 pandemic. As a result, the expected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0" w:name="page51"/>
    <w:bookmarkEnd w:id="50"/>
    <w:p>
      <w:pPr>
        <w:ind w:right="320"/>
        <w:spacing w:after="0" w:line="263" w:lineRule="auto"/>
        <w:rPr>
          <w:sz w:val="20"/>
          <w:szCs w:val="20"/>
          <w:color w:val="auto"/>
        </w:rPr>
      </w:pPr>
      <w:r>
        <w:rPr>
          <w:rFonts w:ascii="Arial" w:cs="Arial" w:eastAsia="Arial" w:hAnsi="Arial"/>
          <w:sz w:val="18"/>
          <w:szCs w:val="18"/>
          <w:color w:val="auto"/>
        </w:rPr>
        <w:t>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spacing w:after="0" w:line="57"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have entered into a Global Co-Development and Collaboration Agreement with BeiGene for the development, manufacturing and commercialization of BA3071. Under the terms of our BeiGene collaboration, BeiGene is generally responsible for developing BA3071 and is responsible for global regulatory filings and commercialization. Subject to the terms of the agreement, BeiGene holds an exclusive license with us to develop and manufacture the product candidate globally. BeiGene is responsible for all costs of development, manufacturing and commercialization globally. In addition, we may in the future seek third-party collaborators or joint venture partners for development and commercialization of additional CAB product candidates. With respect to our BeiGene collaboration,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spacing w:after="0" w:line="185"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Our existing collaboration arrangement with BeiGene currently poses, and future collaborations involving our product candidates will pose, the following risks to us: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sz w:val="20"/>
          <w:szCs w:val="20"/>
          <w:color w:val="auto"/>
        </w:rPr>
      </w:pPr>
    </w:p>
    <w:p>
      <w:pPr>
        <w:ind w:left="960" w:right="200"/>
        <w:spacing w:after="0" w:line="259" w:lineRule="auto"/>
        <w:rPr>
          <w:sz w:val="20"/>
          <w:szCs w:val="20"/>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79" w:lineRule="exact"/>
        <w:rPr>
          <w:sz w:val="20"/>
          <w:szCs w:val="20"/>
          <w:color w:val="auto"/>
        </w:rPr>
      </w:pPr>
    </w:p>
    <w:p>
      <w:pPr>
        <w:ind w:left="960" w:right="540"/>
        <w:spacing w:after="0" w:line="308" w:lineRule="auto"/>
        <w:rPr>
          <w:sz w:val="20"/>
          <w:szCs w:val="20"/>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sz w:val="20"/>
          <w:szCs w:val="20"/>
          <w:color w:val="auto"/>
        </w:rPr>
      </w:pPr>
    </w:p>
    <w:p>
      <w:pPr>
        <w:ind w:left="960"/>
        <w:spacing w:after="0" w:line="263" w:lineRule="auto"/>
        <w:rPr>
          <w:sz w:val="20"/>
          <w:szCs w:val="20"/>
          <w:color w:val="auto"/>
        </w:rPr>
      </w:pPr>
      <w:r>
        <w:rPr>
          <w:rFonts w:ascii="Arial" w:cs="Arial" w:eastAsia="Arial" w:hAnsi="Arial"/>
          <w:sz w:val="18"/>
          <w:szCs w:val="18"/>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76" w:lineRule="exact"/>
        <w:rPr>
          <w:sz w:val="20"/>
          <w:szCs w:val="20"/>
          <w:color w:val="auto"/>
        </w:rPr>
      </w:pPr>
    </w:p>
    <w:p>
      <w:pPr>
        <w:ind w:left="960" w:right="620"/>
        <w:spacing w:after="0" w:line="277" w:lineRule="auto"/>
        <w:rPr>
          <w:sz w:val="20"/>
          <w:szCs w:val="20"/>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sz w:val="20"/>
          <w:szCs w:val="20"/>
          <w:color w:val="auto"/>
        </w:rPr>
      </w:pPr>
    </w:p>
    <w:p>
      <w:pPr>
        <w:ind w:left="960" w:right="60"/>
        <w:spacing w:after="0" w:line="263" w:lineRule="auto"/>
        <w:rPr>
          <w:sz w:val="20"/>
          <w:szCs w:val="20"/>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sz w:val="20"/>
          <w:szCs w:val="20"/>
          <w:color w:val="auto"/>
        </w:rPr>
      </w:pPr>
    </w:p>
    <w:p>
      <w:pPr>
        <w:ind w:left="960" w:right="140"/>
        <w:spacing w:after="0" w:line="342" w:lineRule="auto"/>
        <w:rPr>
          <w:sz w:val="20"/>
          <w:szCs w:val="20"/>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16" w:lineRule="exact"/>
        <w:rPr>
          <w:sz w:val="20"/>
          <w:szCs w:val="20"/>
          <w:color w:val="auto"/>
        </w:rPr>
      </w:pPr>
    </w:p>
    <w:p>
      <w:pPr>
        <w:ind w:left="5540" w:right="1760" w:hanging="4577"/>
        <w:spacing w:after="0" w:line="277" w:lineRule="auto"/>
        <w:rPr>
          <w:sz w:val="20"/>
          <w:szCs w:val="20"/>
          <w:color w:val="auto"/>
        </w:rPr>
      </w:pPr>
      <w:r>
        <w:rPr>
          <w:rFonts w:ascii="Arial" w:cs="Arial" w:eastAsia="Arial" w:hAnsi="Arial"/>
          <w:sz w:val="18"/>
          <w:szCs w:val="18"/>
          <w:color w:val="auto"/>
        </w:rPr>
        <w:t>disputes may arise with respect to the ownership of any intellectual property developed pursuant to our collaborations;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both"/>
        <w:ind w:left="960" w:right="420"/>
        <w:spacing w:after="0" w:line="286" w:lineRule="auto"/>
        <w:rPr>
          <w:sz w:val="20"/>
          <w:szCs w:val="20"/>
          <w:color w:val="auto"/>
        </w:rPr>
      </w:pPr>
      <w:r>
        <w:rPr>
          <w:rFonts w:ascii="Arial" w:cs="Arial" w:eastAsia="Arial" w:hAnsi="Arial"/>
          <w:sz w:val="17"/>
          <w:szCs w:val="17"/>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57" w:lineRule="exact"/>
        <w:rPr>
          <w:sz w:val="20"/>
          <w:szCs w:val="20"/>
          <w:color w:val="auto"/>
        </w:rPr>
      </w:pPr>
    </w:p>
    <w:p>
      <w:pPr>
        <w:ind w:left="960" w:right="740"/>
        <w:spacing w:after="0" w:line="277" w:lineRule="auto"/>
        <w:rPr>
          <w:sz w:val="20"/>
          <w:szCs w:val="20"/>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62"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collaborators’ sales and marketing activities or other operations may not be in compliance with applicable laws resulting in civil or criminal proceedings.</w:t>
      </w:r>
    </w:p>
    <w:p>
      <w:pPr>
        <w:spacing w:after="0" w:line="170"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76"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17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BeiGene or one of our future collaborators terminates its agreement with us, we may find it more difficult to attract new collaborators and our perception in the business and financial communities and our stock price could be adversely affected.</w:t>
      </w:r>
    </w:p>
    <w:p>
      <w:pPr>
        <w:spacing w:after="0" w:line="30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62"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From time to time, we may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Moreover, such arrangements are complex and time-consuming to negotiate, document and implement and they may require substantial resources to maintain.</w:t>
      </w:r>
    </w:p>
    <w:p>
      <w:pPr>
        <w:spacing w:after="0" w:line="192" w:lineRule="exact"/>
        <w:rPr>
          <w:sz w:val="20"/>
          <w:szCs w:val="20"/>
          <w:color w:val="auto"/>
        </w:rPr>
      </w:pPr>
    </w:p>
    <w:p>
      <w:pPr>
        <w:ind w:right="300" w:firstLine="509"/>
        <w:spacing w:after="0" w:line="301" w:lineRule="auto"/>
        <w:rPr>
          <w:sz w:val="20"/>
          <w:szCs w:val="20"/>
          <w:color w:val="auto"/>
        </w:rPr>
      </w:pPr>
      <w:r>
        <w:rPr>
          <w:rFonts w:ascii="Arial" w:cs="Arial" w:eastAsia="Arial" w:hAnsi="Arial"/>
          <w:sz w:val="16"/>
          <w:szCs w:val="16"/>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26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6" w:lineRule="exact"/>
        <w:rPr>
          <w:sz w:val="20"/>
          <w:szCs w:val="20"/>
          <w:color w:val="auto"/>
        </w:rPr>
      </w:pPr>
    </w:p>
    <w:p>
      <w:pPr>
        <w:ind w:right="80" w:firstLine="509"/>
        <w:spacing w:after="0" w:line="267" w:lineRule="auto"/>
        <w:rPr>
          <w:sz w:val="20"/>
          <w:szCs w:val="20"/>
          <w:color w:val="auto"/>
        </w:rPr>
      </w:pPr>
      <w:r>
        <w:rPr>
          <w:rFonts w:ascii="Arial" w:cs="Arial" w:eastAsia="Arial" w:hAnsi="Arial"/>
          <w:sz w:val="17"/>
          <w:szCs w:val="17"/>
          <w:color w:val="auto"/>
        </w:rPr>
        <w:t>We rely, and expect we will continue to rely, on third-party investigators, CROs, data management organizations and consultants to conduct, supervise and monitor our ongoing clinical trials and preclinical studies. We currently rely on third parties to manage and conduct our clinical trials of BA3011 and BA3021. Because we rely on these third parties and do not have the ability to conduct preclinical studies or clinical trials independently, we will have less control over the timing, quality and other aspects of preclinical studies and clinical trials than we would have had we conducted them on our own. These investigators, CROs and consultants will not be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may contract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420"/>
        <w:spacing w:after="0" w:line="277" w:lineRule="auto"/>
        <w:rPr>
          <w:sz w:val="20"/>
          <w:szCs w:val="20"/>
          <w:color w:val="auto"/>
        </w:rPr>
      </w:pPr>
      <w:r>
        <w:rPr>
          <w:rFonts w:ascii="Arial" w:cs="Arial" w:eastAsia="Arial" w:hAnsi="Arial"/>
          <w:sz w:val="18"/>
          <w:szCs w:val="18"/>
          <w:color w:val="auto"/>
        </w:rPr>
        <w:t>might not be diligent, careful or timely in conducting our preclinical studies or clinical trials, resulting in the preclinical studies or clinical trials being delayed or unsuccessful.</w:t>
      </w:r>
    </w:p>
    <w:p>
      <w:pPr>
        <w:spacing w:after="0" w:line="170"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In all events, we will be responsible for ensuring that each of our preclinical studies and clinical trials are conducted in accordance with the general investigational plan, protocols for the trial and regulatory requirements. The FDA requires preclinical studies to be conducted in accordance with Good Laboratory Practices, or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27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spacing w:after="0" w:line="79"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 candidates will depend on the severity and duration of the spread of the virus, and the actions undertaken</w:t>
      </w:r>
    </w:p>
    <w:p>
      <w:pPr>
        <w:spacing w:after="0" w:line="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to contain COVID-19 or treat its effects.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64"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9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spacing w:after="0" w:line="79" w:lineRule="exact"/>
        <w:rPr>
          <w:sz w:val="20"/>
          <w:szCs w:val="20"/>
          <w:color w:val="auto"/>
        </w:rPr>
      </w:pPr>
    </w:p>
    <w:p>
      <w:pPr>
        <w:ind w:left="960" w:right="40"/>
        <w:spacing w:after="0" w:line="263" w:lineRule="auto"/>
        <w:rPr>
          <w:sz w:val="20"/>
          <w:szCs w:val="20"/>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breach by the third-party contractors of our agreements with them;</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sz w:val="20"/>
          <w:szCs w:val="20"/>
          <w:color w:val="auto"/>
        </w:rPr>
      </w:pPr>
    </w:p>
    <w:p>
      <w:pPr>
        <w:ind w:left="5540" w:right="3120" w:hanging="4577"/>
        <w:spacing w:after="0" w:line="277" w:lineRule="auto"/>
        <w:rPr>
          <w:sz w:val="20"/>
          <w:szCs w:val="20"/>
          <w:color w:val="auto"/>
        </w:rPr>
      </w:pPr>
      <w:r>
        <w:rPr>
          <w:rFonts w:ascii="Arial" w:cs="Arial" w:eastAsia="Arial" w:hAnsi="Arial"/>
          <w:sz w:val="18"/>
          <w:szCs w:val="18"/>
          <w:color w:val="auto"/>
        </w:rPr>
        <w:t>the failure of the third party to manufacture our product candidates according to our specifications;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3" w:name="page54"/>
    <w:bookmarkEnd w:id="53"/>
    <w:p>
      <w:pPr>
        <w:ind w:left="960" w:right="580"/>
        <w:spacing w:after="0" w:line="277" w:lineRule="auto"/>
        <w:rPr>
          <w:sz w:val="20"/>
          <w:szCs w:val="20"/>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62" w:lineRule="exact"/>
        <w:rPr>
          <w:sz w:val="20"/>
          <w:szCs w:val="20"/>
          <w:color w:val="auto"/>
        </w:rPr>
      </w:pPr>
    </w:p>
    <w:p>
      <w:pPr>
        <w:ind w:left="960" w:right="100"/>
        <w:spacing w:after="0" w:line="277" w:lineRule="auto"/>
        <w:rPr>
          <w:sz w:val="20"/>
          <w:szCs w:val="20"/>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misappropriation of our proprietary information, including our trade secrets and know-how.</w:t>
      </w:r>
    </w:p>
    <w:p>
      <w:pPr>
        <w:spacing w:after="0" w:line="22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30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and the development or commercialization of our product candidates could be delayed or stopped.</w:t>
      </w:r>
    </w:p>
    <w:p>
      <w:pPr>
        <w:spacing w:after="0" w:line="63"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66"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All of our therapeutic antibodies are manufactured by starting with cells which are stored in a cell bank. We have one master cell bank for each antibody manufactured in accordance with cGMPs, which is stored in multiple locations. We are currently creating multiple working cell banks.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71"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ability to procure sufficient supplies for the development of our product candidates will depend on the severity and duration of the spread of the virus, and the actions undertaken to contain COVID-19 or treat its effects.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success depends in part on our ability to obtain and maintain patents and other forms of intellectual property rights, including in-</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December 31, 2020, we own or have rights to 266 issued or allowed patents and 226 pending patent applications worldwide.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81" w:lineRule="exact"/>
        <w:rPr>
          <w:sz w:val="20"/>
          <w:szCs w:val="20"/>
          <w:color w:val="auto"/>
        </w:rPr>
      </w:pPr>
    </w:p>
    <w:p>
      <w:pPr>
        <w:ind w:right="260" w:firstLine="509"/>
        <w:spacing w:after="0" w:line="255" w:lineRule="auto"/>
        <w:rPr>
          <w:sz w:val="20"/>
          <w:szCs w:val="20"/>
          <w:color w:val="auto"/>
        </w:rPr>
      </w:pPr>
      <w:r>
        <w:rPr>
          <w:rFonts w:ascii="Arial" w:cs="Arial" w:eastAsia="Arial" w:hAnsi="Arial"/>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92"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 xml:space="preserve">Once granted, patents may remain open to opposition, interference,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As of May 2021, there is an ongoing patent opposition proceeding regarding our patent EP2 406 399 at the European Patent Office which is related to a version of methods used for evolving and screening potential product candidates. The Opposition Division revoked EP2 406 399 in its decision dated March 10, 2020 and we filed an appeal on July 20, 2020. In addition, we cannot assure you that:</w:t>
      </w:r>
    </w:p>
    <w:p>
      <w:pPr>
        <w:spacing w:after="0" w:line="6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obtain, maintain, protect and enforce intellectual property protection for our technologies and product candidates.</w:t>
      </w:r>
    </w:p>
    <w:p>
      <w:pPr>
        <w:spacing w:after="0" w:line="117" w:lineRule="exact"/>
        <w:rPr>
          <w:sz w:val="20"/>
          <w:szCs w:val="20"/>
          <w:color w:val="auto"/>
        </w:rPr>
      </w:pPr>
    </w:p>
    <w:p>
      <w:pPr>
        <w:ind w:left="960" w:right="320"/>
        <w:spacing w:after="0" w:line="277" w:lineRule="auto"/>
        <w:rPr>
          <w:sz w:val="20"/>
          <w:szCs w:val="20"/>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sz w:val="20"/>
          <w:szCs w:val="20"/>
          <w:color w:val="auto"/>
        </w:rPr>
      </w:pPr>
    </w:p>
    <w:p>
      <w:pPr>
        <w:ind w:left="960" w:right="500"/>
        <w:spacing w:after="0" w:line="277" w:lineRule="auto"/>
        <w:rPr>
          <w:sz w:val="20"/>
          <w:szCs w:val="20"/>
          <w:color w:val="auto"/>
        </w:rPr>
      </w:pPr>
      <w:r>
        <w:rPr>
          <w:rFonts w:ascii="Arial" w:cs="Arial" w:eastAsia="Arial" w:hAnsi="Arial"/>
          <w:sz w:val="18"/>
          <w:szCs w:val="18"/>
          <w:color w:val="auto"/>
        </w:rPr>
        <w:t>We or our licensors, or our existing or future collaborators are the first to make the inventions covered by each of our issued patents and pending patent applications that we own or license.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We or our licensors, or our existing or future collaborators are the first to file patent applications covering certain aspects of our inventions.</w:t>
      </w:r>
    </w:p>
    <w:p>
      <w:pPr>
        <w:spacing w:after="0" w:line="140" w:lineRule="exact"/>
        <w:rPr>
          <w:sz w:val="20"/>
          <w:szCs w:val="20"/>
          <w:color w:val="auto"/>
        </w:rPr>
      </w:pPr>
    </w:p>
    <w:p>
      <w:pPr>
        <w:ind w:left="960" w:right="740"/>
        <w:spacing w:after="0" w:line="277" w:lineRule="auto"/>
        <w:rPr>
          <w:sz w:val="20"/>
          <w:szCs w:val="20"/>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 third party may not challenge our patents and, if challenged, that a court would hold that our patents are valid, enforceable and infringed.</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Any issued patents that we own or have licensed will provide us with any competitive advantage, or will not be challenged by third parties.</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develop or in-license additional proprietary technologies that are patentable.</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Pending patent applications that we own or may license will lead to issued patents.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29" w:lineRule="exact"/>
        <w:rPr>
          <w:sz w:val="20"/>
          <w:szCs w:val="20"/>
          <w:color w:val="auto"/>
        </w:rPr>
      </w:pPr>
    </w:p>
    <w:p>
      <w:pPr>
        <w:ind w:left="960" w:right="100"/>
        <w:spacing w:after="0" w:line="274" w:lineRule="auto"/>
        <w:rPr>
          <w:sz w:val="20"/>
          <w:szCs w:val="20"/>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ind w:right="40" w:firstLine="509"/>
        <w:spacing w:after="0" w:line="255" w:lineRule="auto"/>
        <w:rPr>
          <w:sz w:val="20"/>
          <w:szCs w:val="20"/>
          <w:color w:val="auto"/>
        </w:rPr>
      </w:pPr>
      <w:r>
        <w:rPr>
          <w:rFonts w:ascii="Arial" w:cs="Arial" w:eastAsia="Arial" w:hAnsi="Arial"/>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92"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760" w:firstLine="509"/>
        <w:spacing w:after="0" w:line="291"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w:t>
      </w:r>
    </w:p>
    <w:p>
      <w:pPr>
        <w:ind w:right="40"/>
        <w:spacing w:after="0" w:line="281" w:lineRule="auto"/>
        <w:rPr>
          <w:sz w:val="20"/>
          <w:szCs w:val="20"/>
          <w:color w:val="auto"/>
        </w:rPr>
      </w:pPr>
      <w:r>
        <w:rPr>
          <w:rFonts w:ascii="Arial" w:cs="Arial" w:eastAsia="Arial" w:hAnsi="Arial"/>
          <w:sz w:val="16"/>
          <w:szCs w:val="16"/>
          <w:color w:val="auto"/>
        </w:rPr>
        <w:t>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spacing w:after="0" w:line="172"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patents may not protect our competitive position on our product candidates for an adequate amount of time.</w:t>
      </w:r>
    </w:p>
    <w:p>
      <w:pPr>
        <w:spacing w:after="0" w:line="11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2037, subject to any patent extensions that may be available for such patents. If patents are issued on our pending patent applications, the resulting patents are projected to expire on dates ranging from 2030 to 2041. Due to the amount of time required for the development, testing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right="360"/>
        <w:spacing w:after="0" w:line="263" w:lineRule="auto"/>
        <w:rPr>
          <w:sz w:val="20"/>
          <w:szCs w:val="20"/>
          <w:color w:val="auto"/>
        </w:rPr>
      </w:pPr>
      <w:r>
        <w:rPr>
          <w:rFonts w:ascii="Arial" w:cs="Arial" w:eastAsia="Arial" w:hAnsi="Arial"/>
          <w:sz w:val="18"/>
          <w:szCs w:val="18"/>
          <w:color w:val="auto"/>
        </w:rPr>
        <w:t>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spacing w:after="0" w:line="192"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8"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2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7" w:name="page58"/>
    <w:bookmarkEnd w:id="57"/>
    <w:p>
      <w:pPr>
        <w:ind w:right="260"/>
        <w:spacing w:after="0" w:line="263" w:lineRule="auto"/>
        <w:rPr>
          <w:sz w:val="20"/>
          <w:szCs w:val="20"/>
          <w:color w:val="auto"/>
        </w:rPr>
      </w:pPr>
      <w:r>
        <w:rPr>
          <w:rFonts w:ascii="Arial" w:cs="Arial" w:eastAsia="Arial" w:hAnsi="Arial"/>
          <w:sz w:val="18"/>
          <w:szCs w:val="18"/>
          <w:color w:val="auto"/>
        </w:rPr>
        <w:t>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For example, the U.S. Supreme Court has ruled on several patent cases in recent years, sometimes narrowing the scope of patent protection available in certain circumstances, weakening the rights of patent owners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76"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92"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96"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41" w:lineRule="exact"/>
        <w:rPr>
          <w:sz w:val="20"/>
          <w:szCs w:val="20"/>
          <w:color w:val="auto"/>
        </w:rPr>
      </w:pPr>
    </w:p>
    <w:p>
      <w:pPr>
        <w:ind w:right="60" w:firstLine="509"/>
        <w:spacing w:after="0" w:line="282" w:lineRule="auto"/>
        <w:rPr>
          <w:sz w:val="20"/>
          <w:szCs w:val="20"/>
          <w:color w:val="auto"/>
        </w:rPr>
      </w:pPr>
      <w:r>
        <w:rPr>
          <w:rFonts w:ascii="Arial" w:cs="Arial" w:eastAsia="Arial" w:hAnsi="Arial"/>
          <w:sz w:val="16"/>
          <w:szCs w:val="16"/>
          <w:color w:val="auto"/>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spacing w:after="0" w:line="270" w:lineRule="auto"/>
        <w:rPr>
          <w:sz w:val="20"/>
          <w:szCs w:val="20"/>
          <w:color w:val="auto"/>
        </w:rPr>
      </w:pPr>
      <w:r>
        <w:rPr>
          <w:rFonts w:ascii="Arial" w:cs="Arial" w:eastAsia="Arial" w:hAnsi="Arial"/>
          <w:sz w:val="17"/>
          <w:szCs w:val="17"/>
          <w:color w:val="auto"/>
        </w:rPr>
        <w:t>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181"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w:t>
      </w:r>
    </w:p>
    <w:p>
      <w:pPr>
        <w:spacing w:after="0" w:line="1"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82"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7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and abroad.</w:t>
      </w:r>
    </w:p>
    <w:p>
      <w:pPr>
        <w:spacing w:after="0" w:line="76"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97" w:lineRule="exact"/>
        <w:rPr>
          <w:sz w:val="20"/>
          <w:szCs w:val="20"/>
          <w:color w:val="auto"/>
        </w:rPr>
      </w:pPr>
    </w:p>
    <w:p>
      <w:pPr>
        <w:ind w:right="180" w:firstLine="509"/>
        <w:spacing w:after="0" w:line="296" w:lineRule="auto"/>
        <w:rPr>
          <w:sz w:val="20"/>
          <w:szCs w:val="20"/>
          <w:color w:val="auto"/>
        </w:rPr>
      </w:pPr>
      <w:r>
        <w:rPr>
          <w:rFonts w:ascii="Arial" w:cs="Arial" w:eastAsia="Arial" w:hAnsi="Arial"/>
          <w:sz w:val="16"/>
          <w:szCs w:val="16"/>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161"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ind w:right="60" w:firstLine="509"/>
        <w:spacing w:after="0" w:line="269" w:lineRule="auto"/>
        <w:rPr>
          <w:sz w:val="20"/>
          <w:szCs w:val="20"/>
          <w:color w:val="auto"/>
        </w:rPr>
      </w:pPr>
      <w:r>
        <w:rPr>
          <w:rFonts w:ascii="Arial" w:cs="Arial" w:eastAsia="Arial" w:hAnsi="Arial"/>
          <w:sz w:val="17"/>
          <w:szCs w:val="17"/>
          <w:color w:val="auto"/>
        </w:rPr>
        <w:t xml:space="preserve">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7"/>
          <w:szCs w:val="17"/>
          <w:i w:val="1"/>
          <w:iCs w:val="1"/>
          <w:color w:val="auto"/>
        </w:rPr>
        <w:t>inter alia</w:t>
      </w:r>
      <w:r>
        <w:rPr>
          <w:rFonts w:ascii="Arial" w:cs="Arial" w:eastAsia="Arial" w:hAnsi="Arial"/>
          <w:sz w:val="17"/>
          <w:szCs w:val="17"/>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179"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6"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4"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1"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Our current Global Co-Development and Collaboration Agreement with BeiGene imposes,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right="200"/>
        <w:spacing w:after="0" w:line="263" w:lineRule="auto"/>
        <w:rPr>
          <w:sz w:val="20"/>
          <w:szCs w:val="20"/>
          <w:color w:val="auto"/>
        </w:rPr>
      </w:pPr>
      <w:r>
        <w:rPr>
          <w:rFonts w:ascii="Arial" w:cs="Arial" w:eastAsia="Arial" w:hAnsi="Arial"/>
          <w:sz w:val="18"/>
          <w:szCs w:val="18"/>
          <w:color w:val="auto"/>
        </w:rPr>
        <w:t>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280"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27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80" w:firstLine="509"/>
        <w:spacing w:after="0" w:line="258" w:lineRule="auto"/>
        <w:rPr>
          <w:sz w:val="20"/>
          <w:szCs w:val="20"/>
          <w:color w:val="auto"/>
        </w:rPr>
      </w:pPr>
      <w:r>
        <w:rPr>
          <w:rFonts w:ascii="Arial" w:cs="Arial" w:eastAsia="Arial" w:hAnsi="Arial"/>
          <w:sz w:val="18"/>
          <w:szCs w:val="18"/>
          <w:color w:val="auto"/>
        </w:rPr>
        <w:t>Our trademarks or trade names may be challenged, infringed, circumvented, declared generic or determined to be infringing on other marks. We only have one currently registered trademark, and rely on common law protection for the rest of our trademarks. We</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2" w:name="page63"/>
    <w:bookmarkEnd w:id="62"/>
    <w:p>
      <w:pPr>
        <w:ind w:right="60"/>
        <w:spacing w:after="0" w:line="254" w:lineRule="auto"/>
        <w:rPr>
          <w:sz w:val="20"/>
          <w:szCs w:val="20"/>
          <w:color w:val="auto"/>
        </w:rPr>
      </w:pPr>
      <w:r>
        <w:rPr>
          <w:rFonts w:ascii="Arial" w:cs="Arial" w:eastAsia="Arial" w:hAnsi="Arial"/>
          <w:sz w:val="18"/>
          <w:szCs w:val="18"/>
          <w:color w:val="auto"/>
        </w:rPr>
        <w:t>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We expect our operating results to be subject to annual and quarterly fluctuations. Our net loss and other operating results will be affected by numerous factors, including: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variations in the level of expense related to the ongoing development of our product candidates or future development programs;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results of preclinical studies and clinical trials, or the addition or termination of clinical trials;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success of our existing collaboration with BeiGene and any potential additional collaboration, licensing or similar arrangements;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additions and departures of key personnel;</w:t>
      </w:r>
    </w:p>
    <w:p>
      <w:pPr>
        <w:spacing w:after="0" w:line="117" w:lineRule="exact"/>
        <w:rPr>
          <w:sz w:val="20"/>
          <w:szCs w:val="20"/>
          <w:color w:val="auto"/>
        </w:rPr>
      </w:pPr>
    </w:p>
    <w:p>
      <w:pPr>
        <w:ind w:left="960" w:right="280"/>
        <w:spacing w:after="0" w:line="277" w:lineRule="auto"/>
        <w:rPr>
          <w:sz w:val="20"/>
          <w:szCs w:val="20"/>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sz w:val="20"/>
          <w:szCs w:val="20"/>
          <w:color w:val="auto"/>
        </w:rPr>
      </w:pPr>
    </w:p>
    <w:p>
      <w:pPr>
        <w:ind w:left="960" w:right="60"/>
        <w:spacing w:after="0" w:line="277" w:lineRule="auto"/>
        <w:rPr>
          <w:sz w:val="20"/>
          <w:szCs w:val="20"/>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sz w:val="20"/>
          <w:szCs w:val="20"/>
          <w:color w:val="auto"/>
        </w:rPr>
      </w:pPr>
    </w:p>
    <w:p>
      <w:pPr>
        <w:ind w:left="960" w:right="3760"/>
        <w:spacing w:after="0" w:line="402" w:lineRule="auto"/>
        <w:rPr>
          <w:sz w:val="20"/>
          <w:szCs w:val="20"/>
          <w:color w:val="auto"/>
        </w:rPr>
      </w:pPr>
      <w:r>
        <w:rPr>
          <w:rFonts w:ascii="Arial" w:cs="Arial" w:eastAsia="Arial" w:hAnsi="Arial"/>
          <w:sz w:val="18"/>
          <w:szCs w:val="18"/>
          <w:color w:val="auto"/>
        </w:rPr>
        <w:t>regulatory developments affecting our product candidates or those of our competitors; and changes in general market and economic conditions.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our operating results fall below the expectations of investors or securities analysts, the price of our common stock could decline substantially.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Furthermore, any fluctuations in our operating results may, in turn, cause the price of our stock to fluctuate substantially.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11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and results of our clinical trials or those of our competitors;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regulatory or legal developments in the United States and other countries, especially changes in laws or regulations applicable to our products;</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success of competitive products or technologies;</w:t>
      </w:r>
    </w:p>
    <w:p>
      <w:pPr>
        <w:spacing w:after="0" w:line="117" w:lineRule="exact"/>
        <w:rPr>
          <w:sz w:val="20"/>
          <w:szCs w:val="20"/>
          <w:color w:val="auto"/>
        </w:rPr>
      </w:pPr>
    </w:p>
    <w:p>
      <w:pPr>
        <w:ind w:left="960" w:right="120"/>
        <w:spacing w:after="0" w:line="277" w:lineRule="auto"/>
        <w:rPr>
          <w:sz w:val="20"/>
          <w:szCs w:val="20"/>
          <w:color w:val="auto"/>
        </w:rPr>
      </w:pPr>
      <w:r>
        <w:rPr>
          <w:rFonts w:ascii="Arial" w:cs="Arial" w:eastAsia="Arial" w:hAnsi="Arial"/>
          <w:sz w:val="18"/>
          <w:szCs w:val="18"/>
          <w:color w:val="auto"/>
        </w:rPr>
        <w:t>introductions and announcements of new products by us, our current collaborator, our future collaborators or our competitors, and the timing of these introductions or announcements;</w:t>
      </w:r>
    </w:p>
    <w:p>
      <w:pPr>
        <w:spacing w:after="0" w:line="62" w:lineRule="exact"/>
        <w:rPr>
          <w:sz w:val="20"/>
          <w:szCs w:val="20"/>
          <w:color w:val="auto"/>
        </w:rPr>
      </w:pPr>
    </w:p>
    <w:p>
      <w:pPr>
        <w:ind w:left="960" w:right="560"/>
        <w:spacing w:after="0" w:line="277" w:lineRule="auto"/>
        <w:rPr>
          <w:sz w:val="20"/>
          <w:szCs w:val="20"/>
          <w:color w:val="auto"/>
        </w:rPr>
      </w:pPr>
      <w:r>
        <w:rPr>
          <w:rFonts w:ascii="Arial" w:cs="Arial" w:eastAsia="Arial" w:hAnsi="Arial"/>
          <w:sz w:val="18"/>
          <w:szCs w:val="18"/>
          <w:color w:val="auto"/>
        </w:rPr>
        <w:t>actions taken by regulatory agencies with respect to our products, preclinical studies, clinical trials, manufacturing process or sales and marketing terms;</w:t>
      </w:r>
    </w:p>
    <w:p>
      <w:pPr>
        <w:spacing w:after="0" w:line="62" w:lineRule="exact"/>
        <w:rPr>
          <w:sz w:val="20"/>
          <w:szCs w:val="20"/>
          <w:color w:val="auto"/>
        </w:rPr>
      </w:pPr>
    </w:p>
    <w:p>
      <w:pPr>
        <w:ind w:left="960" w:right="2060"/>
        <w:spacing w:after="0" w:line="422" w:lineRule="auto"/>
        <w:rPr>
          <w:sz w:val="20"/>
          <w:szCs w:val="20"/>
          <w:color w:val="auto"/>
        </w:rPr>
      </w:pPr>
      <w:r>
        <w:rPr>
          <w:rFonts w:ascii="Arial" w:cs="Arial" w:eastAsia="Arial" w:hAnsi="Arial"/>
          <w:sz w:val="16"/>
          <w:szCs w:val="16"/>
          <w:color w:val="auto"/>
        </w:rPr>
        <w:t>actual or anticipated variations in our financial results or those of companies that are perceived to be similar to us; the success of our efforts to acquire or in-license additional technologies, products or product candidates;</w:t>
      </w:r>
    </w:p>
    <w:p>
      <w:pPr>
        <w:spacing w:after="0" w:line="1" w:lineRule="exact"/>
        <w:rPr>
          <w:sz w:val="20"/>
          <w:szCs w:val="20"/>
          <w:color w:val="auto"/>
        </w:rPr>
      </w:pPr>
    </w:p>
    <w:p>
      <w:pPr>
        <w:ind w:left="5540" w:right="100" w:hanging="4577"/>
        <w:spacing w:after="0" w:line="277" w:lineRule="auto"/>
        <w:rPr>
          <w:sz w:val="20"/>
          <w:szCs w:val="20"/>
          <w:color w:val="auto"/>
        </w:rPr>
      </w:pPr>
      <w:r>
        <w:rPr>
          <w:rFonts w:ascii="Arial" w:cs="Arial" w:eastAsia="Arial" w:hAnsi="Arial"/>
          <w:sz w:val="18"/>
          <w:szCs w:val="18"/>
          <w:color w:val="auto"/>
        </w:rPr>
        <w:t>developments concerning any future collaborations, including those regarding manufacturing, supply and commercialization of our products;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3" w:name="page64"/>
    <w:bookmarkEnd w:id="63"/>
    <w:p>
      <w:pPr>
        <w:ind w:left="960"/>
        <w:spacing w:after="0"/>
        <w:rPr>
          <w:sz w:val="20"/>
          <w:szCs w:val="20"/>
          <w:color w:val="auto"/>
        </w:rPr>
      </w:pPr>
      <w:r>
        <w:rPr>
          <w:rFonts w:ascii="Arial" w:cs="Arial" w:eastAsia="Arial" w:hAnsi="Arial"/>
          <w:sz w:val="18"/>
          <w:szCs w:val="18"/>
          <w:color w:val="auto"/>
        </w:rPr>
        <w:t>market conditions in the pharmaceutical and biotechnology sectors;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9"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recruitment or departure of key personnel;</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the structure of healthcare payment systems;</w:t>
      </w:r>
    </w:p>
    <w:p>
      <w:pPr>
        <w:spacing w:after="0" w:line="117" w:lineRule="exact"/>
        <w:rPr>
          <w:sz w:val="20"/>
          <w:szCs w:val="20"/>
          <w:color w:val="auto"/>
        </w:rPr>
      </w:pPr>
    </w:p>
    <w:p>
      <w:pPr>
        <w:ind w:left="960" w:right="180"/>
        <w:spacing w:after="0" w:line="277" w:lineRule="auto"/>
        <w:rPr>
          <w:sz w:val="20"/>
          <w:szCs w:val="20"/>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announcement and expectation of additional financing efforts;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speculation in the press or investment community;</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trading volume of our common stock;</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sales of our common stock by us, our insiders or our other stockholders;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expiration of market stand-off or lock-up agreements;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concentrated ownership of our common stock;</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accounting principles;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terrorist acts, acts of war or periods of widespread civil unrest;</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any natural disasters or public health emergencies, such as the COVID-19 pandemic;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right="500" w:firstLine="509"/>
        <w:spacing w:after="0" w:line="263"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17"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27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and the option of the holder of shares of our Class B common stock to convert into shares of our common stock may limit your ability to influence corporate matters.</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Our common stock has one vote per share, while our Class B common stock is non-voting. Nonetheless, each share of our Class B common stock may be converted at any time into one share of common stock at the option of its holder, subject to the limitations provided for in our amended and restated certificate of incorporation. Consequently, if holders of Class B common stock exercise their option to make this conversion, this will have the effect of increasing the relative voting power of those prior holders of our Class B common stock, and correspondingly decrease the voting power of the current holders of our common stock, which may limit your ability to influence corporate matters. Because our Class B common stock is generally non-</w:t>
      </w:r>
    </w:p>
    <w:p>
      <w:pPr>
        <w:spacing w:after="0" w:line="2"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voting, stockholders who own more than 10% of our Class B common stock and common stock overall but 10% or less of our common stock will not be required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4" w:name="page65"/>
    <w:bookmarkEnd w:id="64"/>
    <w:p>
      <w:pPr>
        <w:ind w:right="380"/>
        <w:spacing w:after="0" w:line="259" w:lineRule="auto"/>
        <w:rPr>
          <w:sz w:val="20"/>
          <w:szCs w:val="20"/>
          <w:color w:val="auto"/>
        </w:rPr>
      </w:pPr>
      <w:r>
        <w:rPr>
          <w:rFonts w:ascii="Arial" w:cs="Arial" w:eastAsia="Arial" w:hAnsi="Arial"/>
          <w:sz w:val="18"/>
          <w:szCs w:val="18"/>
          <w:color w:val="auto"/>
        </w:rPr>
        <w:t>report changes in their ownership from transactions in our Class B common stock pursuant to Section 16(a) of the Securities Exchange Act of 1934, as amended, or the Exchange Act, and would not be subject to the short-swing profit provisions of Section 16(b) of the Exchange Act. In addition, acquisitions of Class B common stock would not be subject to notification pursuant to the Hart-Scott-Rodino Antitrust Improvements Act of 1976, as amended.</w:t>
      </w:r>
    </w:p>
    <w:p>
      <w:pPr>
        <w:spacing w:after="0" w:line="29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62"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30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38"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As of March 31, 2021, executive officers and directors, together with holders of 5% or more of our outstanding common stock and their respective affiliates, beneficially own approximately 62.7% of our outstanding common stock. More specifically, Himalaya Parent LLC owns 25.8% of our outstanding common stock, as of March 31, 2021. Jay M. Short, Ph.D, our Chairman and Chief Executive Officer, and Carolyn Anderson Short, our Chief of Intellectual Property and Strategy and Assistant Secretary, are managers of Himalaya Parent LLC and collectively make investment decisions on behalf of Himalaya Parent LLC. The owners of Himalaya Parent LLC include Dr. Short, Ms. Anderson Short, Scott Smith, members of our board of directors, other employees of us and other equity holders of BioAtla, LLC prior to the LLC Conversion.</w:t>
      </w:r>
    </w:p>
    <w:p>
      <w:pPr>
        <w:spacing w:after="0" w:line="178"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As a result, Himalaya Parent LLC, Dr. Short, Ms. Anderson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6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Ms. Anderson Short are each managers of Inversagen, LLC and BioAtla Holdings, LLC and directors of Himalaya Therapeutics SEZC. In addition, Ms. Anderson Short is also an officer of Himalaya Therapeutics SEZC. These related party transactions, and any future related party transactions, create the possibility of actual conflicts of interest with regard to Dr. Short and Ms. Anderson Short.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84"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All 12,075,000 shares of common stock sold in our initial public offering are freely tradable without restriction or further registration under the Securities Act unless held by our “affiliates” as defined in Rule 144 under the Securities Act, or Rule 144. The resale of the remaining 21,588,619 shares, or approximately 64.1% of our outstanding shares of common stock, is currently prohibited or otherwise restricted as a result of securities law provisions, market standoff agreements entered into by certain of our stockholders with us or lock-up agreements entered into by our stockholders with the underwriters in connection with the initial public offering. However, subject to applicable securities law restrictions, these shares will be able to be sold in the public market beginning June 14, 2021, 181 days after the date of our initial public offering. The representatives of the underwriters may release some or all of the shares of common stock subject to lock-up agreements at any time in their sole discretion and without notice, which would allow for earlier sales of shares in the public market.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right="140" w:firstLine="509"/>
        <w:spacing w:after="0" w:line="259" w:lineRule="auto"/>
        <w:rPr>
          <w:sz w:val="20"/>
          <w:szCs w:val="20"/>
          <w:color w:val="auto"/>
        </w:rPr>
      </w:pPr>
      <w:r>
        <w:rPr>
          <w:rFonts w:ascii="Arial" w:cs="Arial" w:eastAsia="Arial" w:hAnsi="Arial"/>
          <w:sz w:val="18"/>
          <w:szCs w:val="18"/>
          <w:color w:val="auto"/>
        </w:rPr>
        <w:t>Certain holders of our outstanding shares have rights, subject to certain conditions, to require us to file registration statements covering the sale of their shares or to include their shares in registration statements that we may file for ourselves or our other stockholders. We also registered the offer and sale of all shares of common stock that we may issue under our equity compensation plans, which shares will be able to be sold in the public market upon issuance, subject to applicable securities laws and the lock-up agreements.</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are an “emerging growth company,” as defined in the JOBS Act. We will remain an emerging growth company until the earlier of (i)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common stock that is held by non-affiliates exceeded $700.0 million as of the prior June 30th and (ii) the date on which we have issued more than $1.0 billion in non-convertible debt during the prior three-year period.</w:t>
      </w:r>
    </w:p>
    <w:p>
      <w:pPr>
        <w:spacing w:after="0" w:line="188"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An emerging growth company may take advantage of specified reduced reporting requirements and other burdens that are otherwise applicable generally to public companies. These provisions include:</w:t>
      </w:r>
    </w:p>
    <w:p>
      <w:pPr>
        <w:spacing w:after="0" w:line="62" w:lineRule="exact"/>
        <w:rPr>
          <w:sz w:val="20"/>
          <w:szCs w:val="20"/>
          <w:color w:val="auto"/>
        </w:rPr>
      </w:pPr>
    </w:p>
    <w:p>
      <w:pPr>
        <w:ind w:left="960" w:right="60"/>
        <w:spacing w:after="0" w:line="277" w:lineRule="auto"/>
        <w:rPr>
          <w:sz w:val="20"/>
          <w:szCs w:val="20"/>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17"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an exemption from compliance with any new requirements adopted by the Public Company Accounting Oversight Board regarding mandatory audit firm rotations;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40" w:lineRule="exact"/>
        <w:rPr>
          <w:sz w:val="20"/>
          <w:szCs w:val="20"/>
          <w:color w:val="auto"/>
        </w:rPr>
      </w:pPr>
    </w:p>
    <w:p>
      <w:pPr>
        <w:ind w:left="960" w:right="260"/>
        <w:spacing w:after="0" w:line="277" w:lineRule="auto"/>
        <w:rPr>
          <w:sz w:val="20"/>
          <w:szCs w:val="20"/>
          <w:color w:val="auto"/>
        </w:rPr>
      </w:pPr>
      <w:r>
        <w:rPr>
          <w:rFonts w:ascii="Arial" w:cs="Arial" w:eastAsia="Arial" w:hAnsi="Arial"/>
          <w:sz w:val="18"/>
          <w:szCs w:val="18"/>
          <w:color w:val="auto"/>
        </w:rPr>
        <w:t>exemptions from the requirement to hold a nonbinding advisory vote on executive compensation and to obtain stockholder approval of any golden parachute payments not previously approved.</w:t>
      </w:r>
    </w:p>
    <w:p>
      <w:pPr>
        <w:spacing w:after="0" w:line="170"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We have elected to take advantage of certain of the reduced disclosure obligations and may elect to take advantage of other reduced reporting requirements in future filings. As a result, the information that we provide to our investors may be different from the information you might receive from other public reporting companies that are not emerging growth companies in which you hold equity interests. The JOBS Act provides that an emerging growth company can take advantage of an extended transition period for complying with new or revised accounting standards applicable to public companies until those standards would otherwise apply to private companies. We have elected to take advantage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irrevocably elect to “opt out” of such extended transition period or no longer qualify as an emerging growth company. As a result of this election, our financial statements may not be comparable to companies that comply with public company effective dates. We may choose to early adopt any new or revised accounting standards whenever such early adoption is permitted for private companies.</w:t>
      </w:r>
    </w:p>
    <w:p>
      <w:pPr>
        <w:spacing w:after="0" w:line="185" w:lineRule="exact"/>
        <w:rPr>
          <w:sz w:val="20"/>
          <w:szCs w:val="20"/>
          <w:color w:val="auto"/>
        </w:rPr>
      </w:pPr>
    </w:p>
    <w:p>
      <w:pPr>
        <w:ind w:right="320" w:firstLine="509"/>
        <w:spacing w:after="0" w:line="291" w:lineRule="auto"/>
        <w:rPr>
          <w:sz w:val="20"/>
          <w:szCs w:val="20"/>
          <w:color w:val="auto"/>
        </w:rPr>
      </w:pPr>
      <w:r>
        <w:rPr>
          <w:rFonts w:ascii="Arial" w:cs="Arial" w:eastAsia="Arial" w:hAnsi="Arial"/>
          <w:sz w:val="16"/>
          <w:szCs w:val="16"/>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ind w:right="120" w:firstLine="8"/>
        <w:spacing w:after="0" w:line="288" w:lineRule="auto"/>
        <w:tabs>
          <w:tab w:leader="none" w:pos="21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276"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160" w:firstLine="509"/>
        <w:spacing w:after="0" w:line="258" w:lineRule="auto"/>
        <w:rPr>
          <w:sz w:val="20"/>
          <w:szCs w:val="20"/>
          <w:color w:val="auto"/>
        </w:rPr>
      </w:pPr>
      <w:r>
        <w:rPr>
          <w:rFonts w:ascii="Arial" w:cs="Arial" w:eastAsia="Arial" w:hAnsi="Arial"/>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6" w:name="page67"/>
    <w:bookmarkEnd w:id="66"/>
    <w:p>
      <w:pPr>
        <w:ind w:right="20"/>
        <w:spacing w:after="0" w:line="263" w:lineRule="auto"/>
        <w:rPr>
          <w:sz w:val="20"/>
          <w:szCs w:val="20"/>
          <w:color w:val="auto"/>
        </w:rPr>
      </w:pPr>
      <w:r>
        <w:rPr>
          <w:rFonts w:ascii="Arial" w:cs="Arial" w:eastAsia="Arial" w:hAnsi="Arial"/>
          <w:sz w:val="18"/>
          <w:szCs w:val="18"/>
          <w:color w:val="auto"/>
        </w:rPr>
        <w:t>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prohibition on actions by our stockholders by written consent;</w:t>
      </w:r>
    </w:p>
    <w:p>
      <w:pPr>
        <w:spacing w:after="0" w:line="117"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requirement that directors may only be removed “for cause” and only with 66 2/3% voting stock of our stockholders;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requirement that only the board of directors may change the number of directors and fill vacancies on the board;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division of our board of directors into three classes, serving staggered terms of three years each;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296"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76"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or a smaller reporting company, we will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4"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or a smaller reporting company with less than $100 million in annual revenue,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the deadline imposed by the Sarbanes-Oxley Act. Our internal control over financial reporting will not prevent or detect all errors and all fraud.</w:t>
      </w:r>
    </w:p>
    <w:p>
      <w:pPr>
        <w:spacing w:after="0" w:line="23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6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117" w:lineRule="exact"/>
        <w:rPr>
          <w:sz w:val="20"/>
          <w:szCs w:val="20"/>
          <w:color w:val="auto"/>
        </w:rPr>
      </w:pPr>
    </w:p>
    <w:p>
      <w:pPr>
        <w:jc w:val="both"/>
        <w:ind w:right="260" w:firstLine="509"/>
        <w:spacing w:after="0" w:line="286" w:lineRule="auto"/>
        <w:rPr>
          <w:sz w:val="20"/>
          <w:szCs w:val="20"/>
          <w:color w:val="auto"/>
        </w:rPr>
      </w:pPr>
      <w:r>
        <w:rPr>
          <w:rFonts w:ascii="Arial" w:cs="Arial" w:eastAsia="Arial" w:hAnsi="Arial"/>
          <w:sz w:val="17"/>
          <w:szCs w:val="17"/>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40"/>
        <w:spacing w:after="0" w:line="263" w:lineRule="auto"/>
        <w:rPr>
          <w:sz w:val="20"/>
          <w:szCs w:val="20"/>
          <w:color w:val="auto"/>
        </w:rPr>
      </w:pPr>
      <w:r>
        <w:rPr>
          <w:rFonts w:ascii="Arial" w:cs="Arial" w:eastAsia="Arial" w:hAnsi="Arial"/>
          <w:sz w:val="18"/>
          <w:szCs w:val="18"/>
          <w:color w:val="auto"/>
        </w:rPr>
        <w:t>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 December 15, 2020, the SEC declared effective our registration statement on Form S-1 (File No. 333-250093), as amended, filed in connection with our IPO. At the closing of the offering on December 18, 2020, we issued and sold 12,075,000 shares of our common stock at the initial public offering price to the public of $18.00 per share, which included the exercise in full of the underwriters’ option to purchase additional shares. We received gross proceeds from the IPO of $217.4 million, before deducting underwriting discounts and commissions of approximately $15.2 million and estimated offering costs of approximately $3.8 million.</w:t>
      </w:r>
    </w:p>
    <w:p>
      <w:pPr>
        <w:spacing w:after="0" w:line="188"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As of March 31, 2021, we have not used any of the proceeds from our IPO and there has been no material change in the planned use of such proceeds from that described in the final prospectus filed by us with the SEC on December 17,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12"/>
            <w:vMerge w:val="restart"/>
          </w:tcPr>
          <w:p>
            <w:pPr>
              <w:ind w:left="540"/>
              <w:spacing w:after="0"/>
              <w:rPr>
                <w:sz w:val="20"/>
                <w:szCs w:val="20"/>
                <w:color w:val="auto"/>
              </w:rPr>
            </w:pPr>
            <w:r>
              <w:rPr>
                <w:rFonts w:ascii="Arial" w:cs="Arial" w:eastAsia="Arial" w:hAnsi="Arial"/>
                <w:sz w:val="14"/>
                <w:szCs w:val="14"/>
                <w:b w:val="1"/>
                <w:bCs w:val="1"/>
                <w:color w:val="auto"/>
              </w:rPr>
              <w:t>Description</w:t>
            </w:r>
          </w:p>
        </w:tc>
        <w:tc>
          <w:tcPr>
            <w:tcW w:w="9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File No.</w:t>
            </w:r>
          </w:p>
        </w:tc>
        <w:tc>
          <w:tcPr>
            <w:tcW w:w="10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Exhibit</w:t>
            </w:r>
          </w:p>
        </w:tc>
        <w:tc>
          <w:tcPr>
            <w:tcW w:w="14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 Filing 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File/Furnished</w:t>
            </w:r>
          </w:p>
        </w:tc>
        <w:tc>
          <w:tcPr>
            <w:tcW w:w="0" w:type="dxa"/>
            <w:vAlign w:val="bottom"/>
          </w:tcPr>
          <w:p>
            <w:pPr>
              <w:spacing w:after="0"/>
              <w:rPr>
                <w:sz w:val="1"/>
                <w:szCs w:val="1"/>
                <w:color w:val="auto"/>
              </w:rPr>
            </w:pPr>
          </w:p>
        </w:tc>
      </w:tr>
      <w:tr>
        <w:trPr>
          <w:trHeight w:val="185"/>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1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9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4"/>
                <w:szCs w:val="14"/>
                <w:color w:val="auto"/>
              </w:rPr>
            </w:pPr>
          </w:p>
        </w:tc>
        <w:tc>
          <w:tcPr>
            <w:tcW w:w="3820" w:type="dxa"/>
            <w:vAlign w:val="bottom"/>
            <w:tcBorders>
              <w:top w:val="single" w:sz="8" w:color="auto"/>
            </w:tcBorders>
            <w:gridSpan w:val="14"/>
          </w:tcPr>
          <w:p>
            <w:pPr>
              <w:spacing w:after="0" w:line="169" w:lineRule="exact"/>
              <w:rPr>
                <w:rFonts w:ascii="Arial" w:cs="Arial" w:eastAsia="Arial" w:hAnsi="Arial"/>
                <w:sz w:val="18"/>
                <w:szCs w:val="18"/>
                <w:color w:val="0000FF"/>
              </w:rPr>
            </w:pPr>
            <w:hyperlink w:anchor="page72">
              <w:r>
                <w:rPr>
                  <w:rFonts w:ascii="Arial" w:cs="Arial" w:eastAsia="Arial" w:hAnsi="Arial"/>
                  <w:sz w:val="18"/>
                  <w:szCs w:val="18"/>
                  <w:color w:val="0000FF"/>
                </w:rPr>
                <w:t>Transition Agreement by and between BioAtla,</w:t>
              </w:r>
            </w:hyperlink>
          </w:p>
        </w:tc>
        <w:tc>
          <w:tcPr>
            <w:tcW w:w="9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w:anchor="page72">
              <w:r>
                <w:rPr>
                  <w:rFonts w:ascii="Arial" w:cs="Arial" w:eastAsia="Arial" w:hAnsi="Arial"/>
                  <w:sz w:val="18"/>
                  <w:szCs w:val="18"/>
                  <w:color w:val="0000FF"/>
                  <w:w w:val="90"/>
                </w:rPr>
                <w:t>Inc. and Carolyn Anderson Short, dated March</w:t>
              </w:r>
            </w:hyperlink>
          </w:p>
        </w:tc>
        <w:tc>
          <w:tcPr>
            <w:tcW w:w="20" w:type="dxa"/>
            <w:vAlign w:val="bottom"/>
            <w:tcBorders>
              <w:top w:val="single" w:sz="8" w:color="0000FF"/>
            </w:tcBorders>
          </w:tcPr>
          <w:p>
            <w:pPr>
              <w:spacing w:after="0"/>
              <w:rPr>
                <w:sz w:val="17"/>
                <w:szCs w:val="17"/>
                <w:color w:val="auto"/>
              </w:rPr>
            </w:pPr>
          </w:p>
        </w:tc>
        <w:tc>
          <w:tcPr>
            <w:tcW w:w="42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line="196" w:lineRule="exact"/>
              <w:rPr>
                <w:rFonts w:ascii="Arial" w:cs="Arial" w:eastAsia="Arial" w:hAnsi="Arial"/>
                <w:sz w:val="18"/>
                <w:szCs w:val="18"/>
                <w:color w:val="0000FF"/>
                <w:w w:val="87"/>
              </w:rPr>
            </w:pPr>
            <w:hyperlink w:anchor="page72">
              <w:r>
                <w:rPr>
                  <w:rFonts w:ascii="Arial" w:cs="Arial" w:eastAsia="Arial" w:hAnsi="Arial"/>
                  <w:sz w:val="18"/>
                  <w:szCs w:val="18"/>
                  <w:color w:val="0000FF"/>
                  <w:w w:val="87"/>
                </w:rPr>
                <w:t>23, 2021.</w:t>
              </w:r>
            </w:hyperlink>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3820" w:type="dxa"/>
            <w:vAlign w:val="bottom"/>
            <w:gridSpan w:val="14"/>
          </w:tcPr>
          <w:p>
            <w:pPr>
              <w:spacing w:after="0"/>
              <w:rPr>
                <w:rFonts w:ascii="Arial" w:cs="Arial" w:eastAsia="Arial" w:hAnsi="Arial"/>
                <w:sz w:val="18"/>
                <w:szCs w:val="18"/>
                <w:color w:val="0000FF"/>
                <w:w w:val="99"/>
              </w:rPr>
            </w:pPr>
            <w:hyperlink w:anchor="page78">
              <w:r>
                <w:rPr>
                  <w:rFonts w:ascii="Arial" w:cs="Arial" w:eastAsia="Arial" w:hAnsi="Arial"/>
                  <w:sz w:val="18"/>
                  <w:szCs w:val="18"/>
                  <w:color w:val="0000FF"/>
                  <w:w w:val="99"/>
                </w:rPr>
                <w:t>Certification of Chief Executive Officer Pursuant</w:t>
              </w:r>
            </w:hyperlink>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to Rules 13a-14(a) and 15d-14(a) as Adopted</w:t>
              </w:r>
            </w:hyperlink>
          </w:p>
        </w:tc>
        <w:tc>
          <w:tcPr>
            <w:tcW w:w="40" w:type="dxa"/>
            <w:vAlign w:val="bottom"/>
            <w:tcBorders>
              <w:top w:val="single" w:sz="8" w:color="0000FF"/>
              <w:bottom w:val="single" w:sz="8" w:color="0000EE"/>
            </w:tcBorders>
          </w:tcPr>
          <w:p>
            <w:pPr>
              <w:spacing w:after="0"/>
              <w:rPr>
                <w:sz w:val="17"/>
                <w:szCs w:val="17"/>
                <w:color w:val="auto"/>
              </w:rPr>
            </w:pPr>
          </w:p>
        </w:tc>
        <w:tc>
          <w:tcPr>
            <w:tcW w:w="240" w:type="dxa"/>
            <w:vAlign w:val="bottom"/>
            <w:tcBorders>
              <w:top w:val="single" w:sz="8" w:color="0000FF"/>
            </w:tcBorders>
            <w:gridSpan w:val="5"/>
          </w:tcPr>
          <w:p>
            <w:pPr>
              <w:spacing w:after="0"/>
              <w:rPr>
                <w:sz w:val="17"/>
                <w:szCs w:val="17"/>
                <w:color w:val="auto"/>
              </w:rPr>
            </w:pPr>
          </w:p>
        </w:tc>
        <w:tc>
          <w:tcPr>
            <w:tcW w:w="2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gridSpan w:val="14"/>
          </w:tcPr>
          <w:p>
            <w:pPr>
              <w:spacing w:after="0" w:line="196" w:lineRule="exact"/>
              <w:rPr>
                <w:rFonts w:ascii="Arial" w:cs="Arial" w:eastAsia="Arial" w:hAnsi="Arial"/>
                <w:sz w:val="18"/>
                <w:szCs w:val="18"/>
                <w:color w:val="0000FF"/>
              </w:rPr>
            </w:pPr>
            <w:hyperlink w:anchor="page78">
              <w:r>
                <w:rPr>
                  <w:rFonts w:ascii="Arial" w:cs="Arial" w:eastAsia="Arial" w:hAnsi="Arial"/>
                  <w:sz w:val="18"/>
                  <w:szCs w:val="18"/>
                  <w:color w:val="0000FF"/>
                </w:rPr>
                <w:t>Pursuant to Section 302 of the Sarbanes-Oxley</w:t>
              </w:r>
            </w:hyperlink>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78">
              <w:r>
                <w:rPr>
                  <w:rFonts w:ascii="Arial" w:cs="Arial" w:eastAsia="Arial" w:hAnsi="Arial"/>
                  <w:sz w:val="18"/>
                  <w:szCs w:val="18"/>
                  <w:color w:val="0000FF"/>
                </w:rPr>
                <w:t>Act of 2002.</w:t>
              </w:r>
            </w:hyperlink>
          </w:p>
        </w:tc>
        <w:tc>
          <w:tcPr>
            <w:tcW w:w="46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gridSpan w:val="2"/>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3500" w:type="dxa"/>
            <w:vAlign w:val="bottom"/>
            <w:tcBorders>
              <w:bottom w:val="single" w:sz="8" w:color="0000FF"/>
            </w:tcBorders>
            <w:gridSpan w:val="11"/>
          </w:tcPr>
          <w:p>
            <w:pPr>
              <w:spacing w:after="0"/>
              <w:rPr>
                <w:rFonts w:ascii="Arial" w:cs="Arial" w:eastAsia="Arial" w:hAnsi="Arial"/>
                <w:sz w:val="18"/>
                <w:szCs w:val="18"/>
                <w:color w:val="0000FF"/>
                <w:w w:val="93"/>
              </w:rPr>
            </w:pPr>
            <w:hyperlink w:anchor="page79">
              <w:r>
                <w:rPr>
                  <w:rFonts w:ascii="Arial" w:cs="Arial" w:eastAsia="Arial" w:hAnsi="Arial"/>
                  <w:sz w:val="18"/>
                  <w:szCs w:val="18"/>
                  <w:color w:val="0000FF"/>
                  <w:w w:val="93"/>
                </w:rPr>
                <w:t>Certification of Chief Financial Officer Pursuant</w:t>
              </w:r>
            </w:hyperlink>
          </w:p>
        </w:tc>
        <w:tc>
          <w:tcPr>
            <w:tcW w:w="32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to Rules 13a-14(a) and 15d-14(a) as Adopted</w:t>
              </w:r>
            </w:hyperlink>
          </w:p>
        </w:tc>
        <w:tc>
          <w:tcPr>
            <w:tcW w:w="40" w:type="dxa"/>
            <w:vAlign w:val="bottom"/>
            <w:tcBorders>
              <w:bottom w:val="single" w:sz="8" w:color="0000EE"/>
            </w:tcBorders>
          </w:tcPr>
          <w:p>
            <w:pPr>
              <w:spacing w:after="0"/>
              <w:rPr>
                <w:sz w:val="17"/>
                <w:szCs w:val="17"/>
                <w:color w:val="auto"/>
              </w:rPr>
            </w:pPr>
          </w:p>
        </w:tc>
        <w:tc>
          <w:tcPr>
            <w:tcW w:w="520" w:type="dxa"/>
            <w:vAlign w:val="bottom"/>
            <w:gridSpan w:val="7"/>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gridSpan w:val="14"/>
          </w:tcPr>
          <w:p>
            <w:pPr>
              <w:spacing w:after="0" w:line="196" w:lineRule="exact"/>
              <w:rPr>
                <w:rFonts w:ascii="Arial" w:cs="Arial" w:eastAsia="Arial" w:hAnsi="Arial"/>
                <w:sz w:val="18"/>
                <w:szCs w:val="18"/>
                <w:color w:val="0000FF"/>
              </w:rPr>
            </w:pPr>
            <w:hyperlink w:anchor="page79">
              <w:r>
                <w:rPr>
                  <w:rFonts w:ascii="Arial" w:cs="Arial" w:eastAsia="Arial" w:hAnsi="Arial"/>
                  <w:sz w:val="18"/>
                  <w:szCs w:val="18"/>
                  <w:color w:val="0000FF"/>
                </w:rPr>
                <w:t>Pursuant to Section 302 of the Sarbanes-Oxley</w:t>
              </w:r>
            </w:hyperlink>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79">
              <w:r>
                <w:rPr>
                  <w:rFonts w:ascii="Arial" w:cs="Arial" w:eastAsia="Arial" w:hAnsi="Arial"/>
                  <w:sz w:val="18"/>
                  <w:szCs w:val="18"/>
                  <w:color w:val="0000FF"/>
                </w:rPr>
                <w:t>Act of 2002.</w:t>
              </w:r>
            </w:hyperlink>
          </w:p>
        </w:tc>
        <w:tc>
          <w:tcPr>
            <w:tcW w:w="46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gridSpan w:val="2"/>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318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80">
              <w:r>
                <w:rPr>
                  <w:rFonts w:ascii="Arial" w:cs="Arial" w:eastAsia="Arial" w:hAnsi="Arial"/>
                  <w:sz w:val="18"/>
                  <w:szCs w:val="18"/>
                  <w:color w:val="0000FF"/>
                  <w:w w:val="93"/>
                </w:rPr>
                <w:t>Certification of Chief Executive Officer and</w:t>
              </w:r>
            </w:hyperlink>
          </w:p>
        </w:tc>
        <w:tc>
          <w:tcPr>
            <w:tcW w:w="20" w:type="dxa"/>
            <w:vAlign w:val="bottom"/>
            <w:tcBorders>
              <w:bottom w:val="single" w:sz="8" w:color="0000EE"/>
            </w:tcBorders>
          </w:tcPr>
          <w:p>
            <w:pPr>
              <w:spacing w:after="0"/>
              <w:rPr>
                <w:sz w:val="18"/>
                <w:szCs w:val="18"/>
                <w:color w:val="auto"/>
              </w:rPr>
            </w:pPr>
          </w:p>
        </w:tc>
        <w:tc>
          <w:tcPr>
            <w:tcW w:w="620" w:type="dxa"/>
            <w:vAlign w:val="bottom"/>
            <w:gridSpan w:val="9"/>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gridSpan w:val="14"/>
          </w:tcPr>
          <w:p>
            <w:pPr>
              <w:spacing w:after="0" w:line="196" w:lineRule="exact"/>
              <w:rPr>
                <w:rFonts w:ascii="Arial" w:cs="Arial" w:eastAsia="Arial" w:hAnsi="Arial"/>
                <w:sz w:val="18"/>
                <w:szCs w:val="18"/>
                <w:color w:val="0000FF"/>
              </w:rPr>
            </w:pPr>
            <w:hyperlink w:anchor="page80">
              <w:r>
                <w:rPr>
                  <w:rFonts w:ascii="Arial" w:cs="Arial" w:eastAsia="Arial" w:hAnsi="Arial"/>
                  <w:sz w:val="18"/>
                  <w:szCs w:val="18"/>
                  <w:color w:val="0000FF"/>
                </w:rPr>
                <w:t>Chief Financial Officer Pursuant to 18 U.S.C.</w:t>
              </w:r>
            </w:hyperlink>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74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gridSpan w:val="14"/>
          </w:tcPr>
          <w:p>
            <w:pPr>
              <w:spacing w:after="0" w:line="196" w:lineRule="exact"/>
              <w:rPr>
                <w:rFonts w:ascii="Arial" w:cs="Arial" w:eastAsia="Arial" w:hAnsi="Arial"/>
                <w:sz w:val="18"/>
                <w:szCs w:val="18"/>
                <w:color w:val="0000FF"/>
                <w:w w:val="94"/>
              </w:rPr>
            </w:pPr>
            <w:hyperlink w:anchor="page80">
              <w:r>
                <w:rPr>
                  <w:rFonts w:ascii="Arial" w:cs="Arial" w:eastAsia="Arial" w:hAnsi="Arial"/>
                  <w:sz w:val="18"/>
                  <w:szCs w:val="18"/>
                  <w:color w:val="0000FF"/>
                  <w:w w:val="94"/>
                </w:rPr>
                <w:t>Section 1350, as Adopted Pursuant to Section 906</w:t>
              </w:r>
            </w:hyperlink>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80">
              <w:r>
                <w:rPr>
                  <w:rFonts w:ascii="Arial" w:cs="Arial" w:eastAsia="Arial" w:hAnsi="Arial"/>
                  <w:sz w:val="18"/>
                  <w:szCs w:val="18"/>
                  <w:color w:val="0000FF"/>
                  <w:w w:val="90"/>
                </w:rPr>
                <w:t>of the Sarbanes-Oxley Act of 2002.</w:t>
              </w:r>
            </w:hyperlink>
          </w:p>
        </w:tc>
        <w:tc>
          <w:tcPr>
            <w:tcW w:w="1040" w:type="dxa"/>
            <w:vAlign w:val="bottom"/>
            <w:tcBorders>
              <w:top w:val="single" w:sz="8" w:color="0000FF"/>
            </w:tcBorders>
            <w:gridSpan w:val="10"/>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3820" w:type="dxa"/>
            <w:vAlign w:val="bottom"/>
            <w:gridSpan w:val="14"/>
          </w:tcPr>
          <w:p>
            <w:pPr>
              <w:spacing w:after="0"/>
              <w:rPr>
                <w:sz w:val="20"/>
                <w:szCs w:val="20"/>
                <w:color w:val="auto"/>
              </w:rPr>
            </w:pPr>
            <w:r>
              <w:rPr>
                <w:rFonts w:ascii="Arial" w:cs="Arial" w:eastAsia="Arial" w:hAnsi="Arial"/>
                <w:sz w:val="18"/>
                <w:szCs w:val="18"/>
                <w:color w:val="auto"/>
              </w:rPr>
              <w:t>Inline XBRL Instance Document – the instance</w:t>
            </w: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w w:val="96"/>
              </w:rPr>
              <w:t>document does not appear in the Interactive Data</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w w:val="96"/>
              </w:rPr>
              <w:t>File because XBRL tags are embedded within the</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rPr>
              <w:t>Inline XBRL document.</w:t>
            </w: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rPr>
              <w:t>The following materials from BioAtla’s Quarterly</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rPr>
              <w:t>Report on Form 10-Q for the quarter ended</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rPr>
              <w:t>March 31, 2021, formatted in iXBRL (inline</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w w:val="96"/>
              </w:rPr>
              <w:t>eXtensible Business Reporting Language): (i) the</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w w:val="96"/>
              </w:rPr>
              <w:t>Condensed Consolidated Balance Sheets, (ii) the</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rPr>
              <w:t>Condensed Consolidated Statements of</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rPr>
              <w:t>Operations and Comprehensive Loss, (iii) the</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rPr>
              <w:t>Condensed Consolidated Statement of</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rPr>
              <w:t>Stockholders’ Equity (iv) the Condensed</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w w:val="98"/>
              </w:rPr>
              <w:t>Consolidated Statements of Cash Flows, and (v)</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rPr>
              <w:t>Notes to Condensed Consolidated Financial</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w w:val="94"/>
              </w:rPr>
              <w:t>Statements, tagged as blocks of text and including</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rPr>
              <w:t>detailed tags</w:t>
            </w: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rPr>
              <w:t>Cover Page Interactive Data File (formatted as</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14"/>
          </w:tcPr>
          <w:p>
            <w:pPr>
              <w:spacing w:after="0"/>
              <w:rPr>
                <w:sz w:val="20"/>
                <w:szCs w:val="20"/>
                <w:color w:val="auto"/>
              </w:rPr>
            </w:pPr>
            <w:r>
              <w:rPr>
                <w:rFonts w:ascii="Arial" w:cs="Arial" w:eastAsia="Arial" w:hAnsi="Arial"/>
                <w:sz w:val="18"/>
                <w:szCs w:val="18"/>
                <w:color w:val="auto"/>
              </w:rPr>
              <w:t>Inline XBRL document and contained in exhibit</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12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Furnished and not filed.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61" w:right="55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3420" w:type="dxa"/>
            <w:vAlign w:val="bottom"/>
            <w:gridSpan w:val="2"/>
          </w:tcPr>
          <w:p>
            <w:pPr>
              <w:ind w:left="2100"/>
              <w:spacing w:after="0"/>
              <w:rPr>
                <w:sz w:val="20"/>
                <w:szCs w:val="20"/>
                <w:color w:val="auto"/>
              </w:rPr>
            </w:pPr>
            <w:r>
              <w:rPr>
                <w:rFonts w:ascii="Arial" w:cs="Arial" w:eastAsia="Arial" w:hAnsi="Arial"/>
                <w:sz w:val="18"/>
                <w:szCs w:val="18"/>
                <w:color w:val="auto"/>
                <w:w w:val="99"/>
              </w:rPr>
              <w:t>Company Name</w:t>
            </w:r>
          </w:p>
        </w:tc>
        <w:tc>
          <w:tcPr>
            <w:tcW w:w="4320" w:type="dxa"/>
            <w:vAlign w:val="bottom"/>
          </w:tcPr>
          <w:p>
            <w:pPr>
              <w:spacing w:after="0"/>
              <w:rPr>
                <w:sz w:val="20"/>
                <w:szCs w:val="20"/>
                <w:color w:val="auto"/>
              </w:rPr>
            </w:pPr>
          </w:p>
        </w:tc>
      </w:tr>
      <w:tr>
        <w:trPr>
          <w:trHeight w:val="412"/>
        </w:trPr>
        <w:tc>
          <w:tcPr>
            <w:tcW w:w="3500" w:type="dxa"/>
            <w:vAlign w:val="bottom"/>
          </w:tcPr>
          <w:p>
            <w:pPr>
              <w:ind w:left="20"/>
              <w:spacing w:after="0"/>
              <w:rPr>
                <w:sz w:val="20"/>
                <w:szCs w:val="20"/>
                <w:color w:val="auto"/>
              </w:rPr>
            </w:pPr>
            <w:r>
              <w:rPr>
                <w:rFonts w:ascii="Arial" w:cs="Arial" w:eastAsia="Arial" w:hAnsi="Arial"/>
                <w:sz w:val="18"/>
                <w:szCs w:val="18"/>
                <w:color w:val="auto"/>
              </w:rPr>
              <w:t>Date: May 12, 2021</w:t>
            </w:r>
          </w:p>
        </w:tc>
        <w:tc>
          <w:tcPr>
            <w:tcW w:w="3420" w:type="dxa"/>
            <w:vAlign w:val="bottom"/>
            <w:gridSpan w:val="2"/>
          </w:tcPr>
          <w:p>
            <w:pPr>
              <w:ind w:left="2100"/>
              <w:spacing w:after="0"/>
              <w:rPr>
                <w:sz w:val="20"/>
                <w:szCs w:val="20"/>
                <w:color w:val="auto"/>
              </w:rPr>
            </w:pPr>
            <w:r>
              <w:rPr>
                <w:rFonts w:ascii="Arial" w:cs="Arial" w:eastAsia="Arial" w:hAnsi="Arial"/>
                <w:sz w:val="18"/>
                <w:szCs w:val="18"/>
                <w:color w:val="auto"/>
              </w:rPr>
              <w:t>By:</w:t>
            </w:r>
          </w:p>
        </w:tc>
        <w:tc>
          <w:tcPr>
            <w:tcW w:w="4320" w:type="dxa"/>
            <w:vAlign w:val="bottom"/>
          </w:tcPr>
          <w:p>
            <w:pPr>
              <w:ind w:left="900"/>
              <w:spacing w:after="0"/>
              <w:rPr>
                <w:sz w:val="20"/>
                <w:szCs w:val="20"/>
                <w:color w:val="auto"/>
              </w:rPr>
            </w:pPr>
            <w:r>
              <w:rPr>
                <w:rFonts w:ascii="Arial" w:cs="Arial" w:eastAsia="Arial" w:hAnsi="Arial"/>
                <w:sz w:val="18"/>
                <w:szCs w:val="18"/>
                <w:color w:val="auto"/>
              </w:rPr>
              <w:t>/s/ Jay M. Short, Ph.D.</w:t>
            </w:r>
          </w:p>
        </w:tc>
      </w:tr>
      <w:tr>
        <w:trPr>
          <w:trHeight w:val="215"/>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32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Jay M. Short, Ph.D.</w:t>
            </w:r>
          </w:p>
        </w:tc>
      </w:tr>
      <w:tr>
        <w:trPr>
          <w:trHeight w:val="216"/>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tcPr>
          <w:p>
            <w:pPr>
              <w:ind w:left="880"/>
              <w:spacing w:after="0"/>
              <w:rPr>
                <w:sz w:val="20"/>
                <w:szCs w:val="20"/>
                <w:color w:val="auto"/>
              </w:rPr>
            </w:pPr>
            <w:r>
              <w:rPr>
                <w:rFonts w:ascii="Arial" w:cs="Arial" w:eastAsia="Arial" w:hAnsi="Arial"/>
                <w:sz w:val="18"/>
                <w:szCs w:val="18"/>
                <w:color w:val="auto"/>
              </w:rPr>
              <w:t>Chief Executive Officer</w:t>
            </w:r>
          </w:p>
        </w:tc>
      </w:tr>
      <w:tr>
        <w:trPr>
          <w:trHeight w:val="230"/>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(Principal Executive Officer)</w:t>
            </w:r>
          </w:p>
        </w:tc>
      </w:tr>
      <w:tr>
        <w:trPr>
          <w:trHeight w:val="466"/>
        </w:trPr>
        <w:tc>
          <w:tcPr>
            <w:tcW w:w="3500" w:type="dxa"/>
            <w:vAlign w:val="bottom"/>
          </w:tcPr>
          <w:p>
            <w:pPr>
              <w:ind w:left="20"/>
              <w:spacing w:after="0"/>
              <w:rPr>
                <w:sz w:val="20"/>
                <w:szCs w:val="20"/>
                <w:color w:val="auto"/>
              </w:rPr>
            </w:pPr>
            <w:r>
              <w:rPr>
                <w:rFonts w:ascii="Arial" w:cs="Arial" w:eastAsia="Arial" w:hAnsi="Arial"/>
                <w:sz w:val="18"/>
                <w:szCs w:val="18"/>
                <w:color w:val="auto"/>
              </w:rPr>
              <w:t>Date: May 12, 2021</w:t>
            </w:r>
          </w:p>
        </w:tc>
        <w:tc>
          <w:tcPr>
            <w:tcW w:w="3420" w:type="dxa"/>
            <w:vAlign w:val="bottom"/>
            <w:gridSpan w:val="2"/>
          </w:tcPr>
          <w:p>
            <w:pPr>
              <w:ind w:left="2100"/>
              <w:spacing w:after="0"/>
              <w:rPr>
                <w:sz w:val="20"/>
                <w:szCs w:val="20"/>
                <w:color w:val="auto"/>
              </w:rPr>
            </w:pPr>
            <w:r>
              <w:rPr>
                <w:rFonts w:ascii="Arial" w:cs="Arial" w:eastAsia="Arial" w:hAnsi="Arial"/>
                <w:sz w:val="18"/>
                <w:szCs w:val="18"/>
                <w:color w:val="auto"/>
              </w:rPr>
              <w:t>By:</w:t>
            </w:r>
          </w:p>
        </w:tc>
        <w:tc>
          <w:tcPr>
            <w:tcW w:w="4320" w:type="dxa"/>
            <w:vAlign w:val="bottom"/>
          </w:tcPr>
          <w:p>
            <w:pPr>
              <w:ind w:left="880"/>
              <w:spacing w:after="0"/>
              <w:rPr>
                <w:sz w:val="20"/>
                <w:szCs w:val="20"/>
                <w:color w:val="auto"/>
              </w:rPr>
            </w:pPr>
            <w:r>
              <w:rPr>
                <w:rFonts w:ascii="Arial" w:cs="Arial" w:eastAsia="Arial" w:hAnsi="Arial"/>
                <w:sz w:val="18"/>
                <w:szCs w:val="18"/>
                <w:color w:val="auto"/>
              </w:rPr>
              <w:t>/s/ Richard A. Waldron</w:t>
            </w:r>
          </w:p>
        </w:tc>
      </w:tr>
      <w:tr>
        <w:trPr>
          <w:trHeight w:val="215"/>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32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Richard A. Waldron</w:t>
            </w:r>
          </w:p>
        </w:tc>
      </w:tr>
      <w:tr>
        <w:trPr>
          <w:trHeight w:val="216"/>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tcPr>
          <w:p>
            <w:pPr>
              <w:ind w:left="900"/>
              <w:spacing w:after="0"/>
              <w:rPr>
                <w:sz w:val="20"/>
                <w:szCs w:val="20"/>
                <w:color w:val="auto"/>
              </w:rPr>
            </w:pPr>
            <w:r>
              <w:rPr>
                <w:rFonts w:ascii="Arial" w:cs="Arial" w:eastAsia="Arial" w:hAnsi="Arial"/>
                <w:sz w:val="18"/>
                <w:szCs w:val="18"/>
                <w:color w:val="auto"/>
              </w:rPr>
              <w:t>Chief Financial Officer</w:t>
            </w:r>
          </w:p>
        </w:tc>
      </w:tr>
      <w:tr>
        <w:trPr>
          <w:trHeight w:val="230"/>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r>
        <w:trPr>
          <w:trHeight w:val="445"/>
        </w:trPr>
        <w:tc>
          <w:tcPr>
            <w:tcW w:w="3500" w:type="dxa"/>
            <w:vAlign w:val="bottom"/>
          </w:tcPr>
          <w:p>
            <w:pPr>
              <w:spacing w:after="0"/>
              <w:rPr>
                <w:sz w:val="24"/>
                <w:szCs w:val="24"/>
                <w:color w:val="auto"/>
              </w:rPr>
            </w:pPr>
          </w:p>
        </w:tc>
        <w:tc>
          <w:tcPr>
            <w:tcW w:w="2520" w:type="dxa"/>
            <w:vAlign w:val="bottom"/>
          </w:tcPr>
          <w:p>
            <w:pPr>
              <w:jc w:val="right"/>
              <w:ind w:right="210"/>
              <w:spacing w:after="0"/>
              <w:rPr>
                <w:sz w:val="20"/>
                <w:szCs w:val="20"/>
                <w:color w:val="auto"/>
              </w:rPr>
            </w:pPr>
            <w:r>
              <w:rPr>
                <w:rFonts w:ascii="Arial" w:cs="Arial" w:eastAsia="Arial" w:hAnsi="Arial"/>
                <w:sz w:val="18"/>
                <w:szCs w:val="18"/>
                <w:color w:val="auto"/>
              </w:rPr>
              <w:t>69</w:t>
            </w:r>
          </w:p>
        </w:tc>
        <w:tc>
          <w:tcPr>
            <w:tcW w:w="9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ind w:left="10320"/>
        <w:spacing w:after="0"/>
        <w:rPr>
          <w:sz w:val="20"/>
          <w:szCs w:val="20"/>
          <w:color w:val="auto"/>
        </w:rPr>
      </w:pPr>
      <w:r>
        <w:rPr>
          <w:rFonts w:ascii="Arial" w:cs="Arial" w:eastAsia="Arial" w:hAnsi="Arial"/>
          <w:sz w:val="16"/>
          <w:szCs w:val="16"/>
          <w:b w:val="1"/>
          <w:bCs w:val="1"/>
          <w:color w:val="auto"/>
        </w:rPr>
        <w:t>Exhibit 10.1</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TRANSITION AGREEMENT</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This Transition Agreement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between Carolyn Anderson Short (“</w:t>
      </w:r>
      <w:r>
        <w:rPr>
          <w:rFonts w:ascii="Arial" w:cs="Arial" w:eastAsia="Arial" w:hAnsi="Arial"/>
          <w:sz w:val="17"/>
          <w:szCs w:val="17"/>
          <w:b w:val="1"/>
          <w:bCs w:val="1"/>
          <w:color w:val="auto"/>
        </w:rPr>
        <w:t>Executive</w:t>
      </w:r>
      <w:r>
        <w:rPr>
          <w:rFonts w:ascii="Arial" w:cs="Arial" w:eastAsia="Arial" w:hAnsi="Arial"/>
          <w:sz w:val="17"/>
          <w:szCs w:val="17"/>
          <w:color w:val="auto"/>
        </w:rPr>
        <w:t>”) and BioAtla, Inc.</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BioAtla</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35" w:lineRule="exact"/>
        <w:rPr>
          <w:sz w:val="20"/>
          <w:szCs w:val="20"/>
          <w:color w:val="auto"/>
        </w:rPr>
      </w:pPr>
    </w:p>
    <w:p>
      <w:pPr>
        <w:ind w:left="760" w:firstLine="792"/>
        <w:spacing w:after="0" w:line="282" w:lineRule="auto"/>
        <w:tabs>
          <w:tab w:leader="none" w:pos="215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SEPARATION</w:t>
      </w:r>
      <w:r>
        <w:rPr>
          <w:rFonts w:ascii="Arial" w:cs="Arial" w:eastAsia="Arial" w:hAnsi="Arial"/>
          <w:sz w:val="18"/>
          <w:szCs w:val="18"/>
          <w:color w:val="auto"/>
        </w:rPr>
        <w:t>. The parties agree that the employment relationship between Executive and BioAtla will transition and end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Agreement.</w:t>
      </w:r>
    </w:p>
    <w:p>
      <w:pPr>
        <w:spacing w:after="0" w:line="161" w:lineRule="exact"/>
        <w:rPr>
          <w:rFonts w:ascii="Arial" w:cs="Arial" w:eastAsia="Arial" w:hAnsi="Arial"/>
          <w:sz w:val="18"/>
          <w:szCs w:val="18"/>
          <w:b w:val="1"/>
          <w:bCs w:val="1"/>
          <w:color w:val="auto"/>
        </w:rPr>
      </w:pPr>
    </w:p>
    <w:p>
      <w:pPr>
        <w:ind w:left="760" w:right="180" w:firstLine="792"/>
        <w:spacing w:after="0" w:line="292" w:lineRule="auto"/>
        <w:tabs>
          <w:tab w:leader="none" w:pos="2157"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TRANSITION PERIOD</w:t>
      </w:r>
      <w:r>
        <w:rPr>
          <w:rFonts w:ascii="Arial" w:cs="Arial" w:eastAsia="Arial" w:hAnsi="Arial"/>
          <w:sz w:val="16"/>
          <w:szCs w:val="16"/>
          <w:color w:val="auto"/>
        </w:rPr>
        <w:t>. The parties agree that Executive will continue to be employed full-time as Chief of Intellectual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and Strategy, Cofounder of BioAtla and work in such capacity effective until May 31, 2021 (the “</w:t>
      </w:r>
      <w:r>
        <w:rPr>
          <w:rFonts w:ascii="Arial" w:cs="Arial" w:eastAsia="Arial" w:hAnsi="Arial"/>
          <w:sz w:val="16"/>
          <w:szCs w:val="16"/>
          <w:b w:val="1"/>
          <w:bCs w:val="1"/>
          <w:i w:val="1"/>
          <w:iCs w:val="1"/>
          <w:color w:val="auto"/>
        </w:rPr>
        <w:t>Separation Date</w:t>
      </w:r>
      <w:r>
        <w:rPr>
          <w:rFonts w:ascii="Arial" w:cs="Arial" w:eastAsia="Arial" w:hAnsi="Arial"/>
          <w:sz w:val="16"/>
          <w:szCs w:val="16"/>
          <w:color w:val="auto"/>
        </w:rPr>
        <w:t>”). Until the Separation Date (the “</w:t>
      </w:r>
      <w:r>
        <w:rPr>
          <w:rFonts w:ascii="Arial" w:cs="Arial" w:eastAsia="Arial" w:hAnsi="Arial"/>
          <w:sz w:val="16"/>
          <w:szCs w:val="16"/>
          <w:b w:val="1"/>
          <w:bCs w:val="1"/>
          <w:i w:val="1"/>
          <w:iCs w:val="1"/>
          <w:color w:val="auto"/>
        </w:rPr>
        <w:t>Transition Period</w:t>
      </w:r>
      <w:r>
        <w:rPr>
          <w:rFonts w:ascii="Arial" w:cs="Arial" w:eastAsia="Arial" w:hAnsi="Arial"/>
          <w:sz w:val="16"/>
          <w:szCs w:val="16"/>
          <w:color w:val="auto"/>
        </w:rPr>
        <w:t xml:space="preserve">”), Executive will continue to perform her duties to the best of her abilities. In addition, during the Transition Period, Executive agrees to act in the best interests of BioAtla and in accordance with BioAtla policies and procedures, and to assist BioAtla as requested, including responding to questions, assisting with any litigation matters, providing information and cooperatively transitioning her duties and on-going projects to others at BioAtla. During the Transition Period, </w:t>
      </w:r>
      <w:r>
        <w:rPr>
          <w:rFonts w:ascii="Arial" w:cs="Arial" w:eastAsia="Arial" w:hAnsi="Arial"/>
          <w:sz w:val="16"/>
          <w:szCs w:val="16"/>
          <w:color w:val="1D1D1E"/>
        </w:rPr>
        <w:t>the Company will continue to pay Executive’s</w:t>
      </w:r>
      <w:r>
        <w:rPr>
          <w:rFonts w:ascii="Arial" w:cs="Arial" w:eastAsia="Arial" w:hAnsi="Arial"/>
          <w:sz w:val="16"/>
          <w:szCs w:val="16"/>
          <w:color w:val="auto"/>
        </w:rPr>
        <w:t xml:space="preserve"> </w:t>
      </w:r>
      <w:r>
        <w:rPr>
          <w:rFonts w:ascii="Arial" w:cs="Arial" w:eastAsia="Arial" w:hAnsi="Arial"/>
          <w:sz w:val="16"/>
          <w:szCs w:val="16"/>
          <w:color w:val="1D1D1E"/>
        </w:rPr>
        <w:t>regular base salary, and Executive will continue to be eligible for all employee benefits to which Executive is currently entitled.</w:t>
      </w:r>
    </w:p>
    <w:p>
      <w:pPr>
        <w:spacing w:after="0" w:line="161" w:lineRule="exact"/>
        <w:rPr>
          <w:rFonts w:ascii="Arial" w:cs="Arial" w:eastAsia="Arial" w:hAnsi="Arial"/>
          <w:sz w:val="16"/>
          <w:szCs w:val="16"/>
          <w:b w:val="1"/>
          <w:bCs w:val="1"/>
          <w:color w:val="auto"/>
        </w:rPr>
      </w:pPr>
    </w:p>
    <w:p>
      <w:pPr>
        <w:ind w:left="760" w:right="60" w:firstLine="792"/>
        <w:spacing w:after="0" w:line="292" w:lineRule="auto"/>
        <w:tabs>
          <w:tab w:leader="none" w:pos="2157"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RESIGNATION OF OFFICE</w:t>
      </w:r>
      <w:r>
        <w:rPr>
          <w:rFonts w:ascii="Arial" w:cs="Arial" w:eastAsia="Arial" w:hAnsi="Arial"/>
          <w:sz w:val="16"/>
          <w:szCs w:val="16"/>
          <w:color w:val="auto"/>
        </w:rPr>
        <w:t>. On the Separation Date, Executive will cease to be employed by the Company and hereby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resigns, effective as of the Separation Date, from any and all officer positions held by Executive with BioAtla, Inc. Executive agrees to deliver any additional documentation as may be necessary to give effect to such resignations. After the Separation Date, Executive agrees she will not hold herself out as representing the Company or otherwise attempt to bind the Company to any contractual arrangements. </w:t>
      </w:r>
      <w:r>
        <w:rPr>
          <w:rFonts w:ascii="Arial" w:cs="Arial" w:eastAsia="Arial" w:hAnsi="Arial"/>
          <w:sz w:val="16"/>
          <w:szCs w:val="16"/>
          <w:color w:val="1D1D1E"/>
        </w:rPr>
        <w:t>The Separation Date</w:t>
      </w:r>
      <w:r>
        <w:rPr>
          <w:rFonts w:ascii="Arial" w:cs="Arial" w:eastAsia="Arial" w:hAnsi="Arial"/>
          <w:sz w:val="16"/>
          <w:szCs w:val="16"/>
          <w:color w:val="auto"/>
        </w:rPr>
        <w:t xml:space="preserve"> </w:t>
      </w:r>
      <w:r>
        <w:rPr>
          <w:rFonts w:ascii="Arial" w:cs="Arial" w:eastAsia="Arial" w:hAnsi="Arial"/>
          <w:sz w:val="16"/>
          <w:szCs w:val="16"/>
          <w:color w:val="1D1D1E"/>
        </w:rPr>
        <w:t>will be the termination date of Executive’s employment for purposes of active participation in and coverage under all benefit plans and programs sponsored by or through the Company or its affiliates, except as otherwise required by applicable law or under the terms of this Agreement. For clarity, Executive shall have the right to publish the fact that she is a cofounder of the Company.</w:t>
      </w:r>
    </w:p>
    <w:p>
      <w:pPr>
        <w:spacing w:after="0" w:line="161" w:lineRule="exact"/>
        <w:rPr>
          <w:rFonts w:ascii="Arial" w:cs="Arial" w:eastAsia="Arial" w:hAnsi="Arial"/>
          <w:sz w:val="16"/>
          <w:szCs w:val="16"/>
          <w:b w:val="1"/>
          <w:bCs w:val="1"/>
          <w:color w:val="auto"/>
        </w:rPr>
      </w:pPr>
    </w:p>
    <w:p>
      <w:pPr>
        <w:ind w:left="760" w:right="40" w:firstLine="792"/>
        <w:spacing w:after="0" w:line="303" w:lineRule="auto"/>
        <w:tabs>
          <w:tab w:leader="none" w:pos="2157"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TO RECEIPT OF SEVERANCE BENEFITS</w:t>
      </w:r>
      <w:r>
        <w:rPr>
          <w:rFonts w:ascii="Arial" w:cs="Arial" w:eastAsia="Arial" w:hAnsi="Arial"/>
          <w:sz w:val="16"/>
          <w:szCs w:val="16"/>
          <w:color w:val="auto"/>
        </w:rPr>
        <w:t>. To be eligible to receive the Severance Benefits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Executive is required to (i) remain in employment hereunder through the Separation Date, (ii) execute and return to the Company the general release of claims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on</w:t>
      </w:r>
      <w:r>
        <w:rPr>
          <w:rFonts w:ascii="Arial" w:cs="Arial" w:eastAsia="Arial" w:hAnsi="Arial"/>
          <w:sz w:val="16"/>
          <w:szCs w:val="16"/>
          <w:color w:val="auto"/>
        </w:rPr>
        <w:t xml:space="preserve"> her Separation Date (but not earlier), (iii) not revoke such Release and (iv) comply with the terms of the Release, as each are further described in Exhibit 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4152-0071-9404.1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2" w:name="page73"/>
    <w:bookmarkEnd w:id="72"/>
    <w:p>
      <w:pPr>
        <w:ind w:left="760"/>
        <w:spacing w:after="0"/>
        <w:rPr>
          <w:sz w:val="20"/>
          <w:szCs w:val="20"/>
          <w:color w:val="auto"/>
        </w:rPr>
      </w:pPr>
      <w:r>
        <w:rPr>
          <w:rFonts w:ascii="Arial" w:cs="Arial" w:eastAsia="Arial" w:hAnsi="Arial"/>
          <w:sz w:val="16"/>
          <w:szCs w:val="16"/>
          <w:color w:val="auto"/>
        </w:rPr>
        <w:t>To accept this Agreement, please sign and date it and return it to me on or before March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40575" cy="1568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057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March 23, 2021</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7"/>
          <w:szCs w:val="17"/>
          <w:u w:val="single" w:color="auto"/>
          <w:color w:val="auto"/>
        </w:rPr>
        <w:t>/s/ Carolyn Anderson Short</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Carolyn Anderson Short</w:t>
      </w:r>
    </w:p>
    <w:p>
      <w:pPr>
        <w:spacing w:after="0" w:line="200" w:lineRule="exact"/>
        <w:rPr>
          <w:sz w:val="20"/>
          <w:szCs w:val="20"/>
          <w:color w:val="auto"/>
        </w:rPr>
      </w:pPr>
    </w:p>
    <w:p>
      <w:pPr>
        <w:spacing w:after="0" w:line="26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For: BioAtla, Inc.</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Richard Waldron</w:t>
      </w:r>
    </w:p>
    <w:p>
      <w:pPr>
        <w:spacing w:after="0" w:line="23" w:lineRule="exact"/>
        <w:rPr>
          <w:sz w:val="20"/>
          <w:szCs w:val="20"/>
          <w:color w:val="auto"/>
        </w:rPr>
      </w:pPr>
    </w:p>
    <w:p>
      <w:pPr>
        <w:ind w:left="120"/>
        <w:spacing w:after="0"/>
        <w:tabs>
          <w:tab w:leader="none" w:pos="5920" w:val="left"/>
        </w:tabs>
        <w:rPr>
          <w:sz w:val="20"/>
          <w:szCs w:val="20"/>
          <w:color w:val="auto"/>
        </w:rPr>
      </w:pPr>
      <w:r>
        <w:rPr>
          <w:rFonts w:ascii="Arial" w:cs="Arial" w:eastAsia="Arial" w:hAnsi="Arial"/>
          <w:sz w:val="18"/>
          <w:szCs w:val="18"/>
          <w:color w:val="auto"/>
        </w:rPr>
        <w:t>Date: March 23, 2021</w:t>
      </w:r>
      <w:r>
        <w:rPr>
          <w:sz w:val="20"/>
          <w:szCs w:val="20"/>
          <w:color w:val="auto"/>
        </w:rPr>
        <w:tab/>
      </w:r>
      <w:r>
        <w:rPr>
          <w:rFonts w:ascii="Arial" w:cs="Arial" w:eastAsia="Arial" w:hAnsi="Arial"/>
          <w:sz w:val="16"/>
          <w:szCs w:val="16"/>
          <w:color w:val="auto"/>
        </w:rPr>
        <w:t>Name: Richard Waldron</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Chief Financial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Release Agreement</w:t>
      </w:r>
    </w:p>
    <w:p>
      <w:pPr>
        <w:spacing w:after="0" w:line="2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4152-0071-9404.1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82" w:right="1440"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 AGREEMENT</w:t>
      </w:r>
    </w:p>
    <w:p>
      <w:pPr>
        <w:spacing w:after="0" w:line="22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This general release of claims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is hereby entered into by and between Carolyn Anderson Short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BioAtla, Inc. (“</w:t>
      </w:r>
      <w:r>
        <w:rPr>
          <w:rFonts w:ascii="Arial" w:cs="Arial" w:eastAsia="Arial" w:hAnsi="Arial"/>
          <w:sz w:val="18"/>
          <w:szCs w:val="18"/>
          <w:b w:val="1"/>
          <w:bCs w:val="1"/>
          <w:i w:val="1"/>
          <w:iCs w:val="1"/>
          <w:color w:val="auto"/>
        </w:rPr>
        <w:t>BioAtla</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Any term not otherwise defined herein shall have the meaning ascribed in the Transition Agreement entered into by and between Executive and BioAtla as of March 23, 2021 (the “</w:t>
      </w:r>
      <w:r>
        <w:rPr>
          <w:rFonts w:ascii="Arial" w:cs="Arial" w:eastAsia="Arial" w:hAnsi="Arial"/>
          <w:sz w:val="18"/>
          <w:szCs w:val="18"/>
          <w:b w:val="1"/>
          <w:bCs w:val="1"/>
          <w:i w:val="1"/>
          <w:iCs w:val="1"/>
          <w:color w:val="auto"/>
        </w:rPr>
        <w:t>Transition Agreement</w:t>
      </w:r>
      <w:r>
        <w:rPr>
          <w:rFonts w:ascii="Arial" w:cs="Arial" w:eastAsia="Arial" w:hAnsi="Arial"/>
          <w:sz w:val="18"/>
          <w:szCs w:val="18"/>
          <w:color w:val="auto"/>
        </w:rPr>
        <w:t>”).</w:t>
      </w:r>
    </w:p>
    <w:p>
      <w:pPr>
        <w:spacing w:after="0" w:line="180" w:lineRule="exact"/>
        <w:rPr>
          <w:sz w:val="20"/>
          <w:szCs w:val="20"/>
          <w:color w:val="auto"/>
        </w:rPr>
      </w:pPr>
    </w:p>
    <w:p>
      <w:pPr>
        <w:ind w:left="760" w:right="100" w:firstLine="792"/>
        <w:spacing w:after="0" w:line="281" w:lineRule="auto"/>
        <w:tabs>
          <w:tab w:leader="none" w:pos="2157"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and in consideration for Executive’s execution of this Release on her Separation Date,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revocation, and provided (a) Executive complies with all of the terms and conditions of this Release, the Transition Agreement and all Company policies and (b) Executive does not voluntarily resign prior to the Separation Date or engage in willful misconduct in the performance of her duties to the Company, she will be entitled to the following severance benefits (collectively the “</w:t>
      </w:r>
      <w:r>
        <w:rPr>
          <w:rFonts w:ascii="Arial" w:cs="Arial" w:eastAsia="Arial" w:hAnsi="Arial"/>
          <w:sz w:val="17"/>
          <w:szCs w:val="17"/>
          <w:b w:val="1"/>
          <w:bCs w:val="1"/>
          <w:i w:val="1"/>
          <w:iCs w:val="1"/>
          <w:color w:val="auto"/>
        </w:rPr>
        <w:t>Severance Benefits</w:t>
      </w:r>
      <w:r>
        <w:rPr>
          <w:rFonts w:ascii="Arial" w:cs="Arial" w:eastAsia="Arial" w:hAnsi="Arial"/>
          <w:sz w:val="17"/>
          <w:szCs w:val="17"/>
          <w:color w:val="auto"/>
        </w:rPr>
        <w:t>”):</w:t>
      </w:r>
    </w:p>
    <w:p>
      <w:pPr>
        <w:spacing w:after="0" w:line="164" w:lineRule="exact"/>
        <w:rPr>
          <w:rFonts w:ascii="Arial" w:cs="Arial" w:eastAsia="Arial" w:hAnsi="Arial"/>
          <w:sz w:val="17"/>
          <w:szCs w:val="17"/>
          <w:b w:val="1"/>
          <w:bCs w:val="1"/>
          <w:color w:val="auto"/>
        </w:rPr>
      </w:pPr>
    </w:p>
    <w:p>
      <w:pPr>
        <w:ind w:left="1500" w:right="300" w:firstLine="1702"/>
        <w:spacing w:after="0" w:line="236" w:lineRule="auto"/>
        <w:tabs>
          <w:tab w:leader="none" w:pos="4294" w:val="left"/>
        </w:tabs>
        <w:numPr>
          <w:ilvl w:val="2"/>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Payment</w:t>
      </w:r>
      <w:r>
        <w:rPr>
          <w:rFonts w:ascii="Arial" w:cs="Arial" w:eastAsia="Arial" w:hAnsi="Arial"/>
          <w:sz w:val="18"/>
          <w:szCs w:val="18"/>
          <w:color w:val="auto"/>
        </w:rPr>
        <w:t>. Executive will receive a severance payment of $860,250, equal to</w:t>
      </w:r>
      <w:r>
        <w:rPr>
          <w:rFonts w:ascii="Arial" w:cs="Arial" w:eastAsia="Arial" w:hAnsi="Arial"/>
          <w:sz w:val="18"/>
          <w:szCs w:val="18"/>
          <w:b w:val="1"/>
          <w:bCs w:val="1"/>
          <w:color w:val="auto"/>
        </w:rPr>
        <w:t xml:space="preserve"> </w:t>
      </w:r>
      <w:r>
        <w:rPr>
          <w:rFonts w:ascii="Arial" w:cs="Arial" w:eastAsia="Arial" w:hAnsi="Arial"/>
          <w:sz w:val="18"/>
          <w:szCs w:val="18"/>
          <w:color w:val="auto"/>
        </w:rPr>
        <w:t>eighteen (18) months of her final monthly base salary, as in effect on March 15</w:t>
      </w:r>
      <w:r>
        <w:rPr>
          <w:rFonts w:ascii="Arial" w:cs="Arial" w:eastAsia="Arial" w:hAnsi="Arial"/>
          <w:sz w:val="24"/>
          <w:szCs w:val="24"/>
          <w:color w:val="auto"/>
          <w:vertAlign w:val="superscript"/>
        </w:rPr>
        <w:t>th</w:t>
      </w:r>
      <w:r>
        <w:rPr>
          <w:rFonts w:ascii="Arial" w:cs="Arial" w:eastAsia="Arial" w:hAnsi="Arial"/>
          <w:sz w:val="18"/>
          <w:szCs w:val="18"/>
          <w:color w:val="auto"/>
        </w:rPr>
        <w:t>, 2021, in a lump sum payment, subject to required payroll deductions and tax withholdings. Such payment will be made on the first payroll date in December 2021 (the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p>
      <w:pPr>
        <w:spacing w:after="0" w:line="198" w:lineRule="exact"/>
        <w:rPr>
          <w:rFonts w:ascii="Arial" w:cs="Arial" w:eastAsia="Arial" w:hAnsi="Arial"/>
          <w:sz w:val="18"/>
          <w:szCs w:val="18"/>
          <w:b w:val="1"/>
          <w:bCs w:val="1"/>
          <w:color w:val="auto"/>
        </w:rPr>
      </w:pPr>
    </w:p>
    <w:p>
      <w:pPr>
        <w:ind w:left="1500" w:right="220" w:firstLine="1702"/>
        <w:spacing w:after="0" w:line="261" w:lineRule="auto"/>
        <w:tabs>
          <w:tab w:leader="none" w:pos="4294" w:val="left"/>
        </w:tabs>
        <w:numPr>
          <w:ilvl w:val="2"/>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Prorata Bonus Payment</w:t>
      </w:r>
      <w:r>
        <w:rPr>
          <w:rFonts w:ascii="Arial" w:cs="Arial" w:eastAsia="Arial" w:hAnsi="Arial"/>
          <w:sz w:val="18"/>
          <w:szCs w:val="18"/>
          <w:color w:val="auto"/>
        </w:rPr>
        <w:t>. Executive will receive a payment of [$118,628.08], equal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prorated portion of her target bonus amount for 2021 based on the number of days she was employed during the 2021 calendar year. The pro-rata bonus payment will be paid to her in a lump sum, subject to required payroll deductions and tax withholdings, on the Payment Date.</w:t>
      </w:r>
    </w:p>
    <w:p>
      <w:pPr>
        <w:spacing w:after="0" w:line="179" w:lineRule="exact"/>
        <w:rPr>
          <w:rFonts w:ascii="Arial" w:cs="Arial" w:eastAsia="Arial" w:hAnsi="Arial"/>
          <w:sz w:val="18"/>
          <w:szCs w:val="18"/>
          <w:b w:val="1"/>
          <w:bCs w:val="1"/>
          <w:color w:val="auto"/>
        </w:rPr>
      </w:pPr>
    </w:p>
    <w:p>
      <w:pPr>
        <w:jc w:val="both"/>
        <w:ind w:left="1500" w:right="120" w:firstLine="1702"/>
        <w:spacing w:after="0" w:line="261" w:lineRule="auto"/>
        <w:tabs>
          <w:tab w:leader="none" w:pos="4294" w:val="left"/>
        </w:tabs>
        <w:numPr>
          <w:ilvl w:val="2"/>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Accelerated Vesting</w:t>
      </w:r>
      <w:r>
        <w:rPr>
          <w:rFonts w:ascii="Arial" w:cs="Arial" w:eastAsia="Arial" w:hAnsi="Arial"/>
          <w:sz w:val="18"/>
          <w:szCs w:val="18"/>
          <w:color w:val="auto"/>
        </w:rPr>
        <w:t>. The vesting and exercisability of all of Executive’s unvested time-based</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equity awards shall accelerate such that all shares become immediately vested and exercisable, if applicable, upon this release becoming effective and irrevocable and shall remain exercisable, if applicable, following Executive’s termination as set forth in the applicable equity award documents.</w:t>
      </w:r>
    </w:p>
    <w:p>
      <w:pPr>
        <w:spacing w:after="0" w:line="179" w:lineRule="exact"/>
        <w:rPr>
          <w:rFonts w:ascii="Arial" w:cs="Arial" w:eastAsia="Arial" w:hAnsi="Arial"/>
          <w:sz w:val="18"/>
          <w:szCs w:val="18"/>
          <w:b w:val="1"/>
          <w:bCs w:val="1"/>
          <w:color w:val="auto"/>
        </w:rPr>
      </w:pPr>
    </w:p>
    <w:p>
      <w:pPr>
        <w:ind w:right="340" w:firstLine="757"/>
        <w:spacing w:after="0" w:line="289" w:lineRule="auto"/>
        <w:tabs>
          <w:tab w:leader="none" w:pos="1003"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Section 280G; Limitations on Payment. </w:t>
      </w:r>
      <w:r>
        <w:rPr>
          <w:rFonts w:ascii="Arial" w:cs="Arial" w:eastAsia="Arial" w:hAnsi="Arial"/>
          <w:sz w:val="18"/>
          <w:szCs w:val="18"/>
          <w:color w:val="auto"/>
        </w:rPr>
        <w:t>The foregoing payments and benefits shall be subject to Section 4 of the Severance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Executive and the Company dated July 1</w:t>
      </w:r>
      <w:r>
        <w:rPr>
          <w:rFonts w:ascii="Arial" w:cs="Arial" w:eastAsia="Arial" w:hAnsi="Arial"/>
          <w:sz w:val="24"/>
          <w:szCs w:val="24"/>
          <w:color w:val="auto"/>
          <w:vertAlign w:val="superscript"/>
        </w:rPr>
        <w:t>st</w:t>
      </w:r>
      <w:r>
        <w:rPr>
          <w:rFonts w:ascii="Arial" w:cs="Arial" w:eastAsia="Arial" w:hAnsi="Arial"/>
          <w:sz w:val="18"/>
          <w:szCs w:val="18"/>
          <w:color w:val="auto"/>
        </w:rPr>
        <w:t>, 2018, to the extent applicable, if at all.</w:t>
      </w:r>
    </w:p>
    <w:p>
      <w:pPr>
        <w:spacing w:after="0" w:line="66" w:lineRule="exact"/>
        <w:rPr>
          <w:rFonts w:ascii="Arial" w:cs="Arial" w:eastAsia="Arial" w:hAnsi="Arial"/>
          <w:sz w:val="18"/>
          <w:szCs w:val="18"/>
          <w:color w:val="auto"/>
        </w:rPr>
      </w:pPr>
    </w:p>
    <w:p>
      <w:pPr>
        <w:ind w:left="760" w:right="60" w:firstLine="792"/>
        <w:spacing w:after="0" w:line="285" w:lineRule="auto"/>
        <w:tabs>
          <w:tab w:leader="none" w:pos="2157" w:val="left"/>
        </w:tabs>
        <w:numPr>
          <w:ilvl w:val="1"/>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FULL AND FINAL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of the benefits being provided to her above, Executive, for herself, her</w:t>
      </w:r>
      <w:r>
        <w:rPr>
          <w:rFonts w:ascii="Arial" w:cs="Arial" w:eastAsia="Arial" w:hAnsi="Arial"/>
          <w:sz w:val="16"/>
          <w:szCs w:val="16"/>
          <w:b w:val="1"/>
          <w:bCs w:val="1"/>
          <w:color w:val="auto"/>
        </w:rPr>
        <w:t xml:space="preserve"> </w:t>
      </w:r>
      <w:r>
        <w:rPr>
          <w:rFonts w:ascii="Arial" w:cs="Arial" w:eastAsia="Arial" w:hAnsi="Arial"/>
          <w:sz w:val="16"/>
          <w:szCs w:val="16"/>
          <w:color w:val="auto"/>
        </w:rPr>
        <w:t>attorneys, heirs, executors, administrators, successors and assigns, fully, finally and forever releases and discharges BioAtla, all parent, subsidiary and/or affiliated companies, as well as its and their successors, assigns, officers, owners, stockholders, directors, agents, representatives, attorneys and employees (all of whom are referred to throughout this Release as “</w:t>
      </w:r>
      <w:r>
        <w:rPr>
          <w:rFonts w:ascii="Arial" w:cs="Arial" w:eastAsia="Arial" w:hAnsi="Arial"/>
          <w:sz w:val="16"/>
          <w:szCs w:val="16"/>
          <w:b w:val="1"/>
          <w:bCs w:val="1"/>
          <w:i w:val="1"/>
          <w:iCs w:val="1"/>
          <w:color w:val="auto"/>
        </w:rPr>
        <w:t>BioAtla</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of and from all claims, demands, actions, causes of action, suits, damages, losses and expenses, of any and every nature whatsoever, as a result of actions or omissions occurring through the Separation Date. Specifically included in this waiver and release are, among other things, any and all claims of alleged employment discrimination under Title VII of the Civil Rights Act of 1964, the Civil Rights Act of 1866 (42 U.S.C. § 1981), the Americans with Disabilities Act, the Age Discrimination in Employment Act, the Family Medical Leave Act, the California Fair Employment and Housing Act, the California Family Rights Act, The New Parent Leave Act, any other federal, state or local statute, rule, ordinance or regulation (including the California Labor Code and the California Business and Professions Code), as well as any claims for alleged failure to pay all wages, salary, bonuses, commissions, vacation pay, fringe benefits, expense reimbursements, incentive pay, severance pay, or any other form of compensation, wrongful discharge, negligent or intentional infliction of emotional distress, breach of contract, fraud or any other unlawful behavior, the existence of which is specifically denied by BioAtla. Executive also agrees not to participate in any class, collective, representative, or group action that may include any of the claims released above, and will affirmatively opt out of any such class, collective, representative or group action. Nothing in this Release, however, is intended to waive Executive’s (i) rights under this Release, (ii) entitlement to </w:t>
      </w:r>
      <w:r>
        <w:rPr>
          <w:rFonts w:ascii="Arial" w:cs="Arial" w:eastAsia="Arial" w:hAnsi="Arial"/>
          <w:sz w:val="16"/>
          <w:szCs w:val="16"/>
          <w:u w:val="single" w:color="auto"/>
          <w:color w:val="auto"/>
        </w:rPr>
        <w:t>vested</w:t>
      </w:r>
      <w:r>
        <w:rPr>
          <w:rFonts w:ascii="Arial" w:cs="Arial" w:eastAsia="Arial" w:hAnsi="Arial"/>
          <w:sz w:val="16"/>
          <w:szCs w:val="16"/>
          <w:color w:val="auto"/>
        </w:rPr>
        <w:t xml:space="preserve"> benefits under any pension or 401(k) plan or other ERISA-governed benefit plan provided by BioAtla or (iii) to Executive’s existing rights to indemnification. Finally, the above release does not waive claims that Executive could make,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-5389245</wp:posOffset>
            </wp:positionV>
            <wp:extent cx="1428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4152-0071-9404.1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available, for unemployment or worker’s compensation, and the release also excludes any other claim which cannot be released by private agreement.</w:t>
      </w:r>
    </w:p>
    <w:p>
      <w:pPr>
        <w:spacing w:after="0" w:line="244" w:lineRule="exact"/>
        <w:rPr>
          <w:sz w:val="20"/>
          <w:szCs w:val="20"/>
          <w:color w:val="auto"/>
        </w:rPr>
      </w:pPr>
    </w:p>
    <w:p>
      <w:pPr>
        <w:ind w:left="760" w:right="60" w:firstLine="792"/>
        <w:spacing w:after="0" w:line="287" w:lineRule="auto"/>
        <w:tabs>
          <w:tab w:leader="none" w:pos="2157"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OTHER CLAIMS.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represents that she has not filed, nor assigned to others the right to file, nor are there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pending, any complaints or lawsuits against BioAtla with any court, and that she will not file, or assign to others the right to file, or make any further claims against BioAtla at any time for actions taken up to and including the date Executive executes this Release. Additionally, Executive acknowledges that, other than the consideration provided for in this Release, she has been properly paid all wages, salary, bonus, severance benefits, vacation pay, and expenses. She also acknowledges that, as of the date she has signed this Release, she has not suffered any on the job injury for which she has not already filed a claim. However, nothing in this Release prevents Executive from filing a charge or complaint with or from participating in an investigation or proceeding conducted by the Equal Employment Opportunity Commission, the Securities and Exchange Commission, the Occupational Safety and Health Commission or any other federal, state or local agency charged with the enforcement of any laws, including providing documents or other information, although by signing this Release, Executive is waiving her right to recover any individual relief (including back pay, front pay, reinstatement or other legal or equitable relief) in any charge, complaint, or lawsuit or other proceeding brought by her or on her behalf by any third party, except for any right Executive may have to receive a payment from a government agency (and not the Company) for information provided to the government agency.</w:t>
      </w:r>
    </w:p>
    <w:p>
      <w:pPr>
        <w:spacing w:after="0" w:line="167" w:lineRule="exact"/>
        <w:rPr>
          <w:rFonts w:ascii="Arial" w:cs="Arial" w:eastAsia="Arial" w:hAnsi="Arial"/>
          <w:sz w:val="16"/>
          <w:szCs w:val="16"/>
          <w:b w:val="1"/>
          <w:bCs w:val="1"/>
          <w:color w:val="auto"/>
        </w:rPr>
      </w:pPr>
    </w:p>
    <w:p>
      <w:pPr>
        <w:ind w:left="760" w:right="80" w:firstLine="792"/>
        <w:spacing w:after="0" w:line="254" w:lineRule="auto"/>
        <w:tabs>
          <w:tab w:leader="none" w:pos="2157"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UNKNOWN CLAIMS WAIVER</w:t>
      </w:r>
      <w:r>
        <w:rPr>
          <w:rFonts w:ascii="Arial" w:cs="Arial" w:eastAsia="Arial" w:hAnsi="Arial"/>
          <w:sz w:val="18"/>
          <w:szCs w:val="18"/>
          <w:color w:val="auto"/>
        </w:rPr>
        <w:t>. Executive understands and acknowledges that she is releasing potentially unknown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claims, and that she may have limited knowledge with respect to some of the claims being released. She acknowledges that there is a risk that, after signing this Release, she may learn information that might have affected her decision to enter into this Release. Executive assumes this risk and all other risks of any mistake in entering into this Release. Executive agrees that this Release is fairly and knowingly made. In addition, she expressly waives and releases any and all rights and benefits under Section 1542 of the </w:t>
      </w:r>
      <w:r>
        <w:rPr>
          <w:rFonts w:ascii="Arial" w:cs="Arial" w:eastAsia="Arial" w:hAnsi="Arial"/>
          <w:sz w:val="18"/>
          <w:szCs w:val="18"/>
          <w:i w:val="1"/>
          <w:iCs w:val="1"/>
          <w:color w:val="auto"/>
        </w:rPr>
        <w:t>Civil Code of the State of California</w:t>
      </w:r>
      <w:r>
        <w:rPr>
          <w:rFonts w:ascii="Arial" w:cs="Arial" w:eastAsia="Arial" w:hAnsi="Arial"/>
          <w:sz w:val="18"/>
          <w:szCs w:val="18"/>
          <w:color w:val="auto"/>
        </w:rPr>
        <w:t xml:space="preserve"> (or any analogous law of any other state), which reads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Executive understands and agrees that claims or facts in addition to or different from those which are now known or believed by her to exist may hereafter be discovered, but it is her intention to release all claims that she has or may have against BioAtla, whether known or unknown, suspected or unsuspected.</w:t>
      </w:r>
    </w:p>
    <w:p>
      <w:pPr>
        <w:spacing w:after="0" w:line="180" w:lineRule="exact"/>
        <w:rPr>
          <w:sz w:val="20"/>
          <w:szCs w:val="20"/>
          <w:color w:val="auto"/>
        </w:rPr>
      </w:pPr>
    </w:p>
    <w:p>
      <w:pPr>
        <w:ind w:left="760" w:right="100" w:firstLine="792"/>
        <w:spacing w:after="0" w:line="270" w:lineRule="auto"/>
        <w:tabs>
          <w:tab w:leader="none" w:pos="2157"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NON-DISPARAGEMENT</w:t>
      </w:r>
      <w:r>
        <w:rPr>
          <w:rFonts w:ascii="Arial" w:cs="Arial" w:eastAsia="Arial" w:hAnsi="Arial"/>
          <w:sz w:val="17"/>
          <w:szCs w:val="17"/>
          <w:color w:val="auto"/>
        </w:rPr>
        <w:t>. Executive agrees that she has not and will not make statements to customers and suppliers of</w:t>
      </w:r>
      <w:r>
        <w:rPr>
          <w:rFonts w:ascii="Arial" w:cs="Arial" w:eastAsia="Arial" w:hAnsi="Arial"/>
          <w:sz w:val="17"/>
          <w:szCs w:val="17"/>
          <w:b w:val="1"/>
          <w:bCs w:val="1"/>
          <w:color w:val="auto"/>
        </w:rPr>
        <w:t xml:space="preserve"> </w:t>
      </w:r>
      <w:r>
        <w:rPr>
          <w:rFonts w:ascii="Arial" w:cs="Arial" w:eastAsia="Arial" w:hAnsi="Arial"/>
          <w:sz w:val="17"/>
          <w:szCs w:val="17"/>
          <w:color w:val="auto"/>
        </w:rPr>
        <w:t>BioAtla or to other members of the public that are in any way disparaging or negative towards BioAtla, BioAtla’s products or services, or BioAtla’s representatives or employees. BioAtla agrees that its Board of Directors has not, and will not, make statements to any third party or to other members of the public that are in any way disparaging or negative towards Executive in relation to the Transition Agreement or this Release. However, this provision does not prohibit Executive from fully and candidly discussing employment matters with a governmental agency or financial auditors or the Board of Directors from candidly discussing the Transition Agreement or this Release among themselves or with their legal advisors. With respect to employment references that arise after the parties’ employment relationship ends, BioAtla will respond to reference requests from potential employers regarding Executive by providing information stating the dates of employment and the position held by Executive. To facilitate such response, Executive agrees to direct potential employers to contact BioAtla’s Human Resources professionals rather than an operations manager or some other person at BioAtla.</w:t>
      </w:r>
    </w:p>
    <w:p>
      <w:pPr>
        <w:spacing w:after="0" w:line="176" w:lineRule="exact"/>
        <w:rPr>
          <w:rFonts w:ascii="Arial" w:cs="Arial" w:eastAsia="Arial" w:hAnsi="Arial"/>
          <w:sz w:val="17"/>
          <w:szCs w:val="17"/>
          <w:b w:val="1"/>
          <w:bCs w:val="1"/>
          <w:color w:val="auto"/>
        </w:rPr>
      </w:pPr>
    </w:p>
    <w:p>
      <w:pPr>
        <w:ind w:left="760" w:right="100" w:firstLine="792"/>
        <w:spacing w:after="0" w:line="266" w:lineRule="auto"/>
        <w:tabs>
          <w:tab w:leader="none" w:pos="215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NON-ADMISSION OF LIABILITY OR WRONGFUL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This Release shall not be construed as an admission</w:t>
      </w:r>
      <w:r>
        <w:rPr>
          <w:rFonts w:ascii="Arial" w:cs="Arial" w:eastAsia="Arial" w:hAnsi="Arial"/>
          <w:sz w:val="18"/>
          <w:szCs w:val="18"/>
          <w:b w:val="1"/>
          <w:bCs w:val="1"/>
          <w:color w:val="auto"/>
        </w:rPr>
        <w:t xml:space="preserve"> </w:t>
      </w:r>
      <w:r>
        <w:rPr>
          <w:rFonts w:ascii="Arial" w:cs="Arial" w:eastAsia="Arial" w:hAnsi="Arial"/>
          <w:sz w:val="18"/>
          <w:szCs w:val="18"/>
          <w:color w:val="auto"/>
        </w:rPr>
        <w:t>by BioAtla of any liability or acts of wrongdoing or discrimination, nor shall it be considered to be evidence of such liability, wrongdoing or discrimination.</w:t>
      </w:r>
    </w:p>
    <w:p>
      <w:pPr>
        <w:spacing w:after="0" w:line="175" w:lineRule="exact"/>
        <w:rPr>
          <w:rFonts w:ascii="Arial" w:cs="Arial" w:eastAsia="Arial" w:hAnsi="Arial"/>
          <w:sz w:val="18"/>
          <w:szCs w:val="18"/>
          <w:b w:val="1"/>
          <w:bCs w:val="1"/>
          <w:color w:val="auto"/>
        </w:rPr>
      </w:pPr>
    </w:p>
    <w:p>
      <w:pPr>
        <w:ind w:left="760" w:right="40" w:firstLine="792"/>
        <w:spacing w:after="0" w:line="266" w:lineRule="auto"/>
        <w:tabs>
          <w:tab w:leader="none" w:pos="215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COOPERATION</w:t>
      </w:r>
      <w:r>
        <w:rPr>
          <w:rFonts w:ascii="Arial" w:cs="Arial" w:eastAsia="Arial" w:hAnsi="Arial"/>
          <w:sz w:val="18"/>
          <w:szCs w:val="18"/>
          <w:color w:val="auto"/>
        </w:rPr>
        <w:t>. Executive agrees to cooperate with BioAtla regarding any pending or subsequently filed litigation, claims</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dispute items involving BioAtla that relate to matters within the knowledge or responsibility of Executive during her employment with BioAtla. Without limiting the foregoing, Executive agrees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4152-0071-9404.1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jc w:val="both"/>
        <w:ind w:firstLine="8"/>
        <w:spacing w:after="0" w:line="270" w:lineRule="auto"/>
        <w:tabs>
          <w:tab w:leader="none" w:pos="22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meet with BioAtla representatives, its counsel or other designees at mutually convenient times and places with respect to any items within the scope of this provision; (ii) to provide truthful testimony regarding same to any court, agency or other adjudicatory body; and (iii) to provide BioAtla with notice of contact by any adverse party or such adverse party’s representative except as may be required by law. BioAtla will pay Executive $275.72 per hour (which represents Executive’s rate of final base salary based on a 2,080 hour year) and will reimburse Executive for all reasonable expenses in connection with the cooperation described in this paragraph. Executive’s obligations under this paragraph will be for up to 10 hours per month, unless more of Executive’s time (up to an additional 10 hours per month) is reasonably required and approved by the Chairperson of the Compensation Committee of the Board of Directors of the Company. Any service in excess of 20 hours per month must be separately agreed to in writing by Executive and the Company. Executive’s obligations under this Section 7 shall, to the greatest extent reasonably possible, be performed in a manner that does not materially interfere with Executive’s responsibilities to her future employer(s) or Executive’s future business ventures.</w:t>
      </w:r>
    </w:p>
    <w:p>
      <w:pPr>
        <w:spacing w:after="0" w:line="176" w:lineRule="exact"/>
        <w:rPr>
          <w:rFonts w:ascii="Arial" w:cs="Arial" w:eastAsia="Arial" w:hAnsi="Arial"/>
          <w:sz w:val="17"/>
          <w:szCs w:val="17"/>
          <w:color w:val="auto"/>
        </w:rPr>
      </w:pPr>
    </w:p>
    <w:p>
      <w:pPr>
        <w:ind w:left="2160" w:hanging="608"/>
        <w:spacing w:after="0"/>
        <w:tabs>
          <w:tab w:leader="none" w:pos="216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Release shall be interpreted under the laws of the State of California.</w:t>
      </w:r>
    </w:p>
    <w:p>
      <w:pPr>
        <w:spacing w:after="0" w:line="225" w:lineRule="exact"/>
        <w:rPr>
          <w:rFonts w:ascii="Arial" w:cs="Arial" w:eastAsia="Arial" w:hAnsi="Arial"/>
          <w:sz w:val="18"/>
          <w:szCs w:val="18"/>
          <w:b w:val="1"/>
          <w:bCs w:val="1"/>
          <w:color w:val="auto"/>
        </w:rPr>
      </w:pPr>
    </w:p>
    <w:p>
      <w:pPr>
        <w:ind w:left="760" w:right="40" w:firstLine="792"/>
        <w:spacing w:after="0" w:line="261" w:lineRule="auto"/>
        <w:tabs>
          <w:tab w:leader="none" w:pos="2157"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Release are severable, and if any part of this Release except Sections 2 through 4 is</w:t>
      </w:r>
      <w:r>
        <w:rPr>
          <w:rFonts w:ascii="Arial" w:cs="Arial" w:eastAsia="Arial" w:hAnsi="Arial"/>
          <w:sz w:val="18"/>
          <w:szCs w:val="18"/>
          <w:b w:val="1"/>
          <w:bCs w:val="1"/>
          <w:color w:val="auto"/>
        </w:rPr>
        <w:t xml:space="preserve"> </w:t>
      </w:r>
      <w:r>
        <w:rPr>
          <w:rFonts w:ascii="Arial" w:cs="Arial" w:eastAsia="Arial" w:hAnsi="Arial"/>
          <w:sz w:val="18"/>
          <w:szCs w:val="18"/>
          <w:color w:val="auto"/>
        </w:rPr>
        <w:t>found by a court of law to be unenforceable, the remainder of the Release will continue to be valid and effective. If Section 2, 3 or 4 is found to be unenforceable, the parties agree to seek a determination by the court as to the rights of the parties, including whether Executive is entitled to retain the benefits paid to her under the Release.</w:t>
      </w:r>
    </w:p>
    <w:p>
      <w:pPr>
        <w:spacing w:after="0" w:line="179" w:lineRule="exact"/>
        <w:rPr>
          <w:rFonts w:ascii="Arial" w:cs="Arial" w:eastAsia="Arial" w:hAnsi="Arial"/>
          <w:sz w:val="18"/>
          <w:szCs w:val="18"/>
          <w:b w:val="1"/>
          <w:bCs w:val="1"/>
          <w:color w:val="auto"/>
        </w:rPr>
      </w:pPr>
    </w:p>
    <w:p>
      <w:pPr>
        <w:ind w:left="760" w:right="120" w:firstLine="792"/>
        <w:spacing w:after="0" w:line="256" w:lineRule="auto"/>
        <w:tabs>
          <w:tab w:leader="none" w:pos="2157"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SOLE AND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Release sets forth the entire agreement between the parties, except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contained in the Employee Invention and Non-Disclosure Agreement dated December 1, 2015 by and between Executive and the Company and all documents governing Executive’s equity awards. Any other prior agreements between or directly involving the parties to the Release are superseded by the terms of this Release and thus are rendered null and void, including, without limitation, all agreements or other arrangements relating to severance. Any amendment to this Release must be in writing, signed by the parties hereto, and stating the intent of the parties to amend this Release.</w:t>
      </w:r>
    </w:p>
    <w:p>
      <w:pPr>
        <w:spacing w:after="0" w:line="187" w:lineRule="exact"/>
        <w:rPr>
          <w:rFonts w:ascii="Arial" w:cs="Arial" w:eastAsia="Arial" w:hAnsi="Arial"/>
          <w:sz w:val="18"/>
          <w:szCs w:val="18"/>
          <w:b w:val="1"/>
          <w:bCs w:val="1"/>
          <w:color w:val="auto"/>
        </w:rPr>
      </w:pPr>
    </w:p>
    <w:p>
      <w:pPr>
        <w:ind w:left="760" w:right="120" w:firstLine="792"/>
        <w:spacing w:after="0" w:line="258" w:lineRule="auto"/>
        <w:tabs>
          <w:tab w:leader="none" w:pos="2157"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OTHER PROMISES.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affirms that the only consideration for her signing this Release is that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 that no other promise or agreement of any kind has been made to or with her by any person or entity to cause her to execute this document, and that she fully understands the meaning and intent of this Release, including but not limited to, its final and binding effect. In addition, Executive affirms that, other than the consideration in this Release, she will not be entitled to any Company-sponsored benefit, plan or property unless such benefit, plan or property is a vested benefit or required by law.</w:t>
      </w:r>
    </w:p>
    <w:p>
      <w:pPr>
        <w:spacing w:after="0" w:line="183" w:lineRule="exact"/>
        <w:rPr>
          <w:rFonts w:ascii="Arial" w:cs="Arial" w:eastAsia="Arial" w:hAnsi="Arial"/>
          <w:sz w:val="18"/>
          <w:szCs w:val="18"/>
          <w:b w:val="1"/>
          <w:bCs w:val="1"/>
          <w:color w:val="auto"/>
        </w:rPr>
      </w:pPr>
    </w:p>
    <w:p>
      <w:pPr>
        <w:ind w:left="760" w:right="40" w:firstLine="792"/>
        <w:spacing w:after="0" w:line="271" w:lineRule="auto"/>
        <w:tabs>
          <w:tab w:leader="none" w:pos="2157" w:val="left"/>
        </w:tabs>
        <w:numPr>
          <w:ilvl w:val="1"/>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TIME TO CONSIDER AND SEEK LEGAL ADVICE.</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this clause of the Release, BioAtla advises Executive to</w:t>
      </w:r>
      <w:r>
        <w:rPr>
          <w:rFonts w:ascii="Arial" w:cs="Arial" w:eastAsia="Arial" w:hAnsi="Arial"/>
          <w:sz w:val="17"/>
          <w:szCs w:val="17"/>
          <w:b w:val="1"/>
          <w:bCs w:val="1"/>
          <w:color w:val="auto"/>
        </w:rPr>
        <w:t xml:space="preserve"> </w:t>
      </w:r>
      <w:r>
        <w:rPr>
          <w:rFonts w:ascii="Arial" w:cs="Arial" w:eastAsia="Arial" w:hAnsi="Arial"/>
          <w:sz w:val="17"/>
          <w:szCs w:val="17"/>
          <w:color w:val="auto"/>
        </w:rPr>
        <w:t>consult with an attorney in regard to this situation, including whether to sign this Release. Executive acknowledges that she has been given twenty-one (21) days from the time that she receives this Release to consider whether to sign it, although she may choose to sign it earlier. Executive agrees that if she chooses to sign this Release before the end of this twenty-one (21) day period, it is because she freely chose to do so after carefully considering its terms. Additionally, Executive shall have seven (7) days from the date she signs this Release to change her mind and revoke the Release (through written notice to the Company’s Vice President of Human Resources). If Executive does not revoke this Release within seven (7) days of her signing, this Release will become final and binding on the day following such seven (7) day period (the “Effective Date” of the Release)</w:t>
      </w:r>
      <w:r>
        <w:rPr>
          <w:rFonts w:ascii="Arial" w:cs="Arial" w:eastAsia="Arial" w:hAnsi="Arial"/>
          <w:sz w:val="17"/>
          <w:szCs w:val="17"/>
          <w:b w:val="1"/>
          <w:bCs w:val="1"/>
          <w:color w:val="auto"/>
        </w:rPr>
        <w:t>. If Executive accepts this Release, she agrees that, upon execution, she will deliver a signed copy of this Release to</w:t>
      </w:r>
      <w:r>
        <w:rPr>
          <w:rFonts w:ascii="Arial" w:cs="Arial" w:eastAsia="Arial" w:hAnsi="Arial"/>
          <w:sz w:val="17"/>
          <w:szCs w:val="17"/>
          <w:color w:val="auto"/>
        </w:rPr>
        <w:t xml:space="preserve"> </w:t>
      </w:r>
      <w:r>
        <w:rPr>
          <w:rFonts w:ascii="Arial" w:cs="Arial" w:eastAsia="Arial" w:hAnsi="Arial"/>
          <w:sz w:val="17"/>
          <w:szCs w:val="17"/>
          <w:b w:val="1"/>
          <w:bCs w:val="1"/>
          <w:color w:val="auto"/>
        </w:rPr>
        <w:t>the Vice President, Human Resources.</w:t>
      </w:r>
    </w:p>
    <w:p>
      <w:pPr>
        <w:spacing w:after="0" w:line="173" w:lineRule="exact"/>
        <w:rPr>
          <w:rFonts w:ascii="Arial" w:cs="Arial" w:eastAsia="Arial" w:hAnsi="Arial"/>
          <w:sz w:val="17"/>
          <w:szCs w:val="17"/>
          <w:b w:val="1"/>
          <w:bCs w:val="1"/>
          <w:color w:val="auto"/>
        </w:rPr>
      </w:pPr>
    </w:p>
    <w:p>
      <w:pPr>
        <w:ind w:left="760" w:right="80" w:firstLine="792"/>
        <w:spacing w:after="0" w:line="261" w:lineRule="auto"/>
        <w:tabs>
          <w:tab w:leader="none" w:pos="2157"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LEGALLY BINDING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understands and acknowledges (1) that she has read and understands this</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(2) that by signing this Release, she acknowledges that she is voluntarily entering into the Release and is thereafter barred from instituting claims against BioAtla in the manner and to the extent set forth in Sections 2 though 4 above; and (3) that this Release is final and binding on the Effective Date if not revoked by Executive.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4152-0071-9404.1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40575" cy="1568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0575" cy="1568450"/>
                    </a:xfrm>
                    <a:prstGeom prst="rect">
                      <a:avLst/>
                    </a:prstGeom>
                    <a:noFill/>
                  </pic:spPr>
                </pic:pic>
              </a:graphicData>
            </a:graphic>
          </wp:anchor>
        </w:drawing>
        <w:t>Date:</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Carolyn Anderson Short</w:t>
      </w:r>
    </w:p>
    <w:p>
      <w:pPr>
        <w:spacing w:after="0" w:line="200" w:lineRule="exact"/>
        <w:rPr>
          <w:sz w:val="20"/>
          <w:szCs w:val="20"/>
          <w:color w:val="auto"/>
        </w:rPr>
      </w:pPr>
    </w:p>
    <w:p>
      <w:pPr>
        <w:spacing w:after="0" w:line="278"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For: BioAtla, Inc.</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20"/>
        <w:spacing w:after="0"/>
        <w:tabs>
          <w:tab w:leader="none" w:pos="5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Name: Richard Waldron</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6</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4152-0071-9404.1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54"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M. Short, Ph.D., certify that:</w:t>
      </w:r>
    </w:p>
    <w:p>
      <w:pPr>
        <w:spacing w:after="0" w:line="225"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25" w:lineRule="exact"/>
        <w:rPr>
          <w:rFonts w:ascii="Arial" w:cs="Arial" w:eastAsia="Arial" w:hAnsi="Arial"/>
          <w:sz w:val="18"/>
          <w:szCs w:val="18"/>
          <w:color w:val="auto"/>
        </w:rPr>
      </w:pPr>
    </w:p>
    <w:p>
      <w:pPr>
        <w:jc w:val="both"/>
        <w:ind w:left="440" w:right="320" w:hanging="432"/>
        <w:spacing w:after="0" w:line="263"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280" w:hanging="432"/>
        <w:spacing w:after="0" w:line="308"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340" w:hanging="432"/>
        <w:spacing w:after="0" w:line="277"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right="80" w:hanging="479"/>
        <w:spacing w:after="0" w:line="263" w:lineRule="auto"/>
        <w:tabs>
          <w:tab w:leader="none" w:pos="7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480" w:hanging="479"/>
        <w:spacing w:after="0" w:line="342" w:lineRule="auto"/>
        <w:tabs>
          <w:tab w:leader="none" w:pos="79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80" w:hanging="239"/>
        <w:spacing w:after="0"/>
        <w:tabs>
          <w:tab w:leader="none" w:pos="7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46" w:lineRule="exact"/>
        <w:rPr>
          <w:rFonts w:ascii="Arial" w:cs="Arial" w:eastAsia="Arial" w:hAnsi="Arial"/>
          <w:sz w:val="16"/>
          <w:szCs w:val="16"/>
          <w:color w:val="auto"/>
        </w:rPr>
      </w:pPr>
    </w:p>
    <w:p>
      <w:pPr>
        <w:ind w:left="1020" w:right="500"/>
        <w:spacing w:after="0" w:line="260" w:lineRule="auto"/>
        <w:rPr>
          <w:rFonts w:ascii="Arial" w:cs="Arial" w:eastAsia="Arial" w:hAnsi="Arial"/>
          <w:sz w:val="16"/>
          <w:szCs w:val="16"/>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w:t>
      </w:r>
    </w:p>
    <w:p>
      <w:pPr>
        <w:spacing w:after="0" w:line="185" w:lineRule="exact"/>
        <w:rPr>
          <w:rFonts w:ascii="Arial" w:cs="Arial" w:eastAsia="Arial" w:hAnsi="Arial"/>
          <w:sz w:val="16"/>
          <w:szCs w:val="16"/>
          <w:color w:val="auto"/>
        </w:rPr>
      </w:pPr>
    </w:p>
    <w:p>
      <w:pPr>
        <w:ind w:left="440" w:right="40" w:hanging="432"/>
        <w:spacing w:after="0" w:line="308"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140" w:hanging="479"/>
        <w:spacing w:after="0" w:line="308" w:lineRule="auto"/>
        <w:tabs>
          <w:tab w:leader="none" w:pos="7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120" w:hanging="479"/>
        <w:spacing w:after="0" w:line="277" w:lineRule="auto"/>
        <w:tabs>
          <w:tab w:leader="none" w:pos="7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Date: May 12, 2021</w:t>
            </w:r>
          </w:p>
        </w:tc>
        <w:tc>
          <w:tcPr>
            <w:tcW w:w="2440" w:type="dxa"/>
            <w:vAlign w:val="bottom"/>
          </w:tcPr>
          <w:p>
            <w:pPr>
              <w:ind w:left="21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Jay M. Short, Ph.D.</w:t>
            </w:r>
          </w:p>
        </w:tc>
      </w:tr>
      <w:tr>
        <w:trPr>
          <w:trHeight w:val="215"/>
        </w:trPr>
        <w:tc>
          <w:tcPr>
            <w:tcW w:w="3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Jay M. Short, Ph.D.</w:t>
            </w:r>
          </w:p>
        </w:tc>
      </w:tr>
      <w:tr>
        <w:trPr>
          <w:trHeight w:val="230"/>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r>
      <w:tr>
        <w:trPr>
          <w:trHeight w:val="560"/>
        </w:trPr>
        <w:tc>
          <w:tcPr>
            <w:tcW w:w="35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Richard A. Waldron, certify that:</w:t>
      </w:r>
    </w:p>
    <w:p>
      <w:pPr>
        <w:spacing w:after="0" w:line="225"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25" w:lineRule="exact"/>
        <w:rPr>
          <w:rFonts w:ascii="Arial" w:cs="Arial" w:eastAsia="Arial" w:hAnsi="Arial"/>
          <w:sz w:val="18"/>
          <w:szCs w:val="18"/>
          <w:color w:val="auto"/>
        </w:rPr>
      </w:pPr>
    </w:p>
    <w:p>
      <w:pPr>
        <w:jc w:val="both"/>
        <w:ind w:left="440" w:right="320" w:hanging="432"/>
        <w:spacing w:after="0" w:line="263"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280" w:hanging="432"/>
        <w:spacing w:after="0" w:line="308"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340" w:hanging="432"/>
        <w:spacing w:after="0" w:line="277"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right="80" w:hanging="479"/>
        <w:spacing w:after="0" w:line="263" w:lineRule="auto"/>
        <w:tabs>
          <w:tab w:leader="none" w:pos="7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480" w:hanging="479"/>
        <w:spacing w:after="0" w:line="342" w:lineRule="auto"/>
        <w:tabs>
          <w:tab w:leader="none" w:pos="79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80" w:hanging="239"/>
        <w:spacing w:after="0"/>
        <w:tabs>
          <w:tab w:leader="none" w:pos="7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46" w:lineRule="exact"/>
        <w:rPr>
          <w:rFonts w:ascii="Arial" w:cs="Arial" w:eastAsia="Arial" w:hAnsi="Arial"/>
          <w:sz w:val="16"/>
          <w:szCs w:val="16"/>
          <w:color w:val="auto"/>
        </w:rPr>
      </w:pPr>
    </w:p>
    <w:p>
      <w:pPr>
        <w:ind w:left="1020" w:right="500"/>
        <w:spacing w:after="0" w:line="260" w:lineRule="auto"/>
        <w:rPr>
          <w:rFonts w:ascii="Arial" w:cs="Arial" w:eastAsia="Arial" w:hAnsi="Arial"/>
          <w:sz w:val="16"/>
          <w:szCs w:val="16"/>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w:t>
      </w:r>
    </w:p>
    <w:p>
      <w:pPr>
        <w:spacing w:after="0" w:line="185" w:lineRule="exact"/>
        <w:rPr>
          <w:rFonts w:ascii="Arial" w:cs="Arial" w:eastAsia="Arial" w:hAnsi="Arial"/>
          <w:sz w:val="16"/>
          <w:szCs w:val="16"/>
          <w:color w:val="auto"/>
        </w:rPr>
      </w:pPr>
    </w:p>
    <w:p>
      <w:pPr>
        <w:ind w:left="440" w:right="40" w:hanging="432"/>
        <w:spacing w:after="0" w:line="308"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140" w:hanging="479"/>
        <w:spacing w:after="0" w:line="308" w:lineRule="auto"/>
        <w:tabs>
          <w:tab w:leader="none" w:pos="7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120" w:hanging="479"/>
        <w:spacing w:after="0" w:line="277" w:lineRule="auto"/>
        <w:tabs>
          <w:tab w:leader="none" w:pos="7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ind w:left="20"/>
              <w:spacing w:after="0"/>
              <w:rPr>
                <w:sz w:val="20"/>
                <w:szCs w:val="20"/>
                <w:color w:val="auto"/>
              </w:rPr>
            </w:pPr>
            <w:r>
              <w:rPr>
                <w:rFonts w:ascii="Arial" w:cs="Arial" w:eastAsia="Arial" w:hAnsi="Arial"/>
                <w:sz w:val="18"/>
                <w:szCs w:val="18"/>
                <w:color w:val="auto"/>
              </w:rPr>
              <w:t>Date: May 12, 2021</w:t>
            </w:r>
          </w:p>
        </w:tc>
        <w:tc>
          <w:tcPr>
            <w:tcW w:w="2440" w:type="dxa"/>
            <w:vAlign w:val="bottom"/>
          </w:tcPr>
          <w:p>
            <w:pPr>
              <w:ind w:left="21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A. Waldron</w:t>
            </w:r>
          </w:p>
        </w:tc>
      </w:tr>
      <w:tr>
        <w:trPr>
          <w:trHeight w:val="215"/>
        </w:trPr>
        <w:tc>
          <w:tcPr>
            <w:tcW w:w="3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Richard A. Waldron</w:t>
            </w:r>
          </w:p>
        </w:tc>
      </w:tr>
      <w:tr>
        <w:trPr>
          <w:trHeight w:val="216"/>
        </w:trPr>
        <w:tc>
          <w:tcPr>
            <w:tcW w:w="3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776"/>
        </w:trPr>
        <w:tc>
          <w:tcPr>
            <w:tcW w:w="35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509"/>
        <w:spacing w:after="0" w:line="263" w:lineRule="auto"/>
        <w:rPr>
          <w:sz w:val="20"/>
          <w:szCs w:val="20"/>
          <w:color w:val="auto"/>
        </w:rPr>
      </w:pPr>
      <w:r>
        <w:rPr>
          <w:rFonts w:ascii="Arial" w:cs="Arial" w:eastAsia="Arial" w:hAnsi="Arial"/>
          <w:sz w:val="18"/>
          <w:szCs w:val="18"/>
          <w:color w:val="auto"/>
        </w:rPr>
        <w:t>In connection with the Quarterly Report of BioAtla, Inc. (the “Company”) on Form 10-Q for the period ending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800" w:hanging="259"/>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00" w:hanging="259"/>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Date: May 12, 2021</w:t>
            </w:r>
          </w:p>
        </w:tc>
        <w:tc>
          <w:tcPr>
            <w:tcW w:w="2440" w:type="dxa"/>
            <w:vAlign w:val="bottom"/>
          </w:tcPr>
          <w:p>
            <w:pPr>
              <w:ind w:left="21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Jay M. Short, Ph.D.</w:t>
            </w:r>
          </w:p>
        </w:tc>
      </w:tr>
      <w:tr>
        <w:trPr>
          <w:trHeight w:val="215"/>
        </w:trPr>
        <w:tc>
          <w:tcPr>
            <w:tcW w:w="3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Jay M. Short, Ph.D.</w:t>
            </w:r>
          </w:p>
        </w:tc>
      </w:tr>
      <w:tr>
        <w:trPr>
          <w:trHeight w:val="216"/>
        </w:trPr>
        <w:tc>
          <w:tcPr>
            <w:tcW w:w="3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ind w:left="1780"/>
              <w:spacing w:after="0"/>
              <w:rPr>
                <w:sz w:val="20"/>
                <w:szCs w:val="20"/>
                <w:color w:val="auto"/>
              </w:rPr>
            </w:pPr>
            <w:r>
              <w:rPr>
                <w:rFonts w:ascii="Arial" w:cs="Arial" w:eastAsia="Arial" w:hAnsi="Arial"/>
                <w:sz w:val="18"/>
                <w:szCs w:val="18"/>
                <w:color w:val="auto"/>
              </w:rPr>
              <w:t>Chief Executive Officer</w:t>
            </w:r>
          </w:p>
        </w:tc>
      </w:tr>
      <w:tr>
        <w:trPr>
          <w:trHeight w:val="230"/>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53"/>
        </w:trPr>
        <w:tc>
          <w:tcPr>
            <w:tcW w:w="3560" w:type="dxa"/>
            <w:vAlign w:val="bottom"/>
          </w:tcPr>
          <w:p>
            <w:pPr>
              <w:spacing w:after="0"/>
              <w:rPr>
                <w:sz w:val="20"/>
                <w:szCs w:val="20"/>
                <w:color w:val="auto"/>
              </w:rPr>
            </w:pPr>
            <w:r>
              <w:rPr>
                <w:rFonts w:ascii="Arial" w:cs="Arial" w:eastAsia="Arial" w:hAnsi="Arial"/>
                <w:sz w:val="18"/>
                <w:szCs w:val="18"/>
                <w:color w:val="auto"/>
              </w:rPr>
              <w:t>Date: May 12, 2021</w:t>
            </w:r>
          </w:p>
        </w:tc>
        <w:tc>
          <w:tcPr>
            <w:tcW w:w="2440" w:type="dxa"/>
            <w:vAlign w:val="bottom"/>
          </w:tcPr>
          <w:p>
            <w:pPr>
              <w:ind w:left="21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A. Waldron</w:t>
            </w:r>
          </w:p>
        </w:tc>
      </w:tr>
      <w:tr>
        <w:trPr>
          <w:trHeight w:val="215"/>
        </w:trPr>
        <w:tc>
          <w:tcPr>
            <w:tcW w:w="3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Richard A. Waldron</w:t>
            </w:r>
          </w:p>
        </w:tc>
      </w:tr>
      <w:tr>
        <w:trPr>
          <w:trHeight w:val="216"/>
        </w:trPr>
        <w:tc>
          <w:tcPr>
            <w:tcW w:w="3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lowerRoman"/>
      <w:start w:val="4"/>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1)"/>
      <w:numFmt w:val="lowerRoman"/>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
    <w:nsid w:val="66EF438D"/>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decimal"/>
      <w:start w:val="4"/>
    </w:lvl>
  </w:abstractNum>
  <w:abstractNum w:abstractNumId="11">
    <w:nsid w:val="109CF92E"/>
    <w:multiLevelType w:val="hybridMultilevel"/>
    <w:lvl w:ilvl="0">
      <w:lvlJc w:val="left"/>
      <w:lvlText w:val="(%1)"/>
      <w:numFmt w:val="lowerRoman"/>
      <w:start w:val="1"/>
    </w:lvl>
    <w:lvl w:ilvl="1">
      <w:lvlJc w:val="left"/>
      <w:lvlText w:val="%2."/>
      <w:numFmt w:val="decimal"/>
      <w:start w:val="7"/>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2021-05-12T16:35:59Z</dcterms:created>
  <dcterms:modified xsi:type="dcterms:W3CDTF">2021-05-12T16:35:59Z</dcterms:modified>
</cp:coreProperties>
</file>