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820" w:right="1580" w:hanging="3799"/>
        <w:spacing w:after="0" w:line="391" w:lineRule="auto"/>
        <w:tabs>
          <w:tab w:leader="none" w:pos="49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2025</w:t>
      </w:r>
    </w:p>
    <w:p>
      <w:pPr>
        <w:spacing w:after="0" w:line="280"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17" w:lineRule="exact"/>
        <w:rPr>
          <w:sz w:val="24"/>
          <w:szCs w:val="24"/>
          <w:color w:val="auto"/>
        </w:rPr>
      </w:pPr>
    </w:p>
    <w:p>
      <w:pPr>
        <w:ind w:left="384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17"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001-39787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43"/>
          <w:szCs w:val="43"/>
          <w:b w:val="1"/>
          <w:bCs w:val="1"/>
          <w:color w:val="auto"/>
        </w:rPr>
        <w:t>BIOATLA,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49" w:lineRule="exact"/>
        <w:rPr>
          <w:sz w:val="24"/>
          <w:szCs w:val="24"/>
          <w:color w:val="auto"/>
        </w:rPr>
      </w:pPr>
    </w:p>
    <w:tbl>
      <w:tblPr>
        <w:tblLayout w:type="fixed"/>
        <w:tblInd w:w="1220" w:type="dxa"/>
        <w:tblCellMar>
          <w:top w:w="0" w:type="dxa"/>
          <w:left w:w="0" w:type="dxa"/>
          <w:bottom w:w="0" w:type="dxa"/>
          <w:right w:w="0" w:type="dxa"/>
        </w:tblCellMar>
      </w:tblPr>
      <w:tr>
        <w:trPr>
          <w:trHeight w:val="218"/>
        </w:trPr>
        <w:tc>
          <w:tcPr>
            <w:tcW w:w="4940" w:type="dxa"/>
            <w:vAlign w:val="bottom"/>
          </w:tcPr>
          <w:p>
            <w:pPr>
              <w:jc w:val="center"/>
              <w:ind w:right="1688"/>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85-1922320</w:t>
            </w:r>
          </w:p>
        </w:tc>
      </w:tr>
      <w:tr>
        <w:trPr>
          <w:trHeight w:val="142"/>
        </w:trPr>
        <w:tc>
          <w:tcPr>
            <w:tcW w:w="4940" w:type="dxa"/>
            <w:vAlign w:val="bottom"/>
          </w:tcPr>
          <w:p>
            <w:pPr>
              <w:jc w:val="center"/>
              <w:ind w:right="1688"/>
              <w:spacing w:after="0" w:line="142" w:lineRule="exact"/>
              <w:rPr>
                <w:sz w:val="20"/>
                <w:szCs w:val="20"/>
                <w:color w:val="auto"/>
              </w:rPr>
            </w:pPr>
            <w:r>
              <w:rPr>
                <w:rFonts w:ascii="Times New Roman" w:cs="Times New Roman" w:eastAsia="Times New Roman" w:hAnsi="Times New Roman"/>
                <w:sz w:val="13"/>
                <w:szCs w:val="13"/>
                <w:b w:val="1"/>
                <w:bCs w:val="1"/>
                <w:color w:val="auto"/>
                <w:w w:val="97"/>
              </w:rPr>
              <w:t>( State or other jurisdiction of</w:t>
            </w:r>
          </w:p>
        </w:tc>
        <w:tc>
          <w:tcPr>
            <w:tcW w:w="2760" w:type="dxa"/>
            <w:vAlign w:val="bottom"/>
          </w:tcPr>
          <w:p>
            <w:pPr>
              <w:jc w:val="center"/>
              <w:ind w:left="1706"/>
              <w:spacing w:after="0" w:line="142"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40"/>
        </w:trPr>
        <w:tc>
          <w:tcPr>
            <w:tcW w:w="4940" w:type="dxa"/>
            <w:vAlign w:val="bottom"/>
          </w:tcPr>
          <w:p>
            <w:pPr>
              <w:jc w:val="center"/>
              <w:ind w:right="1688"/>
              <w:spacing w:after="0" w:line="140" w:lineRule="exact"/>
              <w:rPr>
                <w:sz w:val="20"/>
                <w:szCs w:val="20"/>
                <w:color w:val="auto"/>
              </w:rPr>
            </w:pPr>
            <w:r>
              <w:rPr>
                <w:rFonts w:ascii="Times New Roman" w:cs="Times New Roman" w:eastAsia="Times New Roman" w:hAnsi="Times New Roman"/>
                <w:sz w:val="13"/>
                <w:szCs w:val="13"/>
                <w:b w:val="1"/>
                <w:bCs w:val="1"/>
                <w:color w:val="auto"/>
                <w:w w:val="97"/>
              </w:rPr>
              <w:t>incorporation or organization)</w:t>
            </w:r>
          </w:p>
        </w:tc>
        <w:tc>
          <w:tcPr>
            <w:tcW w:w="2760" w:type="dxa"/>
            <w:vAlign w:val="bottom"/>
          </w:tcPr>
          <w:p>
            <w:pPr>
              <w:jc w:val="center"/>
              <w:ind w:left="1706"/>
              <w:spacing w:after="0" w:line="140" w:lineRule="exact"/>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18"/>
        </w:trPr>
        <w:tc>
          <w:tcPr>
            <w:tcW w:w="4940" w:type="dxa"/>
            <w:vAlign w:val="bottom"/>
          </w:tcPr>
          <w:p>
            <w:pPr>
              <w:jc w:val="center"/>
              <w:ind w:right="1688"/>
              <w:spacing w:after="0"/>
              <w:rPr>
                <w:sz w:val="20"/>
                <w:szCs w:val="20"/>
                <w:color w:val="auto"/>
              </w:rPr>
            </w:pPr>
            <w:r>
              <w:rPr>
                <w:rFonts w:ascii="Times New Roman" w:cs="Times New Roman" w:eastAsia="Times New Roman" w:hAnsi="Times New Roman"/>
                <w:sz w:val="16"/>
                <w:szCs w:val="16"/>
                <w:b w:val="1"/>
                <w:bCs w:val="1"/>
                <w:color w:val="auto"/>
              </w:rPr>
              <w:t>11085 Torreyana Road, San Diego, California</w:t>
            </w:r>
          </w:p>
        </w:tc>
        <w:tc>
          <w:tcPr>
            <w:tcW w:w="2760" w:type="dxa"/>
            <w:vAlign w:val="bottom"/>
          </w:tcPr>
          <w:p>
            <w:pPr>
              <w:jc w:val="right"/>
              <w:ind w:right="186"/>
              <w:spacing w:after="0"/>
              <w:rPr>
                <w:sz w:val="20"/>
                <w:szCs w:val="20"/>
                <w:color w:val="auto"/>
              </w:rPr>
            </w:pPr>
            <w:r>
              <w:rPr>
                <w:rFonts w:ascii="Times New Roman" w:cs="Times New Roman" w:eastAsia="Times New Roman" w:hAnsi="Times New Roman"/>
                <w:sz w:val="18"/>
                <w:szCs w:val="18"/>
                <w:b w:val="1"/>
                <w:bCs w:val="1"/>
                <w:color w:val="auto"/>
              </w:rPr>
              <w:t>92121</w:t>
            </w:r>
          </w:p>
        </w:tc>
      </w:tr>
      <w:tr>
        <w:trPr>
          <w:trHeight w:val="166"/>
        </w:trPr>
        <w:tc>
          <w:tcPr>
            <w:tcW w:w="4940" w:type="dxa"/>
            <w:vAlign w:val="bottom"/>
          </w:tcPr>
          <w:p>
            <w:pPr>
              <w:jc w:val="center"/>
              <w:ind w:right="1688"/>
              <w:spacing w:after="0"/>
              <w:rPr>
                <w:sz w:val="20"/>
                <w:szCs w:val="20"/>
                <w:color w:val="auto"/>
              </w:rPr>
            </w:pPr>
            <w:r>
              <w:rPr>
                <w:rFonts w:ascii="Times New Roman" w:cs="Times New Roman" w:eastAsia="Times New Roman" w:hAnsi="Times New Roman"/>
                <w:sz w:val="13"/>
                <w:szCs w:val="13"/>
                <w:b w:val="1"/>
                <w:bCs w:val="1"/>
                <w:color w:val="auto"/>
                <w:w w:val="97"/>
              </w:rPr>
              <w:t>(Address of principal executive offices)</w:t>
            </w:r>
          </w:p>
        </w:tc>
        <w:tc>
          <w:tcPr>
            <w:tcW w:w="2760" w:type="dxa"/>
            <w:vAlign w:val="bottom"/>
          </w:tcPr>
          <w:p>
            <w:pPr>
              <w:jc w:val="center"/>
              <w:ind w:left="170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34"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(858) 558-0708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27"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5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$0.0001 par value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BCAB</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Market</w:t>
            </w:r>
          </w:p>
        </w:tc>
        <w:tc>
          <w:tcPr>
            <w:tcW w:w="0" w:type="dxa"/>
            <w:vAlign w:val="bottom"/>
          </w:tcPr>
          <w:p>
            <w:pPr>
              <w:spacing w:after="0"/>
              <w:rPr>
                <w:sz w:val="1"/>
                <w:szCs w:val="1"/>
                <w:color w:val="auto"/>
              </w:rPr>
            </w:pPr>
          </w:p>
        </w:tc>
      </w:tr>
    </w:tbl>
    <w:p>
      <w:pPr>
        <w:spacing w:after="0" w:line="86" w:lineRule="exact"/>
        <w:rPr>
          <w:sz w:val="24"/>
          <w:szCs w:val="24"/>
          <w:color w:val="auto"/>
        </w:rPr>
      </w:pPr>
    </w:p>
    <w:p>
      <w:pPr>
        <w:jc w:val="both"/>
        <w:ind w:firstLine="59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ind w:right="1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jc w:val="both"/>
        <w:ind w:right="220" w:firstLine="59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3"/>
                <w:szCs w:val="23"/>
                <w:color w:val="auto"/>
              </w:rPr>
            </w:pPr>
          </w:p>
        </w:tc>
        <w:tc>
          <w:tcPr>
            <w:tcW w:w="460" w:type="dxa"/>
            <w:vAlign w:val="bottom"/>
          </w:tcPr>
          <w:p>
            <w:pPr>
              <w:spacing w:after="0"/>
              <w:rPr>
                <w:sz w:val="23"/>
                <w:szCs w:val="23"/>
                <w:color w:val="auto"/>
              </w:rPr>
            </w:pPr>
          </w:p>
        </w:tc>
      </w:tr>
    </w:tbl>
    <w:p>
      <w:pPr>
        <w:spacing w:after="0" w:line="128" w:lineRule="exact"/>
        <w:rPr>
          <w:sz w:val="24"/>
          <w:szCs w:val="24"/>
          <w:color w:val="auto"/>
        </w:rPr>
      </w:pPr>
    </w:p>
    <w:p>
      <w:pPr>
        <w:ind w:right="48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600"/>
        <w:spacing w:after="0" w:line="184" w:lineRule="exact"/>
        <w:tabs>
          <w:tab w:leader="none" w:pos="8140" w:val="left"/>
          <w:tab w:leader="none" w:pos="880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20" w:lineRule="exact"/>
        <w:rPr>
          <w:sz w:val="24"/>
          <w:szCs w:val="24"/>
          <w:color w:val="auto"/>
        </w:rPr>
      </w:pPr>
    </w:p>
    <w:p>
      <w:pPr>
        <w:ind w:right="600" w:firstLine="599"/>
        <w:spacing w:after="0" w:line="298" w:lineRule="auto"/>
        <w:rPr>
          <w:sz w:val="20"/>
          <w:szCs w:val="20"/>
          <w:color w:val="auto"/>
        </w:rPr>
      </w:pPr>
      <w:r>
        <w:rPr>
          <w:rFonts w:ascii="Times New Roman" w:cs="Times New Roman" w:eastAsia="Times New Roman" w:hAnsi="Times New Roman"/>
          <w:sz w:val="16"/>
          <w:szCs w:val="16"/>
          <w:color w:val="auto"/>
        </w:rPr>
        <w:t>As of May 2, 2025 the number of shares of the registrant’s common stock outstanding was 58,418,142 and the number of shares of the registrant’s Class B common stock outstanding was 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760095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BIOATLA,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2"/>
        </w:trPr>
        <w:tc>
          <w:tcPr>
            <w:tcW w:w="800" w:type="dxa"/>
            <w:vAlign w:val="bottom"/>
          </w:tcPr>
          <w:p>
            <w:pPr>
              <w:spacing w:after="0" w:line="162" w:lineRule="exact"/>
              <w:rPr>
                <w:sz w:val="20"/>
                <w:szCs w:val="20"/>
                <w:color w:val="auto"/>
              </w:rPr>
            </w:pPr>
            <w:r>
              <w:rPr>
                <w:rFonts w:ascii="Times New Roman" w:cs="Times New Roman" w:eastAsia="Times New Roman" w:hAnsi="Times New Roman"/>
                <w:sz w:val="16"/>
                <w:szCs w:val="16"/>
                <w:b w:val="1"/>
                <w:bCs w:val="1"/>
                <w:color w:val="auto"/>
              </w:rPr>
              <w:t>PART I.</w:t>
            </w:r>
          </w:p>
        </w:tc>
        <w:tc>
          <w:tcPr>
            <w:tcW w:w="9780" w:type="dxa"/>
            <w:vAlign w:val="bottom"/>
            <w:gridSpan w:val="18"/>
          </w:tcPr>
          <w:p>
            <w:pPr>
              <w:spacing w:after="0" w:line="162" w:lineRule="exact"/>
              <w:rPr>
                <w:sz w:val="20"/>
                <w:szCs w:val="20"/>
                <w:color w:val="auto"/>
              </w:rPr>
            </w:pPr>
            <w:r>
              <w:rPr>
                <w:rFonts w:ascii="Times New Roman" w:cs="Times New Roman" w:eastAsia="Times New Roman" w:hAnsi="Times New Roman"/>
                <w:sz w:val="16"/>
                <w:szCs w:val="16"/>
                <w:color w:val="0000FF"/>
              </w:rPr>
              <w:t>FINANCIAL INFORMATION</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Item 1.</w:t>
            </w:r>
          </w:p>
        </w:tc>
        <w:tc>
          <w:tcPr>
            <w:tcW w:w="9780" w:type="dxa"/>
            <w:vAlign w:val="bottom"/>
            <w:gridSpan w:val="18"/>
          </w:tcPr>
          <w:p>
            <w:pPr>
              <w:spacing w:after="0" w:line="183" w:lineRule="exact"/>
              <w:rPr>
                <w:sz w:val="20"/>
                <w:szCs w:val="20"/>
                <w:color w:val="auto"/>
              </w:rPr>
            </w:pPr>
            <w:r>
              <w:rPr>
                <w:rFonts w:ascii="Times New Roman" w:cs="Times New Roman" w:eastAsia="Times New Roman" w:hAnsi="Times New Roman"/>
                <w:sz w:val="16"/>
                <w:szCs w:val="16"/>
                <w:color w:val="0000FF"/>
              </w:rPr>
              <w:t>Financial Statements:</w:t>
            </w: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40" w:type="dxa"/>
            <w:vAlign w:val="bottom"/>
            <w:gridSpan w:val="16"/>
          </w:tcPr>
          <w:p>
            <w:pPr>
              <w:spacing w:after="0" w:line="183" w:lineRule="exact"/>
              <w:rPr>
                <w:sz w:val="20"/>
                <w:szCs w:val="20"/>
                <w:color w:val="auto"/>
              </w:rPr>
            </w:pPr>
            <w:r>
              <w:rPr>
                <w:rFonts w:ascii="Times New Roman" w:cs="Times New Roman" w:eastAsia="Times New Roman" w:hAnsi="Times New Roman"/>
                <w:sz w:val="16"/>
                <w:szCs w:val="16"/>
                <w:color w:val="0000FF"/>
              </w:rPr>
              <w:t>Condensed Balance Sheets as of March 31, 2025 (unaudited) and December 31, 2024</w:t>
            </w: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6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40" w:type="dxa"/>
            <w:vAlign w:val="bottom"/>
            <w:gridSpan w:val="16"/>
          </w:tcPr>
          <w:p>
            <w:pPr>
              <w:spacing w:after="0" w:line="183" w:lineRule="exact"/>
              <w:rPr>
                <w:sz w:val="20"/>
                <w:szCs w:val="20"/>
                <w:color w:val="auto"/>
              </w:rPr>
            </w:pPr>
            <w:r>
              <w:rPr>
                <w:rFonts w:ascii="Times New Roman" w:cs="Times New Roman" w:eastAsia="Times New Roman" w:hAnsi="Times New Roman"/>
                <w:sz w:val="16"/>
                <w:szCs w:val="16"/>
                <w:color w:val="0000FF"/>
              </w:rPr>
              <w:t>Condensed Statements of Operations and Comprehensive Loss (unaudited) for the three months ended March 31, 2025 and 2024</w:t>
            </w: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6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900" w:type="dxa"/>
            <w:vAlign w:val="bottom"/>
            <w:tcBorders>
              <w:left w:val="single" w:sz="8" w:color="0000FF"/>
            </w:tcBorders>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380" w:type="dxa"/>
            <w:vAlign w:val="bottom"/>
            <w:tcBorders>
              <w:bottom w:val="single" w:sz="8" w:color="0000EE"/>
            </w:tcBorders>
            <w:gridSpan w:val="14"/>
          </w:tcPr>
          <w:p>
            <w:pPr>
              <w:spacing w:after="0" w:line="183" w:lineRule="exact"/>
              <w:rPr>
                <w:sz w:val="20"/>
                <w:szCs w:val="20"/>
                <w:color w:val="auto"/>
              </w:rPr>
            </w:pPr>
            <w:r>
              <w:rPr>
                <w:rFonts w:ascii="Times New Roman" w:cs="Times New Roman" w:eastAsia="Times New Roman" w:hAnsi="Times New Roman"/>
                <w:sz w:val="16"/>
                <w:szCs w:val="16"/>
                <w:color w:val="0000FF"/>
              </w:rPr>
              <w:t>Condensed Statements of Stockholders’ Equity (unaudited) for the three months ended March 31, 2025 and 2024</w:t>
            </w:r>
          </w:p>
        </w:tc>
        <w:tc>
          <w:tcPr>
            <w:tcW w:w="2160" w:type="dxa"/>
            <w:vAlign w:val="bottom"/>
            <w:gridSpan w:val="2"/>
          </w:tcPr>
          <w:p>
            <w:pPr>
              <w:spacing w:after="0"/>
              <w:rPr>
                <w:sz w:val="17"/>
                <w:szCs w:val="17"/>
                <w:color w:val="auto"/>
              </w:rPr>
            </w:pP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40" w:type="dxa"/>
            <w:vAlign w:val="bottom"/>
            <w:gridSpan w:val="16"/>
          </w:tcPr>
          <w:p>
            <w:pPr>
              <w:spacing w:after="0" w:line="183" w:lineRule="exact"/>
              <w:rPr>
                <w:sz w:val="20"/>
                <w:szCs w:val="20"/>
                <w:color w:val="auto"/>
              </w:rPr>
            </w:pPr>
            <w:r>
              <w:rPr>
                <w:rFonts w:ascii="Times New Roman" w:cs="Times New Roman" w:eastAsia="Times New Roman" w:hAnsi="Times New Roman"/>
                <w:sz w:val="16"/>
                <w:szCs w:val="16"/>
                <w:color w:val="0000FF"/>
              </w:rPr>
              <w:t>Condensed Statements of Cash Flows (unaudited) for the three months ended March 31, 2025 and 2024</w:t>
            </w: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Borders>
              <w:top w:val="single" w:sz="8" w:color="0000FF"/>
            </w:tcBorders>
            <w:gridSpan w:val="13"/>
          </w:tcPr>
          <w:p>
            <w:pPr>
              <w:spacing w:after="0" w:line="183" w:lineRule="exact"/>
              <w:rPr>
                <w:sz w:val="20"/>
                <w:szCs w:val="20"/>
                <w:color w:val="auto"/>
              </w:rPr>
            </w:pPr>
            <w:r>
              <w:rPr>
                <w:rFonts w:ascii="Times New Roman" w:cs="Times New Roman" w:eastAsia="Times New Roman" w:hAnsi="Times New Roman"/>
                <w:sz w:val="16"/>
                <w:szCs w:val="16"/>
                <w:color w:val="0000FF"/>
              </w:rPr>
              <w:t>Notes to Condensed Financial Statements (unaudited)</w:t>
            </w:r>
          </w:p>
        </w:tc>
        <w:tc>
          <w:tcPr>
            <w:tcW w:w="2820" w:type="dxa"/>
            <w:vAlign w:val="bottom"/>
            <w:gridSpan w:val="3"/>
          </w:tcPr>
          <w:p>
            <w:pPr>
              <w:spacing w:after="0"/>
              <w:rPr>
                <w:sz w:val="17"/>
                <w:szCs w:val="17"/>
                <w:color w:val="auto"/>
              </w:rPr>
            </w:pP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64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960" w:type="dxa"/>
            <w:vAlign w:val="bottom"/>
            <w:gridSpan w:val="4"/>
          </w:tcPr>
          <w:p>
            <w:pPr>
              <w:spacing w:after="0" w:line="20" w:lineRule="exact"/>
              <w:rPr>
                <w:sz w:val="1"/>
                <w:szCs w:val="1"/>
                <w:color w:val="auto"/>
              </w:rPr>
            </w:pPr>
          </w:p>
        </w:tc>
        <w:tc>
          <w:tcPr>
            <w:tcW w:w="6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Item 2.</w:t>
            </w:r>
          </w:p>
        </w:tc>
        <w:tc>
          <w:tcPr>
            <w:tcW w:w="9780" w:type="dxa"/>
            <w:vAlign w:val="bottom"/>
            <w:gridSpan w:val="18"/>
          </w:tcPr>
          <w:p>
            <w:pPr>
              <w:spacing w:after="0" w:line="183" w:lineRule="exact"/>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1900" w:type="dxa"/>
            <w:vAlign w:val="bottom"/>
            <w:tcBorders>
              <w:left w:val="single" w:sz="8" w:color="0000FF"/>
            </w:tcBorders>
            <w:gridSpan w:val="2"/>
            <w:shd w:val="clear" w:color="auto" w:fill="0000FF"/>
          </w:tcPr>
          <w:p>
            <w:pPr>
              <w:spacing w:after="0" w:line="20" w:lineRule="exact"/>
              <w:rPr>
                <w:sz w:val="1"/>
                <w:szCs w:val="1"/>
                <w:color w:val="auto"/>
              </w:rPr>
            </w:pPr>
          </w:p>
        </w:tc>
        <w:tc>
          <w:tcPr>
            <w:tcW w:w="3960" w:type="dxa"/>
            <w:vAlign w:val="bottom"/>
            <w:gridSpan w:val="4"/>
          </w:tcPr>
          <w:p>
            <w:pPr>
              <w:spacing w:after="0" w:line="20" w:lineRule="exact"/>
              <w:rPr>
                <w:sz w:val="1"/>
                <w:szCs w:val="1"/>
                <w:color w:val="auto"/>
              </w:rPr>
            </w:pPr>
          </w:p>
        </w:tc>
        <w:tc>
          <w:tcPr>
            <w:tcW w:w="6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Item 3.</w:t>
            </w:r>
          </w:p>
        </w:tc>
        <w:tc>
          <w:tcPr>
            <w:tcW w:w="9780" w:type="dxa"/>
            <w:vAlign w:val="bottom"/>
            <w:gridSpan w:val="18"/>
          </w:tcPr>
          <w:p>
            <w:pPr>
              <w:spacing w:after="0" w:line="183" w:lineRule="exact"/>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5860" w:type="dxa"/>
            <w:vAlign w:val="bottom"/>
            <w:tcBorders>
              <w:left w:val="single" w:sz="8" w:color="0000FF"/>
            </w:tcBorders>
            <w:gridSpan w:val="6"/>
          </w:tcPr>
          <w:p>
            <w:pPr>
              <w:spacing w:after="0" w:line="20" w:lineRule="exact"/>
              <w:rPr>
                <w:sz w:val="1"/>
                <w:szCs w:val="1"/>
                <w:color w:val="auto"/>
              </w:rPr>
            </w:pPr>
          </w:p>
        </w:tc>
        <w:tc>
          <w:tcPr>
            <w:tcW w:w="6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Item 4.</w:t>
            </w:r>
          </w:p>
        </w:tc>
        <w:tc>
          <w:tcPr>
            <w:tcW w:w="9780" w:type="dxa"/>
            <w:vAlign w:val="bottom"/>
            <w:gridSpan w:val="18"/>
          </w:tcPr>
          <w:p>
            <w:pPr>
              <w:spacing w:after="0" w:line="183" w:lineRule="exact"/>
              <w:rPr>
                <w:sz w:val="20"/>
                <w:szCs w:val="20"/>
                <w:color w:val="auto"/>
              </w:rPr>
            </w:pPr>
            <w:r>
              <w:rPr>
                <w:rFonts w:ascii="Times New Roman" w:cs="Times New Roman" w:eastAsia="Times New Roman" w:hAnsi="Times New Roman"/>
                <w:sz w:val="16"/>
                <w:szCs w:val="16"/>
                <w:color w:val="0000FF"/>
              </w:rPr>
              <w:t>Controls and Procedures</w:t>
            </w: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5860" w:type="dxa"/>
            <w:vAlign w:val="bottom"/>
            <w:gridSpan w:val="6"/>
          </w:tcPr>
          <w:p>
            <w:pPr>
              <w:spacing w:after="0" w:line="20" w:lineRule="exact"/>
              <w:rPr>
                <w:sz w:val="1"/>
                <w:szCs w:val="1"/>
                <w:color w:val="auto"/>
              </w:rPr>
            </w:pPr>
          </w:p>
        </w:tc>
        <w:tc>
          <w:tcPr>
            <w:tcW w:w="6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line="20" w:lineRule="exact"/>
              <w:rPr>
                <w:sz w:val="1"/>
                <w:szCs w:val="1"/>
                <w:color w:val="auto"/>
              </w:rPr>
            </w:pPr>
          </w:p>
        </w:tc>
      </w:tr>
      <w:tr>
        <w:trPr>
          <w:trHeight w:val="196"/>
        </w:trPr>
        <w:tc>
          <w:tcPr>
            <w:tcW w:w="800" w:type="dxa"/>
            <w:vAlign w:val="bottom"/>
            <w:vMerge w:val="continue"/>
          </w:tcPr>
          <w:p>
            <w:pPr>
              <w:spacing w:after="0"/>
              <w:rPr>
                <w:sz w:val="17"/>
                <w:szCs w:val="17"/>
                <w:color w:val="auto"/>
              </w:rPr>
            </w:pPr>
          </w:p>
        </w:tc>
        <w:tc>
          <w:tcPr>
            <w:tcW w:w="9780" w:type="dxa"/>
            <w:vAlign w:val="bottom"/>
            <w:gridSpan w:val="18"/>
          </w:tcPr>
          <w:p>
            <w:pPr>
              <w:spacing w:after="0" w:line="183" w:lineRule="exact"/>
              <w:rPr>
                <w:sz w:val="20"/>
                <w:szCs w:val="20"/>
                <w:color w:val="auto"/>
              </w:rPr>
            </w:pPr>
            <w:r>
              <w:rPr>
                <w:rFonts w:ascii="Times New Roman" w:cs="Times New Roman" w:eastAsia="Times New Roman" w:hAnsi="Times New Roman"/>
                <w:sz w:val="16"/>
                <w:szCs w:val="16"/>
                <w:color w:val="0000FF"/>
              </w:rPr>
              <w:t>OTHER INFORMATION</w:t>
            </w: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3"/>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5860" w:type="dxa"/>
            <w:vAlign w:val="bottom"/>
            <w:gridSpan w:val="6"/>
          </w:tcPr>
          <w:p>
            <w:pPr>
              <w:spacing w:after="0" w:line="20" w:lineRule="exact"/>
              <w:rPr>
                <w:sz w:val="1"/>
                <w:szCs w:val="1"/>
                <w:color w:val="auto"/>
              </w:rPr>
            </w:pPr>
          </w:p>
        </w:tc>
        <w:tc>
          <w:tcPr>
            <w:tcW w:w="6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Item 1.</w:t>
            </w:r>
          </w:p>
        </w:tc>
        <w:tc>
          <w:tcPr>
            <w:tcW w:w="9780" w:type="dxa"/>
            <w:vAlign w:val="bottom"/>
            <w:gridSpan w:val="18"/>
          </w:tcPr>
          <w:p>
            <w:pPr>
              <w:spacing w:after="0" w:line="183" w:lineRule="exact"/>
              <w:rPr>
                <w:sz w:val="20"/>
                <w:szCs w:val="20"/>
                <w:color w:val="auto"/>
              </w:rPr>
            </w:pPr>
            <w:r>
              <w:rPr>
                <w:rFonts w:ascii="Times New Roman" w:cs="Times New Roman" w:eastAsia="Times New Roman" w:hAnsi="Times New Roman"/>
                <w:sz w:val="16"/>
                <w:szCs w:val="16"/>
                <w:color w:val="0000FF"/>
              </w:rPr>
              <w:t>Legal Proceedings</w:t>
            </w: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20" w:type="dxa"/>
            <w:vAlign w:val="bottom"/>
            <w:tcBorders>
              <w:left w:val="single" w:sz="8" w:color="0000FF"/>
            </w:tcBorders>
            <w:gridSpan w:val="5"/>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5860" w:type="dxa"/>
            <w:vAlign w:val="bottom"/>
            <w:gridSpan w:val="6"/>
          </w:tcPr>
          <w:p>
            <w:pPr>
              <w:spacing w:after="0" w:line="20" w:lineRule="exact"/>
              <w:rPr>
                <w:sz w:val="1"/>
                <w:szCs w:val="1"/>
                <w:color w:val="auto"/>
              </w:rPr>
            </w:pPr>
          </w:p>
        </w:tc>
        <w:tc>
          <w:tcPr>
            <w:tcW w:w="6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Item 1A.</w:t>
            </w:r>
          </w:p>
        </w:tc>
        <w:tc>
          <w:tcPr>
            <w:tcW w:w="9780" w:type="dxa"/>
            <w:vAlign w:val="bottom"/>
            <w:gridSpan w:val="18"/>
          </w:tcPr>
          <w:p>
            <w:pPr>
              <w:spacing w:after="0" w:line="183" w:lineRule="exact"/>
              <w:rPr>
                <w:sz w:val="20"/>
                <w:szCs w:val="20"/>
                <w:color w:val="auto"/>
              </w:rPr>
            </w:pPr>
            <w:r>
              <w:rPr>
                <w:rFonts w:ascii="Times New Roman" w:cs="Times New Roman" w:eastAsia="Times New Roman" w:hAnsi="Times New Roman"/>
                <w:sz w:val="16"/>
                <w:szCs w:val="16"/>
                <w:color w:val="0000FF"/>
              </w:rPr>
              <w:t>Risk Factors</w:t>
            </w: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5860" w:type="dxa"/>
            <w:vAlign w:val="bottom"/>
            <w:gridSpan w:val="6"/>
          </w:tcPr>
          <w:p>
            <w:pPr>
              <w:spacing w:after="0" w:line="20" w:lineRule="exact"/>
              <w:rPr>
                <w:sz w:val="1"/>
                <w:szCs w:val="1"/>
                <w:color w:val="auto"/>
              </w:rPr>
            </w:pPr>
          </w:p>
        </w:tc>
        <w:tc>
          <w:tcPr>
            <w:tcW w:w="6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Item 2.</w:t>
            </w:r>
          </w:p>
        </w:tc>
        <w:tc>
          <w:tcPr>
            <w:tcW w:w="9780" w:type="dxa"/>
            <w:vAlign w:val="bottom"/>
            <w:gridSpan w:val="18"/>
          </w:tcPr>
          <w:p>
            <w:pPr>
              <w:spacing w:after="0" w:line="183" w:lineRule="exact"/>
              <w:rPr>
                <w:sz w:val="20"/>
                <w:szCs w:val="20"/>
                <w:color w:val="auto"/>
              </w:rPr>
            </w:pPr>
            <w:r>
              <w:rPr>
                <w:rFonts w:ascii="Times New Roman" w:cs="Times New Roman" w:eastAsia="Times New Roman" w:hAnsi="Times New Roman"/>
                <w:sz w:val="16"/>
                <w:szCs w:val="16"/>
                <w:color w:val="0000FF"/>
              </w:rPr>
              <w:t>Unregistered Sales of Equity Securities and Use of Proceeds</w:t>
            </w: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920" w:type="dxa"/>
            <w:vAlign w:val="bottom"/>
            <w:tcBorders>
              <w:left w:val="single" w:sz="8" w:color="0000FF"/>
            </w:tcBorders>
            <w:gridSpan w:val="5"/>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5860" w:type="dxa"/>
            <w:vAlign w:val="bottom"/>
            <w:gridSpan w:val="6"/>
          </w:tcPr>
          <w:p>
            <w:pPr>
              <w:spacing w:after="0" w:line="20" w:lineRule="exact"/>
              <w:rPr>
                <w:sz w:val="1"/>
                <w:szCs w:val="1"/>
                <w:color w:val="auto"/>
              </w:rPr>
            </w:pPr>
          </w:p>
        </w:tc>
        <w:tc>
          <w:tcPr>
            <w:tcW w:w="6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Item 3.</w:t>
            </w:r>
          </w:p>
        </w:tc>
        <w:tc>
          <w:tcPr>
            <w:tcW w:w="9780" w:type="dxa"/>
            <w:vAlign w:val="bottom"/>
            <w:gridSpan w:val="18"/>
          </w:tcPr>
          <w:p>
            <w:pPr>
              <w:spacing w:after="0" w:line="183" w:lineRule="exact"/>
              <w:rPr>
                <w:sz w:val="20"/>
                <w:szCs w:val="20"/>
                <w:color w:val="auto"/>
              </w:rPr>
            </w:pPr>
            <w:r>
              <w:rPr>
                <w:rFonts w:ascii="Times New Roman" w:cs="Times New Roman" w:eastAsia="Times New Roman" w:hAnsi="Times New Roman"/>
                <w:sz w:val="16"/>
                <w:szCs w:val="16"/>
                <w:color w:val="0000FF"/>
              </w:rPr>
              <w:t>Defaults Upon Senior Securities</w:t>
            </w: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920" w:type="dxa"/>
            <w:vAlign w:val="bottom"/>
            <w:tcBorders>
              <w:left w:val="single" w:sz="8" w:color="0000FF"/>
            </w:tcBorders>
            <w:gridSpan w:val="5"/>
            <w:shd w:val="clear" w:color="auto" w:fill="0000FF"/>
          </w:tcPr>
          <w:p>
            <w:pPr>
              <w:spacing w:after="0" w:line="20" w:lineRule="exact"/>
              <w:rPr>
                <w:sz w:val="1"/>
                <w:szCs w:val="1"/>
                <w:color w:val="auto"/>
              </w:rPr>
            </w:pPr>
          </w:p>
        </w:tc>
        <w:tc>
          <w:tcPr>
            <w:tcW w:w="7680" w:type="dxa"/>
            <w:vAlign w:val="bottom"/>
            <w:gridSpan w:val="8"/>
          </w:tcPr>
          <w:p>
            <w:pPr>
              <w:spacing w:after="0" w:line="20" w:lineRule="exact"/>
              <w:rPr>
                <w:sz w:val="1"/>
                <w:szCs w:val="1"/>
                <w:color w:val="auto"/>
              </w:rPr>
            </w:pPr>
          </w:p>
        </w:tc>
        <w:tc>
          <w:tcPr>
            <w:tcW w:w="6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Item 4.</w:t>
            </w:r>
          </w:p>
        </w:tc>
        <w:tc>
          <w:tcPr>
            <w:tcW w:w="9780" w:type="dxa"/>
            <w:vAlign w:val="bottom"/>
            <w:gridSpan w:val="18"/>
          </w:tcPr>
          <w:p>
            <w:pPr>
              <w:spacing w:after="0" w:line="183" w:lineRule="exact"/>
              <w:rPr>
                <w:sz w:val="20"/>
                <w:szCs w:val="20"/>
                <w:color w:val="auto"/>
              </w:rPr>
            </w:pPr>
            <w:r>
              <w:rPr>
                <w:rFonts w:ascii="Times New Roman" w:cs="Times New Roman" w:eastAsia="Times New Roman" w:hAnsi="Times New Roman"/>
                <w:sz w:val="16"/>
                <w:szCs w:val="16"/>
                <w:color w:val="0000FF"/>
              </w:rPr>
              <w:t>Mine Safety Disclosures</w:t>
            </w: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8180" w:type="dxa"/>
            <w:vAlign w:val="bottom"/>
            <w:gridSpan w:val="11"/>
          </w:tcPr>
          <w:p>
            <w:pPr>
              <w:spacing w:after="0" w:line="20" w:lineRule="exact"/>
              <w:rPr>
                <w:sz w:val="1"/>
                <w:szCs w:val="1"/>
                <w:color w:val="auto"/>
              </w:rPr>
            </w:pPr>
          </w:p>
        </w:tc>
        <w:tc>
          <w:tcPr>
            <w:tcW w:w="6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Item 5.</w:t>
            </w:r>
          </w:p>
        </w:tc>
        <w:tc>
          <w:tcPr>
            <w:tcW w:w="9780" w:type="dxa"/>
            <w:vAlign w:val="bottom"/>
            <w:gridSpan w:val="18"/>
          </w:tcPr>
          <w:p>
            <w:pPr>
              <w:spacing w:after="0" w:line="183" w:lineRule="exact"/>
              <w:rPr>
                <w:sz w:val="20"/>
                <w:szCs w:val="20"/>
                <w:color w:val="auto"/>
              </w:rPr>
            </w:pPr>
            <w:r>
              <w:rPr>
                <w:rFonts w:ascii="Times New Roman" w:cs="Times New Roman" w:eastAsia="Times New Roman" w:hAnsi="Times New Roman"/>
                <w:sz w:val="16"/>
                <w:szCs w:val="16"/>
                <w:color w:val="0000FF"/>
              </w:rPr>
              <w:t>Other Information</w:t>
            </w: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600" w:type="dxa"/>
            <w:vAlign w:val="bottom"/>
            <w:gridSpan w:val="13"/>
          </w:tcPr>
          <w:p>
            <w:pPr>
              <w:spacing w:after="0" w:line="20" w:lineRule="exact"/>
              <w:rPr>
                <w:sz w:val="1"/>
                <w:szCs w:val="1"/>
                <w:color w:val="auto"/>
              </w:rPr>
            </w:pPr>
          </w:p>
        </w:tc>
        <w:tc>
          <w:tcPr>
            <w:tcW w:w="6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Item 6.</w:t>
            </w:r>
          </w:p>
        </w:tc>
        <w:tc>
          <w:tcPr>
            <w:tcW w:w="9780" w:type="dxa"/>
            <w:vAlign w:val="bottom"/>
            <w:gridSpan w:val="18"/>
          </w:tcPr>
          <w:p>
            <w:pPr>
              <w:spacing w:after="0" w:line="183" w:lineRule="exact"/>
              <w:rPr>
                <w:sz w:val="20"/>
                <w:szCs w:val="20"/>
                <w:color w:val="auto"/>
              </w:rPr>
            </w:pPr>
            <w:r>
              <w:rPr>
                <w:rFonts w:ascii="Times New Roman" w:cs="Times New Roman" w:eastAsia="Times New Roman" w:hAnsi="Times New Roman"/>
                <w:sz w:val="16"/>
                <w:szCs w:val="16"/>
                <w:color w:val="0000FF"/>
              </w:rPr>
              <w:t>Exhibits</w:t>
            </w: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40" w:type="dxa"/>
            <w:vAlign w:val="bottom"/>
            <w:gridSpan w:val="15"/>
          </w:tcPr>
          <w:p>
            <w:pPr>
              <w:spacing w:after="0" w:line="20" w:lineRule="exact"/>
              <w:rPr>
                <w:sz w:val="1"/>
                <w:szCs w:val="1"/>
                <w:color w:val="auto"/>
              </w:rPr>
            </w:pPr>
          </w:p>
        </w:tc>
        <w:tc>
          <w:tcPr>
            <w:tcW w:w="6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line="20" w:lineRule="exact"/>
              <w:rPr>
                <w:sz w:val="1"/>
                <w:szCs w:val="1"/>
                <w:color w:val="auto"/>
              </w:rPr>
            </w:pPr>
          </w:p>
        </w:tc>
      </w:tr>
      <w:tr>
        <w:trPr>
          <w:trHeight w:val="196"/>
        </w:trPr>
        <w:tc>
          <w:tcPr>
            <w:tcW w:w="10580" w:type="dxa"/>
            <w:vAlign w:val="bottom"/>
            <w:gridSpan w:val="19"/>
          </w:tcPr>
          <w:p>
            <w:pPr>
              <w:spacing w:after="0" w:line="183" w:lineRule="exact"/>
              <w:rPr>
                <w:sz w:val="20"/>
                <w:szCs w:val="20"/>
                <w:color w:val="auto"/>
              </w:rPr>
            </w:pPr>
            <w:r>
              <w:rPr>
                <w:rFonts w:ascii="Times New Roman" w:cs="Times New Roman" w:eastAsia="Times New Roman" w:hAnsi="Times New Roman"/>
                <w:sz w:val="16"/>
                <w:szCs w:val="16"/>
                <w:color w:val="0000FF"/>
              </w:rPr>
              <w:t>SIGNATURES</w:t>
            </w: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29"/>
        </w:trPr>
        <w:tc>
          <w:tcPr>
            <w:tcW w:w="8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BioAtla,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par value and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8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142"/>
        </w:trPr>
        <w:tc>
          <w:tcPr>
            <w:tcW w:w="8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center"/>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32,363</w:t>
            </w:r>
          </w:p>
        </w:tc>
        <w:tc>
          <w:tcPr>
            <w:tcW w:w="1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49,046</w:t>
            </w:r>
          </w:p>
        </w:tc>
        <w:tc>
          <w:tcPr>
            <w:tcW w:w="100" w:type="dxa"/>
            <w:vAlign w:val="bottom"/>
            <w:shd w:val="clear" w:color="auto" w:fill="CFF0FC"/>
          </w:tcPr>
          <w:p>
            <w:pPr>
              <w:spacing w:after="0"/>
              <w:rPr>
                <w:sz w:val="18"/>
                <w:szCs w:val="18"/>
                <w:color w:val="auto"/>
              </w:rPr>
            </w:pPr>
          </w:p>
        </w:tc>
      </w:tr>
      <w:tr>
        <w:trPr>
          <w:trHeight w:val="216"/>
        </w:trPr>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100" w:type="dxa"/>
            <w:vAlign w:val="bottom"/>
          </w:tcPr>
          <w:p>
            <w:pPr>
              <w:spacing w:after="0"/>
              <w:rPr>
                <w:sz w:val="18"/>
                <w:szCs w:val="18"/>
                <w:color w:val="auto"/>
              </w:rPr>
            </w:pPr>
          </w:p>
        </w:tc>
      </w:tr>
      <w:tr>
        <w:trPr>
          <w:trHeight w:val="210"/>
        </w:trPr>
        <w:tc>
          <w:tcPr>
            <w:tcW w:w="8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37,537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51,232</w:t>
            </w:r>
          </w:p>
        </w:tc>
        <w:tc>
          <w:tcPr>
            <w:tcW w:w="100" w:type="dxa"/>
            <w:vAlign w:val="bottom"/>
            <w:shd w:val="clear" w:color="auto" w:fill="CFF0FC"/>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tcPr>
          <w:p>
            <w:pPr>
              <w:spacing w:after="0"/>
              <w:rPr>
                <w:sz w:val="18"/>
                <w:szCs w:val="18"/>
                <w:color w:val="auto"/>
              </w:rPr>
            </w:pPr>
          </w:p>
        </w:tc>
      </w:tr>
      <w:tr>
        <w:trPr>
          <w:trHeight w:val="216"/>
        </w:trPr>
        <w:tc>
          <w:tcPr>
            <w:tcW w:w="8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 net</w:t>
            </w:r>
          </w:p>
        </w:tc>
        <w:tc>
          <w:tcPr>
            <w:tcW w:w="2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shd w:val="clear" w:color="auto" w:fill="CFF0FC"/>
          </w:tcPr>
          <w:p>
            <w:pPr>
              <w:spacing w:after="0"/>
              <w:rPr>
                <w:sz w:val="18"/>
                <w:szCs w:val="18"/>
                <w:color w:val="auto"/>
              </w:rPr>
            </w:pPr>
          </w:p>
        </w:tc>
      </w:tr>
      <w:tr>
        <w:trPr>
          <w:trHeight w:val="209"/>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52,422</w:t>
            </w:r>
          </w:p>
        </w:tc>
        <w:tc>
          <w:tcPr>
            <w:tcW w:w="100" w:type="dxa"/>
            <w:vAlign w:val="bottom"/>
          </w:tcPr>
          <w:p>
            <w:pPr>
              <w:spacing w:after="0"/>
              <w:rPr>
                <w:sz w:val="18"/>
                <w:szCs w:val="18"/>
                <w:color w:val="auto"/>
              </w:rPr>
            </w:pPr>
          </w:p>
        </w:tc>
      </w:tr>
      <w:tr>
        <w:trPr>
          <w:trHeight w:val="20"/>
        </w:trPr>
        <w:tc>
          <w:tcPr>
            <w:tcW w:w="8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1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15,452</w:t>
            </w:r>
          </w:p>
        </w:tc>
        <w:tc>
          <w:tcPr>
            <w:tcW w:w="1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13,704</w:t>
            </w:r>
          </w:p>
        </w:tc>
        <w:tc>
          <w:tcPr>
            <w:tcW w:w="100" w:type="dxa"/>
            <w:vAlign w:val="bottom"/>
            <w:shd w:val="clear" w:color="auto" w:fill="CFF0FC"/>
          </w:tcPr>
          <w:p>
            <w:pPr>
              <w:spacing w:after="0"/>
              <w:rPr>
                <w:sz w:val="18"/>
                <w:szCs w:val="18"/>
                <w:color w:val="auto"/>
              </w:rPr>
            </w:pPr>
          </w:p>
        </w:tc>
      </w:tr>
      <w:tr>
        <w:trPr>
          <w:trHeight w:val="216"/>
        </w:trPr>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tcPr>
          <w:p>
            <w:pPr>
              <w:spacing w:after="0"/>
              <w:rPr>
                <w:sz w:val="18"/>
                <w:szCs w:val="18"/>
                <w:color w:val="auto"/>
              </w:rPr>
            </w:pPr>
          </w:p>
        </w:tc>
      </w:tr>
      <w:tr>
        <w:trPr>
          <w:trHeight w:val="209"/>
        </w:trPr>
        <w:tc>
          <w:tcPr>
            <w:tcW w:w="8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16,006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14,540</w:t>
            </w:r>
          </w:p>
        </w:tc>
        <w:tc>
          <w:tcPr>
            <w:tcW w:w="100" w:type="dxa"/>
            <w:vAlign w:val="bottom"/>
            <w:shd w:val="clear" w:color="auto" w:fill="CFF0FC"/>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Liability to licensor</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19,806</w:t>
            </w:r>
          </w:p>
        </w:tc>
        <w:tc>
          <w:tcPr>
            <w:tcW w:w="100" w:type="dxa"/>
            <w:vAlign w:val="bottom"/>
          </w:tcPr>
          <w:p>
            <w:pPr>
              <w:spacing w:after="0"/>
              <w:rPr>
                <w:sz w:val="18"/>
                <w:szCs w:val="18"/>
                <w:color w:val="auto"/>
              </w:rPr>
            </w:pPr>
          </w:p>
        </w:tc>
      </w:tr>
      <w:tr>
        <w:trPr>
          <w:trHeight w:val="216"/>
        </w:trPr>
        <w:tc>
          <w:tcPr>
            <w:tcW w:w="8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2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37,743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38,157</w:t>
            </w:r>
          </w:p>
        </w:tc>
        <w:tc>
          <w:tcPr>
            <w:tcW w:w="100" w:type="dxa"/>
            <w:vAlign w:val="bottom"/>
          </w:tcPr>
          <w:p>
            <w:pPr>
              <w:spacing w:after="0"/>
              <w:rPr>
                <w:sz w:val="18"/>
                <w:szCs w:val="18"/>
                <w:color w:val="auto"/>
              </w:rPr>
            </w:pPr>
          </w:p>
        </w:tc>
      </w:tr>
      <w:tr>
        <w:trPr>
          <w:trHeight w:val="216"/>
        </w:trPr>
        <w:tc>
          <w:tcPr>
            <w:tcW w:w="8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100" w:type="dxa"/>
            <w:vAlign w:val="bottom"/>
            <w:shd w:val="clear" w:color="auto" w:fill="CFF0FC"/>
          </w:tcPr>
          <w:p>
            <w:pPr>
              <w:ind w:left="16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200,000,000 shares authorized at March 31, 2025</w:t>
            </w: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81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and December 31, 2024; 0 shares issued and outstanding at March 31, 2025</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81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and December 31, 2024</w:t>
            </w:r>
          </w:p>
        </w:tc>
        <w:tc>
          <w:tcPr>
            <w:tcW w:w="22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10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Common stock, $0.0001 par value; 350,000,000 shares authorized at</w:t>
            </w: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March 31, 2025 and December 31, 2024; 58,401,147 and 58,099,164</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shares issued and outstanding at March 31, 2025 and December 31, 2024</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r>
      <w:tr>
        <w:trPr>
          <w:trHeight w:val="198"/>
        </w:trPr>
        <w:tc>
          <w:tcPr>
            <w:tcW w:w="8100" w:type="dxa"/>
            <w:vAlign w:val="bottom"/>
            <w:shd w:val="clear" w:color="auto" w:fill="CFF0FC"/>
          </w:tcPr>
          <w:p>
            <w:pPr>
              <w:ind w:left="160"/>
              <w:spacing w:after="0" w:line="198" w:lineRule="exact"/>
              <w:rPr>
                <w:sz w:val="20"/>
                <w:szCs w:val="20"/>
                <w:color w:val="auto"/>
              </w:rPr>
            </w:pPr>
            <w:r>
              <w:rPr>
                <w:rFonts w:ascii="Times New Roman" w:cs="Times New Roman" w:eastAsia="Times New Roman" w:hAnsi="Times New Roman"/>
                <w:sz w:val="18"/>
                <w:szCs w:val="18"/>
                <w:color w:val="auto"/>
              </w:rPr>
              <w:t>Class B common stock, $0.0001 par value; 15,368,569 shares authorized at</w:t>
            </w: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81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March 31, 2025 and December 31, 2024; 0 shares issued and outstanding at</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81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March 31, 2025 and December 31, 2024</w:t>
            </w:r>
          </w:p>
        </w:tc>
        <w:tc>
          <w:tcPr>
            <w:tcW w:w="22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501,914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500,298</w:t>
            </w:r>
          </w:p>
        </w:tc>
        <w:tc>
          <w:tcPr>
            <w:tcW w:w="100" w:type="dxa"/>
            <w:vAlign w:val="bottom"/>
          </w:tcPr>
          <w:p>
            <w:pPr>
              <w:spacing w:after="0"/>
              <w:rPr>
                <w:sz w:val="18"/>
                <w:szCs w:val="18"/>
                <w:color w:val="auto"/>
              </w:rPr>
            </w:pPr>
          </w:p>
        </w:tc>
      </w:tr>
      <w:tr>
        <w:trPr>
          <w:trHeight w:val="216"/>
        </w:trPr>
        <w:tc>
          <w:tcPr>
            <w:tcW w:w="81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(501,373)</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(486,039)</w:t>
            </w:r>
          </w:p>
        </w:tc>
      </w:tr>
      <w:tr>
        <w:trPr>
          <w:trHeight w:val="210"/>
        </w:trPr>
        <w:tc>
          <w:tcPr>
            <w:tcW w:w="81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14,265</w:t>
            </w:r>
          </w:p>
        </w:tc>
        <w:tc>
          <w:tcPr>
            <w:tcW w:w="100" w:type="dxa"/>
            <w:vAlign w:val="bottom"/>
            <w:tcBorders>
              <w:top w:val="single" w:sz="8" w:color="CFF0FC"/>
            </w:tcBorders>
          </w:tcPr>
          <w:p>
            <w:pPr>
              <w:spacing w:after="0"/>
              <w:rPr>
                <w:sz w:val="18"/>
                <w:szCs w:val="18"/>
                <w:color w:val="auto"/>
              </w:rPr>
            </w:pPr>
          </w:p>
        </w:tc>
      </w:tr>
      <w:tr>
        <w:trPr>
          <w:trHeight w:val="250"/>
        </w:trPr>
        <w:tc>
          <w:tcPr>
            <w:tcW w:w="8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38,290</w:t>
            </w:r>
          </w:p>
        </w:tc>
        <w:tc>
          <w:tcPr>
            <w:tcW w:w="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52,422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6031230</wp:posOffset>
            </wp:positionH>
            <wp:positionV relativeFrom="paragraph">
              <wp:posOffset>-2245360</wp:posOffset>
            </wp:positionV>
            <wp:extent cx="768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-2245360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-316865</wp:posOffset>
            </wp:positionV>
            <wp:extent cx="768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768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768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BioAtla,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8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64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52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5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196"/>
        </w:trPr>
        <w:tc>
          <w:tcPr>
            <w:tcW w:w="6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6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64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Research and development expense</w:t>
            </w:r>
          </w:p>
        </w:tc>
        <w:tc>
          <w:tcPr>
            <w:tcW w:w="1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12,355</w:t>
            </w:r>
          </w:p>
        </w:tc>
        <w:tc>
          <w:tcPr>
            <w:tcW w:w="80" w:type="dxa"/>
            <w:vAlign w:val="bottom"/>
          </w:tcPr>
          <w:p>
            <w:pPr>
              <w:spacing w:after="0"/>
              <w:rPr>
                <w:sz w:val="17"/>
                <w:szCs w:val="17"/>
                <w:color w:val="auto"/>
              </w:rPr>
            </w:pPr>
          </w:p>
        </w:tc>
        <w:tc>
          <w:tcPr>
            <w:tcW w:w="3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18,852</w:t>
            </w:r>
          </w:p>
        </w:tc>
        <w:tc>
          <w:tcPr>
            <w:tcW w:w="120" w:type="dxa"/>
            <w:vAlign w:val="bottom"/>
          </w:tcPr>
          <w:p>
            <w:pPr>
              <w:spacing w:after="0"/>
              <w:rPr>
                <w:sz w:val="17"/>
                <w:szCs w:val="17"/>
                <w:color w:val="auto"/>
              </w:rPr>
            </w:pPr>
          </w:p>
        </w:tc>
      </w:tr>
      <w:tr>
        <w:trPr>
          <w:trHeight w:val="203"/>
        </w:trPr>
        <w:tc>
          <w:tcPr>
            <w:tcW w:w="64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General and administrative expense</w:t>
            </w:r>
          </w:p>
        </w:tc>
        <w:tc>
          <w:tcPr>
            <w:tcW w:w="16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5,259</w:t>
            </w:r>
          </w:p>
        </w:tc>
        <w:tc>
          <w:tcPr>
            <w:tcW w:w="8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5,605</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6420" w:type="dxa"/>
            <w:vAlign w:val="bottom"/>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16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17,614</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24,457</w:t>
            </w:r>
          </w:p>
        </w:tc>
        <w:tc>
          <w:tcPr>
            <w:tcW w:w="120" w:type="dxa"/>
            <w:vAlign w:val="bottom"/>
          </w:tcPr>
          <w:p>
            <w:pPr>
              <w:spacing w:after="0"/>
              <w:rPr>
                <w:sz w:val="17"/>
                <w:szCs w:val="17"/>
                <w:color w:val="auto"/>
              </w:rPr>
            </w:pPr>
          </w:p>
        </w:tc>
      </w:tr>
      <w:tr>
        <w:trPr>
          <w:trHeight w:val="196"/>
        </w:trPr>
        <w:tc>
          <w:tcPr>
            <w:tcW w:w="6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16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(17,614)</w:t>
            </w:r>
          </w:p>
        </w:tc>
        <w:tc>
          <w:tcPr>
            <w:tcW w:w="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(24,457)</w:t>
            </w:r>
          </w:p>
        </w:tc>
      </w:tr>
      <w:tr>
        <w:trPr>
          <w:trHeight w:val="203"/>
        </w:trPr>
        <w:tc>
          <w:tcPr>
            <w:tcW w:w="6420" w:type="dxa"/>
            <w:vAlign w:val="bottom"/>
          </w:tcPr>
          <w:p>
            <w:pPr>
              <w:spacing w:after="0"/>
              <w:rPr>
                <w:sz w:val="20"/>
                <w:szCs w:val="20"/>
                <w:color w:val="auto"/>
              </w:rPr>
            </w:pPr>
            <w:r>
              <w:rPr>
                <w:rFonts w:ascii="Times New Roman" w:cs="Times New Roman" w:eastAsia="Times New Roman" w:hAnsi="Times New Roman"/>
                <w:sz w:val="16"/>
                <w:szCs w:val="16"/>
                <w:color w:val="auto"/>
              </w:rPr>
              <w:t>Other income:</w:t>
            </w:r>
          </w:p>
        </w:tc>
        <w:tc>
          <w:tcPr>
            <w:tcW w:w="1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4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Interest income</w:t>
            </w:r>
          </w:p>
        </w:tc>
        <w:tc>
          <w:tcPr>
            <w:tcW w:w="16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1,223</w:t>
            </w:r>
          </w:p>
        </w:tc>
        <w:tc>
          <w:tcPr>
            <w:tcW w:w="120" w:type="dxa"/>
            <w:vAlign w:val="bottom"/>
            <w:shd w:val="clear" w:color="auto" w:fill="CFF0FC"/>
          </w:tcPr>
          <w:p>
            <w:pPr>
              <w:spacing w:after="0"/>
              <w:rPr>
                <w:sz w:val="17"/>
                <w:szCs w:val="17"/>
                <w:color w:val="auto"/>
              </w:rPr>
            </w:pPr>
          </w:p>
        </w:tc>
      </w:tr>
      <w:tr>
        <w:trPr>
          <w:trHeight w:val="203"/>
        </w:trPr>
        <w:tc>
          <w:tcPr>
            <w:tcW w:w="64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Gain on warrant liability</w:t>
            </w:r>
          </w:p>
        </w:tc>
        <w:tc>
          <w:tcPr>
            <w:tcW w:w="1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1,880</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6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other income</w:t>
            </w:r>
          </w:p>
        </w:tc>
        <w:tc>
          <w:tcPr>
            <w:tcW w:w="16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2,280</w:t>
            </w:r>
          </w:p>
        </w:tc>
        <w:tc>
          <w:tcPr>
            <w:tcW w:w="8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top w:val="single" w:sz="8" w:color="auto"/>
              <w:bottom w:val="single" w:sz="8" w:color="auto"/>
            </w:tcBorders>
            <w:shd w:val="clear" w:color="auto" w:fill="CFF0FC"/>
          </w:tcPr>
          <w:p>
            <w:pPr>
              <w:spacing w:after="0"/>
              <w:rPr>
                <w:sz w:val="17"/>
                <w:szCs w:val="17"/>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1,223</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6420" w:type="dxa"/>
            <w:vAlign w:val="bottom"/>
          </w:tcPr>
          <w:p>
            <w:pPr>
              <w:spacing w:after="0"/>
              <w:rPr>
                <w:sz w:val="20"/>
                <w:szCs w:val="20"/>
                <w:color w:val="auto"/>
              </w:rPr>
            </w:pPr>
            <w:r>
              <w:rPr>
                <w:rFonts w:ascii="Times New Roman" w:cs="Times New Roman" w:eastAsia="Times New Roman" w:hAnsi="Times New Roman"/>
                <w:sz w:val="16"/>
                <w:szCs w:val="16"/>
                <w:color w:val="auto"/>
              </w:rPr>
              <w:t>Net loss and comprehensive loss</w:t>
            </w:r>
          </w:p>
        </w:tc>
        <w:tc>
          <w:tcPr>
            <w:tcW w:w="1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(15,334)</w:t>
            </w:r>
          </w:p>
        </w:tc>
        <w:tc>
          <w:tcPr>
            <w:tcW w:w="3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(23,234)</w:t>
            </w:r>
          </w:p>
        </w:tc>
      </w:tr>
      <w:tr>
        <w:trPr>
          <w:trHeight w:val="20"/>
        </w:trPr>
        <w:tc>
          <w:tcPr>
            <w:tcW w:w="64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3"/>
        </w:trPr>
        <w:tc>
          <w:tcPr>
            <w:tcW w:w="6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 per common share, basic and diluted</w:t>
            </w:r>
          </w:p>
        </w:tc>
        <w:tc>
          <w:tcPr>
            <w:tcW w:w="1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(0.26)</w:t>
            </w:r>
          </w:p>
        </w:tc>
        <w:tc>
          <w:tcPr>
            <w:tcW w:w="3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(0.48)</w:t>
            </w:r>
          </w:p>
        </w:tc>
      </w:tr>
      <w:tr>
        <w:trPr>
          <w:trHeight w:val="183"/>
        </w:trPr>
        <w:tc>
          <w:tcPr>
            <w:tcW w:w="64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Weighted-average shares of common stock outstanding, basic and diluted</w:t>
            </w:r>
          </w:p>
        </w:tc>
        <w:tc>
          <w:tcPr>
            <w:tcW w:w="1620" w:type="dxa"/>
            <w:vAlign w:val="bottom"/>
            <w:tcBorders>
              <w:top w:val="single" w:sz="8" w:color="CFF0FC"/>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58,249,226</w:t>
            </w:r>
          </w:p>
        </w:tc>
        <w:tc>
          <w:tcPr>
            <w:tcW w:w="80" w:type="dxa"/>
            <w:vAlign w:val="bottom"/>
            <w:tcBorders>
              <w:top w:val="single" w:sz="8" w:color="CFF0FC"/>
            </w:tcBorders>
          </w:tcPr>
          <w:p>
            <w:pPr>
              <w:spacing w:after="0"/>
              <w:rPr>
                <w:sz w:val="15"/>
                <w:szCs w:val="15"/>
                <w:color w:val="auto"/>
              </w:rPr>
            </w:pPr>
          </w:p>
        </w:tc>
        <w:tc>
          <w:tcPr>
            <w:tcW w:w="40" w:type="dxa"/>
            <w:vAlign w:val="bottom"/>
            <w:tcBorders>
              <w:top w:val="single" w:sz="8" w:color="CFF0FC"/>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48,087,460</w:t>
            </w:r>
          </w:p>
        </w:tc>
        <w:tc>
          <w:tcPr>
            <w:tcW w:w="120" w:type="dxa"/>
            <w:vAlign w:val="bottom"/>
            <w:tcBorders>
              <w:top w:val="single" w:sz="8" w:color="CFF0FC"/>
            </w:tcBorders>
          </w:tcPr>
          <w:p>
            <w:pPr>
              <w:spacing w:after="0"/>
              <w:rPr>
                <w:sz w:val="15"/>
                <w:szCs w:val="15"/>
                <w:color w:val="auto"/>
              </w:rPr>
            </w:pPr>
          </w:p>
        </w:tc>
      </w:tr>
      <w:tr>
        <w:trPr>
          <w:trHeight w:val="20"/>
        </w:trPr>
        <w:tc>
          <w:tcPr>
            <w:tcW w:w="64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-1268095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-1268095</wp:posOffset>
            </wp:positionV>
            <wp:extent cx="774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-471170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-471170</wp:posOffset>
            </wp:positionV>
            <wp:extent cx="774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-179070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-162560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-179070</wp:posOffset>
            </wp:positionV>
            <wp:extent cx="77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-162560</wp:posOffset>
            </wp:positionV>
            <wp:extent cx="77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BioAtla,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Condensed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3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8"/>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43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40" w:type="dxa"/>
            <w:vAlign w:val="bottom"/>
            <w:gridSpan w:val="4"/>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center"/>
              <w:ind w:right="22"/>
              <w:spacing w:after="0" w:line="124"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4360" w:type="dxa"/>
            <w:vAlign w:val="bottom"/>
          </w:tcPr>
          <w:p>
            <w:pPr>
              <w:spacing w:after="0"/>
              <w:rPr>
                <w:sz w:val="12"/>
                <w:szCs w:val="12"/>
                <w:color w:val="auto"/>
              </w:rPr>
            </w:pPr>
          </w:p>
        </w:tc>
        <w:tc>
          <w:tcPr>
            <w:tcW w:w="1880" w:type="dxa"/>
            <w:vAlign w:val="bottom"/>
            <w:gridSpan w:val="4"/>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2"/>
                <w:szCs w:val="12"/>
                <w:color w:val="auto"/>
              </w:rPr>
            </w:pPr>
          </w:p>
        </w:tc>
        <w:tc>
          <w:tcPr>
            <w:tcW w:w="184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40" w:type="dxa"/>
            <w:vAlign w:val="bottom"/>
            <w:gridSpan w:val="3"/>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Stockholde</w:t>
            </w:r>
          </w:p>
        </w:tc>
        <w:tc>
          <w:tcPr>
            <w:tcW w:w="0" w:type="dxa"/>
            <w:vAlign w:val="bottom"/>
          </w:tcPr>
          <w:p>
            <w:pPr>
              <w:spacing w:after="0"/>
              <w:rPr>
                <w:sz w:val="1"/>
                <w:szCs w:val="1"/>
                <w:color w:val="auto"/>
              </w:rPr>
            </w:pPr>
          </w:p>
        </w:tc>
      </w:tr>
      <w:tr>
        <w:trPr>
          <w:trHeight w:val="162"/>
        </w:trPr>
        <w:tc>
          <w:tcPr>
            <w:tcW w:w="4360" w:type="dxa"/>
            <w:vAlign w:val="bottom"/>
          </w:tcPr>
          <w:p>
            <w:pPr>
              <w:spacing w:after="0"/>
              <w:rPr>
                <w:sz w:val="14"/>
                <w:szCs w:val="14"/>
                <w:color w:val="auto"/>
              </w:rPr>
            </w:pPr>
          </w:p>
        </w:tc>
        <w:tc>
          <w:tcPr>
            <w:tcW w:w="1880" w:type="dxa"/>
            <w:vAlign w:val="bottom"/>
            <w:tcBorders>
              <w:bottom w:val="single" w:sz="8" w:color="auto"/>
            </w:tcBorders>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rs’</w:t>
            </w: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880" w:type="dxa"/>
            <w:vAlign w:val="bottom"/>
            <w:tcBorders>
              <w:bottom w:val="single" w:sz="8" w:color="auto"/>
            </w:tcBorders>
          </w:tcPr>
          <w:p>
            <w:pPr>
              <w:jc w:val="right"/>
              <w:ind w:right="181"/>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840" w:type="dxa"/>
            <w:vAlign w:val="bottom"/>
            <w:tcBorders>
              <w:bottom w:val="single" w:sz="8" w:color="auto"/>
            </w:tcBorders>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02"/>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22"/>
              <w:spacing w:after="0" w:line="142"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3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58,099,164</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60" w:type="dxa"/>
            <w:vAlign w:val="bottom"/>
            <w:tcBorders>
              <w:left w:val="single" w:sz="8" w:color="CFF0FC"/>
              <w:right w:val="single" w:sz="8" w:color="CFF0FC"/>
            </w:tcBorders>
            <w:shd w:val="clear" w:color="auto" w:fill="CFF0FC"/>
          </w:tcPr>
          <w:p>
            <w:pPr>
              <w:spacing w:after="0"/>
              <w:rPr>
                <w:sz w:val="17"/>
                <w:szCs w:val="17"/>
                <w:color w:val="auto"/>
              </w:rPr>
            </w:pPr>
          </w:p>
        </w:tc>
        <w:tc>
          <w:tcPr>
            <w:tcW w:w="84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1"/>
                <w:szCs w:val="11"/>
                <w:color w:val="auto"/>
                <w:w w:val="72"/>
              </w:rPr>
              <w:t>—</w:t>
            </w:r>
          </w:p>
        </w:tc>
        <w:tc>
          <w:tcPr>
            <w:tcW w:w="280" w:type="dxa"/>
            <w:vAlign w:val="bottom"/>
            <w:tcBorders>
              <w:lef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1"/>
                <w:szCs w:val="11"/>
                <w:color w:val="auto"/>
                <w:w w:val="72"/>
              </w:rPr>
              <w:t>—</w:t>
            </w:r>
          </w:p>
        </w:tc>
        <w:tc>
          <w:tcPr>
            <w:tcW w:w="260" w:type="dxa"/>
            <w:vAlign w:val="bottom"/>
            <w:tcBorders>
              <w:lef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500,298</w:t>
            </w:r>
          </w:p>
        </w:tc>
        <w:tc>
          <w:tcPr>
            <w:tcW w:w="140" w:type="dxa"/>
            <w:vAlign w:val="bottom"/>
            <w:tcBorders>
              <w:left w:val="single" w:sz="8" w:color="CFF0FC"/>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(486,039)</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14,265</w:t>
            </w:r>
          </w:p>
        </w:tc>
        <w:tc>
          <w:tcPr>
            <w:tcW w:w="120" w:type="dxa"/>
            <w:vAlign w:val="bottom"/>
            <w:tcBorders>
              <w:left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40" w:type="dxa"/>
            <w:vAlign w:val="bottom"/>
          </w:tcPr>
          <w:p>
            <w:pPr>
              <w:ind w:left="720"/>
              <w:spacing w:after="0"/>
              <w:rPr>
                <w:sz w:val="20"/>
                <w:szCs w:val="20"/>
                <w:color w:val="auto"/>
              </w:rPr>
            </w:pPr>
            <w:r>
              <w:rPr>
                <w:rFonts w:ascii="Times New Roman" w:cs="Times New Roman" w:eastAsia="Times New Roman" w:hAnsi="Times New Roman"/>
                <w:sz w:val="11"/>
                <w:szCs w:val="11"/>
                <w:color w:val="auto"/>
                <w:w w:val="72"/>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ind w:left="600"/>
              <w:spacing w:after="0"/>
              <w:rPr>
                <w:sz w:val="20"/>
                <w:szCs w:val="20"/>
                <w:color w:val="auto"/>
              </w:rPr>
            </w:pPr>
            <w:r>
              <w:rPr>
                <w:rFonts w:ascii="Times New Roman" w:cs="Times New Roman" w:eastAsia="Times New Roman" w:hAnsi="Times New Roman"/>
                <w:sz w:val="11"/>
                <w:szCs w:val="11"/>
                <w:color w:val="auto"/>
                <w:w w:val="72"/>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3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Issuance of common stock under equity incentive plans, net of</w:t>
            </w:r>
          </w:p>
        </w:tc>
        <w:tc>
          <w:tcPr>
            <w:tcW w:w="880" w:type="dxa"/>
            <w:vAlign w:val="bottom"/>
            <w:shd w:val="clear" w:color="auto" w:fill="CFF0FC"/>
          </w:tcPr>
          <w:p>
            <w:pPr>
              <w:spacing w:after="0"/>
              <w:rPr>
                <w:sz w:val="16"/>
                <w:szCs w:val="16"/>
                <w:color w:val="auto"/>
              </w:rPr>
            </w:pPr>
          </w:p>
        </w:tc>
        <w:tc>
          <w:tcPr>
            <w:tcW w:w="12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60" w:type="dxa"/>
            <w:vAlign w:val="bottom"/>
            <w:tcBorders>
              <w:left w:val="single" w:sz="8" w:color="CFF0FC"/>
              <w:right w:val="single" w:sz="8" w:color="CFF0FC"/>
            </w:tcBorders>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60" w:type="dxa"/>
            <w:vAlign w:val="bottom"/>
            <w:tcBorders>
              <w:left w:val="single" w:sz="8" w:color="CFF0FC"/>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60" w:type="dxa"/>
            <w:vAlign w:val="bottom"/>
            <w:tcBorders>
              <w:left w:val="single" w:sz="8" w:color="CFF0FC"/>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40" w:type="dxa"/>
            <w:vAlign w:val="bottom"/>
            <w:tcBorders>
              <w:left w:val="single" w:sz="8" w:color="CFF0FC"/>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40" w:type="dxa"/>
            <w:vAlign w:val="bottom"/>
            <w:tcBorders>
              <w:left w:val="single" w:sz="8" w:color="CFF0FC"/>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20" w:type="dxa"/>
            <w:vAlign w:val="bottom"/>
            <w:tcBorders>
              <w:left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shares withheld for taxes</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301,983</w:t>
            </w:r>
          </w:p>
        </w:tc>
        <w:tc>
          <w:tcPr>
            <w:tcW w:w="1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left w:val="single" w:sz="8" w:color="CFF0FC"/>
              <w:right w:val="single" w:sz="8" w:color="CFF0FC"/>
            </w:tcBorders>
            <w:shd w:val="clear" w:color="auto" w:fill="CFF0FC"/>
          </w:tcPr>
          <w:p>
            <w:pPr>
              <w:spacing w:after="0"/>
              <w:rPr>
                <w:sz w:val="18"/>
                <w:szCs w:val="18"/>
                <w:color w:val="auto"/>
              </w:rPr>
            </w:pPr>
          </w:p>
        </w:tc>
        <w:tc>
          <w:tcPr>
            <w:tcW w:w="84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1"/>
                <w:szCs w:val="11"/>
                <w:color w:val="auto"/>
                <w:w w:val="72"/>
              </w:rPr>
              <w:t>—</w:t>
            </w:r>
          </w:p>
        </w:tc>
        <w:tc>
          <w:tcPr>
            <w:tcW w:w="160" w:type="dxa"/>
            <w:vAlign w:val="bottom"/>
            <w:tcBorders>
              <w:left w:val="single" w:sz="8" w:color="CFF0FC"/>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1"/>
                <w:szCs w:val="11"/>
                <w:color w:val="auto"/>
                <w:w w:val="72"/>
              </w:rPr>
              <w:t>—</w:t>
            </w:r>
          </w:p>
        </w:tc>
        <w:tc>
          <w:tcPr>
            <w:tcW w:w="160" w:type="dxa"/>
            <w:vAlign w:val="bottom"/>
            <w:tcBorders>
              <w:left w:val="single" w:sz="8" w:color="CFF0FC"/>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8"/>
                <w:szCs w:val="18"/>
                <w:color w:val="auto"/>
              </w:rPr>
            </w:pPr>
          </w:p>
        </w:tc>
        <w:tc>
          <w:tcPr>
            <w:tcW w:w="8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Taxes related to net share settlement of equity awards</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40" w:type="dxa"/>
            <w:vAlign w:val="bottom"/>
          </w:tcPr>
          <w:p>
            <w:pPr>
              <w:ind w:left="720"/>
              <w:spacing w:after="0"/>
              <w:rPr>
                <w:sz w:val="20"/>
                <w:szCs w:val="20"/>
                <w:color w:val="auto"/>
              </w:rPr>
            </w:pPr>
            <w:r>
              <w:rPr>
                <w:rFonts w:ascii="Times New Roman" w:cs="Times New Roman" w:eastAsia="Times New Roman" w:hAnsi="Times New Roman"/>
                <w:sz w:val="11"/>
                <w:szCs w:val="11"/>
                <w:color w:val="auto"/>
                <w:w w:val="72"/>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ind w:left="600"/>
              <w:spacing w:after="0"/>
              <w:rPr>
                <w:sz w:val="20"/>
                <w:szCs w:val="20"/>
                <w:color w:val="auto"/>
              </w:rPr>
            </w:pPr>
            <w:r>
              <w:rPr>
                <w:rFonts w:ascii="Times New Roman" w:cs="Times New Roman" w:eastAsia="Times New Roman" w:hAnsi="Times New Roman"/>
                <w:sz w:val="11"/>
                <w:szCs w:val="11"/>
                <w:color w:val="auto"/>
                <w:w w:val="72"/>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(29)</w:t>
            </w:r>
          </w:p>
        </w:tc>
        <w:tc>
          <w:tcPr>
            <w:tcW w:w="14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03"/>
        </w:trPr>
        <w:tc>
          <w:tcPr>
            <w:tcW w:w="43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left w:val="single" w:sz="8" w:color="CFF0FC"/>
              <w:right w:val="single" w:sz="8" w:color="CFF0FC"/>
            </w:tcBorders>
            <w:shd w:val="clear" w:color="auto" w:fill="CFF0FC"/>
          </w:tcPr>
          <w:p>
            <w:pPr>
              <w:spacing w:after="0"/>
              <w:rPr>
                <w:sz w:val="17"/>
                <w:szCs w:val="17"/>
                <w:color w:val="auto"/>
              </w:rPr>
            </w:pPr>
          </w:p>
        </w:tc>
        <w:tc>
          <w:tcPr>
            <w:tcW w:w="84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1"/>
                <w:szCs w:val="11"/>
                <w:color w:val="auto"/>
                <w:w w:val="72"/>
              </w:rPr>
              <w:t>—</w:t>
            </w:r>
          </w:p>
        </w:tc>
        <w:tc>
          <w:tcPr>
            <w:tcW w:w="160" w:type="dxa"/>
            <w:vAlign w:val="bottom"/>
            <w:tcBorders>
              <w:left w:val="single" w:sz="8" w:color="CFF0FC"/>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1"/>
                <w:szCs w:val="11"/>
                <w:color w:val="auto"/>
                <w:w w:val="72"/>
              </w:rPr>
              <w:t>—</w:t>
            </w:r>
          </w:p>
        </w:tc>
        <w:tc>
          <w:tcPr>
            <w:tcW w:w="160" w:type="dxa"/>
            <w:vAlign w:val="bottom"/>
            <w:tcBorders>
              <w:left w:val="single" w:sz="8" w:color="CFF0FC"/>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left w:val="single" w:sz="8" w:color="CFF0FC"/>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(15,334)</w:t>
            </w:r>
          </w:p>
        </w:tc>
        <w:tc>
          <w:tcPr>
            <w:tcW w:w="10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(15,334)</w:t>
            </w:r>
          </w:p>
        </w:tc>
        <w:tc>
          <w:tcPr>
            <w:tcW w:w="0" w:type="dxa"/>
            <w:vAlign w:val="bottom"/>
          </w:tcPr>
          <w:p>
            <w:pPr>
              <w:spacing w:after="0"/>
              <w:rPr>
                <w:sz w:val="1"/>
                <w:szCs w:val="1"/>
                <w:color w:val="auto"/>
              </w:rPr>
            </w:pPr>
          </w:p>
        </w:tc>
      </w:tr>
      <w:tr>
        <w:trPr>
          <w:trHeight w:val="20"/>
        </w:trPr>
        <w:tc>
          <w:tcPr>
            <w:tcW w:w="4360" w:type="dxa"/>
            <w:vAlign w:val="bottom"/>
            <w:tcBorders>
              <w:right w:val="single" w:sz="8" w:color="auto"/>
            </w:tcBorders>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Balance at March 31, 2025</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58,401,147</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60" w:type="dxa"/>
            <w:vAlign w:val="bottom"/>
          </w:tcPr>
          <w:p>
            <w:pPr>
              <w:spacing w:after="0"/>
              <w:rPr>
                <w:sz w:val="17"/>
                <w:szCs w:val="17"/>
                <w:color w:val="auto"/>
              </w:rPr>
            </w:pPr>
          </w:p>
        </w:tc>
        <w:tc>
          <w:tcPr>
            <w:tcW w:w="840" w:type="dxa"/>
            <w:vAlign w:val="bottom"/>
          </w:tcPr>
          <w:p>
            <w:pPr>
              <w:ind w:left="720"/>
              <w:spacing w:after="0"/>
              <w:rPr>
                <w:sz w:val="20"/>
                <w:szCs w:val="20"/>
                <w:color w:val="auto"/>
              </w:rPr>
            </w:pPr>
            <w:r>
              <w:rPr>
                <w:rFonts w:ascii="Times New Roman" w:cs="Times New Roman" w:eastAsia="Times New Roman" w:hAnsi="Times New Roman"/>
                <w:sz w:val="11"/>
                <w:szCs w:val="11"/>
                <w:color w:val="auto"/>
                <w:w w:val="72"/>
              </w:rPr>
              <w:t>—</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ind w:left="600"/>
              <w:spacing w:after="0"/>
              <w:rPr>
                <w:sz w:val="20"/>
                <w:szCs w:val="20"/>
                <w:color w:val="auto"/>
              </w:rPr>
            </w:pPr>
            <w:r>
              <w:rPr>
                <w:rFonts w:ascii="Times New Roman" w:cs="Times New Roman" w:eastAsia="Times New Roman" w:hAnsi="Times New Roman"/>
                <w:sz w:val="11"/>
                <w:szCs w:val="11"/>
                <w:color w:val="auto"/>
                <w:w w:val="72"/>
              </w:rPr>
              <w:t>—</w:t>
            </w:r>
          </w:p>
        </w:tc>
        <w:tc>
          <w:tcPr>
            <w:tcW w:w="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501,914</w:t>
            </w:r>
          </w:p>
        </w:tc>
        <w:tc>
          <w:tcPr>
            <w:tcW w:w="14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(501,373) $</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3"/>
        </w:trPr>
        <w:tc>
          <w:tcPr>
            <w:tcW w:w="436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8"/>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43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3"/>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center"/>
              <w:ind w:right="62"/>
              <w:spacing w:after="0" w:line="124"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4360" w:type="dxa"/>
            <w:vAlign w:val="bottom"/>
          </w:tcPr>
          <w:p>
            <w:pPr>
              <w:spacing w:after="0"/>
              <w:rPr>
                <w:sz w:val="12"/>
                <w:szCs w:val="12"/>
                <w:color w:val="auto"/>
              </w:rPr>
            </w:pPr>
          </w:p>
        </w:tc>
        <w:tc>
          <w:tcPr>
            <w:tcW w:w="1880" w:type="dxa"/>
            <w:vAlign w:val="bottom"/>
            <w:gridSpan w:val="4"/>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0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40" w:type="dxa"/>
            <w:vAlign w:val="bottom"/>
            <w:gridSpan w:val="3"/>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Stockholde</w:t>
            </w:r>
          </w:p>
        </w:tc>
        <w:tc>
          <w:tcPr>
            <w:tcW w:w="0" w:type="dxa"/>
            <w:vAlign w:val="bottom"/>
          </w:tcPr>
          <w:p>
            <w:pPr>
              <w:spacing w:after="0"/>
              <w:rPr>
                <w:sz w:val="1"/>
                <w:szCs w:val="1"/>
                <w:color w:val="auto"/>
              </w:rPr>
            </w:pPr>
          </w:p>
        </w:tc>
      </w:tr>
      <w:tr>
        <w:trPr>
          <w:trHeight w:val="162"/>
        </w:trPr>
        <w:tc>
          <w:tcPr>
            <w:tcW w:w="4360" w:type="dxa"/>
            <w:vAlign w:val="bottom"/>
          </w:tcPr>
          <w:p>
            <w:pPr>
              <w:spacing w:after="0"/>
              <w:rPr>
                <w:sz w:val="14"/>
                <w:szCs w:val="14"/>
                <w:color w:val="auto"/>
              </w:rPr>
            </w:pPr>
          </w:p>
        </w:tc>
        <w:tc>
          <w:tcPr>
            <w:tcW w:w="188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rs’</w:t>
            </w: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161"/>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840" w:type="dxa"/>
            <w:vAlign w:val="bottom"/>
            <w:tcBorders>
              <w:top w:val="single" w:sz="8" w:color="auto"/>
              <w:bottom w:val="single" w:sz="8" w:color="auto"/>
            </w:tcBorders>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62"/>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62"/>
              <w:spacing w:after="0" w:line="142"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3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48,077,599</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60" w:type="dxa"/>
            <w:vAlign w:val="bottom"/>
            <w:tcBorders>
              <w:left w:val="single" w:sz="8" w:color="CFF0FC"/>
              <w:right w:val="single" w:sz="8" w:color="CFF0FC"/>
            </w:tcBorders>
            <w:shd w:val="clear" w:color="auto" w:fill="CFF0FC"/>
          </w:tcPr>
          <w:p>
            <w:pPr>
              <w:spacing w:after="0"/>
              <w:rPr>
                <w:sz w:val="17"/>
                <w:szCs w:val="17"/>
                <w:color w:val="auto"/>
              </w:rPr>
            </w:pPr>
          </w:p>
        </w:tc>
        <w:tc>
          <w:tcPr>
            <w:tcW w:w="84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280" w:type="dxa"/>
            <w:vAlign w:val="bottom"/>
            <w:tcBorders>
              <w:left w:val="single" w:sz="8" w:color="CFF0FC"/>
            </w:tcBorders>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6"/>
                <w:szCs w:val="16"/>
                <w:color w:val="auto"/>
                <w:w w:val="87"/>
              </w:rPr>
              <w:t>—</w:t>
            </w:r>
          </w:p>
        </w:tc>
        <w:tc>
          <w:tcPr>
            <w:tcW w:w="260" w:type="dxa"/>
            <w:vAlign w:val="bottom"/>
            <w:tcBorders>
              <w:lef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486,930</w:t>
            </w:r>
          </w:p>
        </w:tc>
        <w:tc>
          <w:tcPr>
            <w:tcW w:w="140" w:type="dxa"/>
            <w:vAlign w:val="bottom"/>
            <w:tcBorders>
              <w:left w:val="single" w:sz="8" w:color="CFF0FC"/>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5"/>
                <w:szCs w:val="5"/>
                <w:color w:val="auto"/>
                <w:w w:val="78"/>
              </w:rPr>
              <w:t>$</w:t>
            </w:r>
          </w:p>
        </w:tc>
        <w:tc>
          <w:tcPr>
            <w:tcW w:w="86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(416,263)</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70,672</w:t>
            </w:r>
          </w:p>
        </w:tc>
        <w:tc>
          <w:tcPr>
            <w:tcW w:w="120" w:type="dxa"/>
            <w:vAlign w:val="bottom"/>
            <w:tcBorders>
              <w:left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40" w:type="dxa"/>
            <w:vAlign w:val="bottom"/>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ind w:left="54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3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Issuance of common stock under equity incentive plans, net of</w:t>
            </w:r>
          </w:p>
        </w:tc>
        <w:tc>
          <w:tcPr>
            <w:tcW w:w="880" w:type="dxa"/>
            <w:vAlign w:val="bottom"/>
            <w:shd w:val="clear" w:color="auto" w:fill="CFF0FC"/>
          </w:tcPr>
          <w:p>
            <w:pPr>
              <w:spacing w:after="0"/>
              <w:rPr>
                <w:sz w:val="16"/>
                <w:szCs w:val="16"/>
                <w:color w:val="auto"/>
              </w:rPr>
            </w:pPr>
          </w:p>
        </w:tc>
        <w:tc>
          <w:tcPr>
            <w:tcW w:w="12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60" w:type="dxa"/>
            <w:vAlign w:val="bottom"/>
            <w:tcBorders>
              <w:left w:val="single" w:sz="8" w:color="CFF0FC"/>
              <w:right w:val="single" w:sz="8" w:color="CFF0FC"/>
            </w:tcBorders>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60" w:type="dxa"/>
            <w:vAlign w:val="bottom"/>
            <w:tcBorders>
              <w:left w:val="single" w:sz="8" w:color="CFF0FC"/>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60" w:type="dxa"/>
            <w:vAlign w:val="bottom"/>
            <w:tcBorders>
              <w:left w:val="single" w:sz="8" w:color="CFF0FC"/>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40" w:type="dxa"/>
            <w:vAlign w:val="bottom"/>
            <w:tcBorders>
              <w:left w:val="single" w:sz="8" w:color="CFF0FC"/>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40" w:type="dxa"/>
            <w:vAlign w:val="bottom"/>
            <w:tcBorders>
              <w:left w:val="single" w:sz="8" w:color="CFF0FC"/>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20" w:type="dxa"/>
            <w:vAlign w:val="bottom"/>
            <w:tcBorders>
              <w:left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shares withheld for taxes</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28,718</w:t>
            </w:r>
          </w:p>
        </w:tc>
        <w:tc>
          <w:tcPr>
            <w:tcW w:w="1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left w:val="single" w:sz="8" w:color="CFF0FC"/>
              <w:right w:val="single" w:sz="8" w:color="CFF0FC"/>
            </w:tcBorders>
            <w:shd w:val="clear" w:color="auto" w:fill="CFF0FC"/>
          </w:tcPr>
          <w:p>
            <w:pPr>
              <w:spacing w:after="0"/>
              <w:rPr>
                <w:sz w:val="18"/>
                <w:szCs w:val="18"/>
                <w:color w:val="auto"/>
              </w:rPr>
            </w:pPr>
          </w:p>
        </w:tc>
        <w:tc>
          <w:tcPr>
            <w:tcW w:w="84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tcBorders>
              <w:left w:val="single" w:sz="8" w:color="CFF0FC"/>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tcBorders>
              <w:left w:val="single" w:sz="8" w:color="CFF0FC"/>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8"/>
                <w:szCs w:val="18"/>
                <w:color w:val="auto"/>
              </w:rPr>
            </w:pPr>
          </w:p>
        </w:tc>
        <w:tc>
          <w:tcPr>
            <w:tcW w:w="8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for Employee Stock Purchase Plan</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40" w:type="dxa"/>
            <w:vAlign w:val="bottom"/>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ind w:left="54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3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Taxes related to net share settlement of equity awards</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left w:val="single" w:sz="8" w:color="CFF0FC"/>
              <w:right w:val="single" w:sz="8" w:color="CFF0FC"/>
            </w:tcBorders>
            <w:shd w:val="clear" w:color="auto" w:fill="CFF0FC"/>
          </w:tcPr>
          <w:p>
            <w:pPr>
              <w:spacing w:after="0"/>
              <w:rPr>
                <w:sz w:val="17"/>
                <w:szCs w:val="17"/>
                <w:color w:val="auto"/>
              </w:rPr>
            </w:pPr>
          </w:p>
        </w:tc>
        <w:tc>
          <w:tcPr>
            <w:tcW w:w="84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tcBorders>
              <w:left w:val="single" w:sz="8" w:color="CFF0FC"/>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tcBorders>
              <w:left w:val="single" w:sz="8" w:color="CFF0FC"/>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(22)</w:t>
            </w:r>
          </w:p>
        </w:tc>
        <w:tc>
          <w:tcPr>
            <w:tcW w:w="140" w:type="dxa"/>
            <w:vAlign w:val="bottom"/>
            <w:shd w:val="clear" w:color="auto" w:fill="CFF0FC"/>
          </w:tcPr>
          <w:p>
            <w:pPr>
              <w:spacing w:after="0"/>
              <w:rPr>
                <w:sz w:val="17"/>
                <w:szCs w:val="17"/>
                <w:color w:val="auto"/>
              </w:rPr>
            </w:pPr>
          </w:p>
        </w:tc>
        <w:tc>
          <w:tcPr>
            <w:tcW w:w="8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03"/>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40" w:type="dxa"/>
            <w:vAlign w:val="bottom"/>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ind w:left="54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(23,234)</w:t>
            </w:r>
          </w:p>
        </w:tc>
        <w:tc>
          <w:tcPr>
            <w:tcW w:w="10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(23,234)</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3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March 31, 2024</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48,106,317</w:t>
            </w:r>
          </w:p>
        </w:tc>
        <w:tc>
          <w:tcPr>
            <w:tcW w:w="1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60" w:type="dxa"/>
            <w:vAlign w:val="bottom"/>
            <w:tcBorders>
              <w:left w:val="single" w:sz="8" w:color="CFF0FC"/>
              <w:right w:val="single" w:sz="8" w:color="CFF0FC"/>
            </w:tcBorders>
            <w:shd w:val="clear" w:color="auto" w:fill="CFF0FC"/>
          </w:tcPr>
          <w:p>
            <w:pPr>
              <w:spacing w:after="0"/>
              <w:rPr>
                <w:sz w:val="18"/>
                <w:szCs w:val="18"/>
                <w:color w:val="auto"/>
              </w:rPr>
            </w:pPr>
          </w:p>
        </w:tc>
        <w:tc>
          <w:tcPr>
            <w:tcW w:w="84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280" w:type="dxa"/>
            <w:vAlign w:val="bottom"/>
            <w:tcBorders>
              <w:left w:val="single" w:sz="8" w:color="CFF0FC"/>
            </w:tcBorders>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6"/>
                <w:szCs w:val="16"/>
                <w:color w:val="auto"/>
                <w:w w:val="87"/>
              </w:rPr>
              <w:t>—</w:t>
            </w:r>
          </w:p>
        </w:tc>
        <w:tc>
          <w:tcPr>
            <w:tcW w:w="260" w:type="dxa"/>
            <w:vAlign w:val="bottom"/>
            <w:tcBorders>
              <w:lef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489,208</w:t>
            </w:r>
          </w:p>
        </w:tc>
        <w:tc>
          <w:tcPr>
            <w:tcW w:w="140" w:type="dxa"/>
            <w:vAlign w:val="bottom"/>
            <w:tcBorders>
              <w:left w:val="single" w:sz="8" w:color="CFF0FC"/>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5"/>
                <w:szCs w:val="5"/>
                <w:color w:val="auto"/>
                <w:w w:val="78"/>
              </w:rPr>
              <w:t>$</w:t>
            </w:r>
          </w:p>
        </w:tc>
        <w:tc>
          <w:tcPr>
            <w:tcW w:w="9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(439,497) $</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49,716</w:t>
            </w:r>
          </w:p>
        </w:tc>
        <w:tc>
          <w:tcPr>
            <w:tcW w:w="12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-2228215</wp:posOffset>
            </wp:positionV>
            <wp:extent cx="774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-2228215</wp:posOffset>
            </wp:positionV>
            <wp:extent cx="774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-2228215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-2228215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-2228215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-2228215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-2228215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-24765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-7620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-24765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-7620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-24765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-7620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-24765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-7620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-24765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-24765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-7620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BioAtla,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78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7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960" w:type="dxa"/>
            <w:vAlign w:val="bottom"/>
            <w:gridSpan w:val="2"/>
          </w:tcPr>
          <w:p>
            <w:pPr>
              <w:jc w:val="right"/>
              <w:ind w:right="777"/>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(15,334)</w:t>
            </w:r>
          </w:p>
        </w:tc>
        <w:tc>
          <w:tcPr>
            <w:tcW w:w="10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(23,234)</w:t>
            </w:r>
          </w:p>
        </w:tc>
        <w:tc>
          <w:tcPr>
            <w:tcW w:w="0" w:type="dxa"/>
            <w:vAlign w:val="bottom"/>
          </w:tcPr>
          <w:p>
            <w:pPr>
              <w:spacing w:after="0"/>
              <w:rPr>
                <w:sz w:val="1"/>
                <w:szCs w:val="1"/>
                <w:color w:val="auto"/>
              </w:rPr>
            </w:pPr>
          </w:p>
        </w:tc>
      </w:tr>
      <w:tr>
        <w:trPr>
          <w:trHeight w:val="216"/>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0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0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(1,880)</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(2,988)</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(860)</w:t>
            </w:r>
          </w:p>
        </w:tc>
        <w:tc>
          <w:tcPr>
            <w:tcW w:w="0" w:type="dxa"/>
            <w:vAlign w:val="bottom"/>
          </w:tcPr>
          <w:p>
            <w:pPr>
              <w:spacing w:after="0"/>
              <w:rPr>
                <w:sz w:val="1"/>
                <w:szCs w:val="1"/>
                <w:color w:val="auto"/>
              </w:rPr>
            </w:pPr>
          </w:p>
        </w:tc>
      </w:tr>
      <w:tr>
        <w:trPr>
          <w:trHeight w:val="216"/>
        </w:trPr>
        <w:tc>
          <w:tcPr>
            <w:tcW w:w="6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0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(8,978)</w:t>
            </w:r>
          </w:p>
        </w:tc>
        <w:tc>
          <w:tcPr>
            <w:tcW w:w="0" w:type="dxa"/>
            <w:vAlign w:val="bottom"/>
          </w:tcPr>
          <w:p>
            <w:pPr>
              <w:spacing w:after="0"/>
              <w:rPr>
                <w:sz w:val="1"/>
                <w:szCs w:val="1"/>
                <w:color w:val="auto"/>
              </w:rPr>
            </w:pPr>
          </w:p>
        </w:tc>
      </w:tr>
      <w:tr>
        <w:trPr>
          <w:trHeight w:val="216"/>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Right-of-use assets and lease liabilities, net</w:t>
            </w:r>
          </w:p>
        </w:tc>
        <w:tc>
          <w:tcPr>
            <w:tcW w:w="1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(16,288)</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(30,828)</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00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Payment of financing costs</w:t>
            </w:r>
          </w:p>
        </w:tc>
        <w:tc>
          <w:tcPr>
            <w:tcW w:w="1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(366)</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Payments for taxes related to net settlement of equity awards</w:t>
            </w:r>
          </w:p>
        </w:tc>
        <w:tc>
          <w:tcPr>
            <w:tcW w:w="10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674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(395)</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0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(16,683)</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(30,841)</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0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111,471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960" w:type="dxa"/>
            <w:vAlign w:val="bottom"/>
            <w:gridSpan w:val="2"/>
            <w:shd w:val="clear" w:color="auto" w:fill="CFF0FC"/>
          </w:tcPr>
          <w:p>
            <w:pPr>
              <w:jc w:val="right"/>
              <w:ind w:right="777"/>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32,363</w:t>
            </w:r>
          </w:p>
        </w:tc>
        <w:tc>
          <w:tcPr>
            <w:tcW w:w="16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80,630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7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1000" w:type="dxa"/>
            <w:vAlign w:val="bottom"/>
            <w:tcBorders>
              <w:top w:val="single" w:sz="8" w:color="CFF0FC"/>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severance included in accounts payable and accrued expenses</w:t>
            </w:r>
          </w:p>
        </w:tc>
        <w:tc>
          <w:tcPr>
            <w:tcW w:w="100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777"/>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6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74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Unpaid deferred financing costs</w:t>
            </w:r>
          </w:p>
        </w:tc>
        <w:tc>
          <w:tcPr>
            <w:tcW w:w="1000" w:type="dxa"/>
            <w:vAlign w:val="bottom"/>
          </w:tcPr>
          <w:p>
            <w:pPr>
              <w:spacing w:after="0"/>
              <w:rPr>
                <w:sz w:val="17"/>
                <w:szCs w:val="17"/>
                <w:color w:val="auto"/>
              </w:rPr>
            </w:pPr>
          </w:p>
        </w:tc>
        <w:tc>
          <w:tcPr>
            <w:tcW w:w="960" w:type="dxa"/>
            <w:vAlign w:val="bottom"/>
          </w:tcPr>
          <w:p>
            <w:pPr>
              <w:jc w:val="right"/>
              <w:ind w:right="777"/>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160" w:type="dxa"/>
            <w:vAlign w:val="bottom"/>
          </w:tcPr>
          <w:p>
            <w:pPr>
              <w:spacing w:after="0"/>
              <w:rPr>
                <w:sz w:val="17"/>
                <w:szCs w:val="17"/>
                <w:color w:val="auto"/>
              </w:rPr>
            </w:pPr>
          </w:p>
        </w:tc>
        <w:tc>
          <w:tcPr>
            <w:tcW w:w="1060" w:type="dxa"/>
            <w:vAlign w:val="bottom"/>
            <w:gridSpan w:val="2"/>
          </w:tcPr>
          <w:p>
            <w:pPr>
              <w:jc w:val="right"/>
              <w:ind w:right="8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74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8"/>
                <w:szCs w:val="18"/>
                <w:color w:val="auto"/>
              </w:rPr>
              <w:t>Tax related to net settlement of equity awards included in accounts payable and</w:t>
            </w:r>
          </w:p>
        </w:tc>
        <w:tc>
          <w:tcPr>
            <w:tcW w:w="1000" w:type="dxa"/>
            <w:vAlign w:val="bottom"/>
            <w:vMerge w:val="restart"/>
            <w:shd w:val="clear" w:color="auto" w:fill="CFF0FC"/>
          </w:tcPr>
          <w:p>
            <w:pPr>
              <w:spacing w:after="0"/>
              <w:rPr>
                <w:sz w:val="15"/>
                <w:szCs w:val="15"/>
                <w:color w:val="auto"/>
              </w:rPr>
            </w:pPr>
          </w:p>
        </w:tc>
        <w:tc>
          <w:tcPr>
            <w:tcW w:w="960" w:type="dxa"/>
            <w:vAlign w:val="bottom"/>
            <w:vMerge w:val="restart"/>
            <w:shd w:val="clear" w:color="auto" w:fill="CFF0FC"/>
          </w:tcPr>
          <w:p>
            <w:pPr>
              <w:jc w:val="right"/>
              <w:ind w:right="777"/>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shd w:val="clear" w:color="auto" w:fill="CFF0FC"/>
          </w:tcPr>
          <w:p>
            <w:pPr>
              <w:spacing w:after="0"/>
              <w:rPr>
                <w:sz w:val="15"/>
                <w:szCs w:val="15"/>
                <w:color w:val="auto"/>
              </w:rPr>
            </w:pPr>
          </w:p>
        </w:tc>
        <w:tc>
          <w:tcPr>
            <w:tcW w:w="1060" w:type="dxa"/>
            <w:vAlign w:val="bottom"/>
            <w:gridSpan w:val="2"/>
            <w:vMerge w:val="restart"/>
            <w:shd w:val="clear" w:color="auto" w:fill="CFF0FC"/>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6740" w:type="dxa"/>
            <w:vAlign w:val="bottom"/>
            <w:shd w:val="clear" w:color="auto" w:fill="CFF0FC"/>
          </w:tcPr>
          <w:p>
            <w:pPr>
              <w:ind w:left="140"/>
              <w:spacing w:after="0" w:line="194" w:lineRule="exact"/>
              <w:rPr>
                <w:sz w:val="20"/>
                <w:szCs w:val="20"/>
                <w:color w:val="auto"/>
              </w:rPr>
            </w:pPr>
            <w:r>
              <w:rPr>
                <w:rFonts w:ascii="Times New Roman" w:cs="Times New Roman" w:eastAsia="Times New Roman" w:hAnsi="Times New Roman"/>
                <w:sz w:val="18"/>
                <w:szCs w:val="18"/>
                <w:color w:val="auto"/>
              </w:rPr>
              <w:t>accrued expenses</w:t>
            </w:r>
          </w:p>
        </w:tc>
        <w:tc>
          <w:tcPr>
            <w:tcW w:w="1000" w:type="dxa"/>
            <w:vAlign w:val="bottom"/>
            <w:vMerge w:val="continue"/>
            <w:shd w:val="clear" w:color="auto" w:fill="CFF0FC"/>
          </w:tcPr>
          <w:p>
            <w:pPr>
              <w:spacing w:after="0"/>
              <w:rPr>
                <w:sz w:val="18"/>
                <w:szCs w:val="18"/>
                <w:color w:val="auto"/>
              </w:rPr>
            </w:pPr>
          </w:p>
        </w:tc>
        <w:tc>
          <w:tcPr>
            <w:tcW w:w="960" w:type="dxa"/>
            <w:vAlign w:val="bottom"/>
            <w:vMerge w:val="continue"/>
            <w:shd w:val="clear" w:color="auto" w:fill="CFF0FC"/>
          </w:tcPr>
          <w:p>
            <w:pPr>
              <w:spacing w:after="0"/>
              <w:rPr>
                <w:sz w:val="18"/>
                <w:szCs w:val="18"/>
                <w:color w:val="auto"/>
              </w:rPr>
            </w:pPr>
          </w:p>
        </w:tc>
        <w:tc>
          <w:tcPr>
            <w:tcW w:w="600" w:type="dxa"/>
            <w:vAlign w:val="bottom"/>
            <w:vMerge w:val="continue"/>
            <w:shd w:val="clear" w:color="auto" w:fill="CFF0FC"/>
          </w:tcPr>
          <w:p>
            <w:pPr>
              <w:spacing w:after="0"/>
              <w:rPr>
                <w:sz w:val="18"/>
                <w:szCs w:val="18"/>
                <w:color w:val="auto"/>
              </w:rPr>
            </w:pPr>
          </w:p>
        </w:tc>
        <w:tc>
          <w:tcPr>
            <w:tcW w:w="160" w:type="dxa"/>
            <w:vAlign w:val="bottom"/>
            <w:vMerge w:val="continue"/>
            <w:shd w:val="clear" w:color="auto" w:fill="CFF0FC"/>
          </w:tcPr>
          <w:p>
            <w:pPr>
              <w:spacing w:after="0"/>
              <w:rPr>
                <w:sz w:val="18"/>
                <w:szCs w:val="18"/>
                <w:color w:val="auto"/>
              </w:rPr>
            </w:pPr>
          </w:p>
        </w:tc>
        <w:tc>
          <w:tcPr>
            <w:tcW w:w="1060" w:type="dxa"/>
            <w:vAlign w:val="bottom"/>
            <w:gridSpan w:val="2"/>
            <w:vMerge w:val="continue"/>
            <w:shd w:val="clear" w:color="auto" w:fill="CFF0FC"/>
          </w:tcPr>
          <w:p>
            <w:pPr>
              <w:spacing w:after="0"/>
              <w:rPr>
                <w:sz w:val="18"/>
                <w:szCs w:val="18"/>
                <w:color w:val="auto"/>
              </w:rPr>
            </w:pPr>
          </w:p>
        </w:tc>
        <w:tc>
          <w:tcPr>
            <w:tcW w:w="62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4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-1893570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-1893570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-1336675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-1336675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-762000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-744855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-762000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-744855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-462280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-445135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-445135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BioAtla,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BioAtla, LLC was formed in Delaware in March 2007 and was converted to a Delaware corporation in July 2020 and renamed BioAtla, Inc. (the “Company”). The Company has a proprietary platform for creating biologics, including its conditionally active biologics (“CAB” or “CABs”). CABs have been designed to be active only under certain conditions found in diseased tissue, while remaining inactive in normal tissue. The Company is currently in clinical development of several CAB drug candidates including: its two lead CAB antibody drug conjugates (“CAB ADC”), mecbotamab vedotin (BA3011), a CAB ADC targeting AXL and ozuriftamab vedotin (BA3021), a CAB ADC targeting ROR2; evalstotug (BA3071), a CAB anti-CTLA-4 antibody; and BA3182 (CAB-EpCAM x CAB-CD3), a CAB bispecific antibody targeting EpCAM.</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unaudited condensed financial statements as of March 31, 2025, and for the three months ended March 31, 2025 and 2024, have been prepared in accordance with the rules and regulations of the Securities and Exchange Commission (“SEC”), and with accounting principles generally accepted in the United States (“GAAP”) applicable to interim financial statements. These unaudited condensed financial statements have been prepared on the same basis as the audited financial statements and include all adjustments, consisting of only normal recurring accruals, which in the opinion of management are necessary to present fairly the Company’s financial position as of the interim date and results of operations for the interim periods presented. Interim results are not necessarily indicative of results for a full year or future periods. These unaudited condensed financial statements should be read in conjunction with the Company’s audited financial statements for the year ended December 31, 2024, included in its Annual Report on Form 10-K filed with the SEC on March 28, 2025.</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Company has incurred cumulative operating losses and negative cash flows from operations since its inception and expects to continue to incur significant expenses and operating losses for the foreseeable future as it continues development of its product candidates. As of March 31, 2025, the Company had an accumulated deficit of $501.4 million. The Company plans to continue to fund its losses from operations and capital funding needs through public or private equity or debt financings, or other sources. If the Company is not able to secure adequate additional funding, the Company may be forced to make reductions in spending, extend payment terms with suppliers, liquidate assets where possible, or suspend or curtail planned programs. Any of these actions could materially harm the Company’s business, results of operations and future prospects.</w:t>
      </w:r>
    </w:p>
    <w:p>
      <w:pPr>
        <w:spacing w:after="0" w:line="160"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In January 2023, the Company entered into an Open Market Sale Agreement (the “Sales Agreement”) with Jefferies LLC pursuant to which the Company may, from time to time at its sole discretion, sell shares of the Company’s common stock, with aggregate gross sales proceeds of up to $100.0 million, pursuant to the Company’s then-effective shelf registration statement on Form S-3 (File No. 333-262528) which expired in February 2025. The Company has not sold any shares of its common stock under the Sales Agreement as of March 31, 2025.</w:t>
      </w:r>
    </w:p>
    <w:p>
      <w:pPr>
        <w:spacing w:after="0" w:line="166"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Management is required to perform a two-step analysis of the Company’s ability to continue as a going concern. Management must first evaluate whether there are conditions and events that raise substantial doubt about the Company’s ability to continue as a going concern (Step 1). If management concludes that substantial doubt is raised, management is also required to consider whether its plans alleviate that doubt (Step 2). Management’s assessment concluded that there is substantial doubt about the Company’s ability to continue as a going concern for a period of at least one year from the issuance date of these financial statements.</w:t>
      </w:r>
    </w:p>
    <w:p>
      <w:pPr>
        <w:spacing w:after="0" w:line="15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Company has prepared its financial statements on a going concern basis, which assumes that the Company will realize its assets and satisfy its liabilities in the normal course of business. The accompanying financial statements do not include any adjustments to reflect the possible future effects on the recoverability and classification of assets or the amounts and classifications of liabilities that may result from the outcome of the uncertainty concerning the Company’s ability to continue as a going concern.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300" w:firstLine="509"/>
        <w:spacing w:after="0" w:line="254" w:lineRule="auto"/>
        <w:rPr>
          <w:sz w:val="20"/>
          <w:szCs w:val="20"/>
          <w:color w:val="auto"/>
        </w:rPr>
      </w:pPr>
      <w:r>
        <w:rPr>
          <w:rFonts w:ascii="Times New Roman" w:cs="Times New Roman" w:eastAsia="Times New Roman" w:hAnsi="Times New Roman"/>
          <w:sz w:val="18"/>
          <w:szCs w:val="18"/>
          <w:color w:val="auto"/>
        </w:rPr>
        <w:t>The preparation of the Company’s financial statements requires it to make estimates and assumptions that impact the reported amounts of assets, liabilities, revenues and expenses and the disclosure of contingent assets and liabilities in the Company’s condensed financial statements and accompanying notes. The most significant estimates in the Company’s financial statements relate to revenue recognition, accruals for research and development costs, and equity-based compensation. These estimates and assumptions are based on current facts, historical experience and various other factors believed to be reasonable under the circumstances, the results of which</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ind w:right="160"/>
        <w:spacing w:after="0" w:line="266" w:lineRule="auto"/>
        <w:rPr>
          <w:sz w:val="20"/>
          <w:szCs w:val="20"/>
          <w:color w:val="auto"/>
        </w:rPr>
      </w:pPr>
      <w:r>
        <w:rPr>
          <w:rFonts w:ascii="Times New Roman" w:cs="Times New Roman" w:eastAsia="Times New Roman" w:hAnsi="Times New Roman"/>
          <w:sz w:val="18"/>
          <w:szCs w:val="18"/>
          <w:color w:val="auto"/>
        </w:rPr>
        <w:t>form the basis for making judgments about the carrying values of assets and liabilities and the recording of revenue and expenses that are not readily apparent from other sources. Actual results may differ materially and adversely from these estimates. To the extent there are material differences between the estimates and actual results, the Company’s future results of operations will be affected.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with original maturities of 90 days or less at the date of purchase to be cash equivalents. Cash equivalents consist of highly rated securities including U.S. Government and U.S. Treasury money market funds, which are unrestricted as to withdrawal or use.</w:t>
      </w:r>
    </w:p>
    <w:p>
      <w:pPr>
        <w:spacing w:after="0" w:line="14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a significant concentration of credit risk consist primarily of cash and cash equivalents. The Company maintains deposits in federally insured financial institutions in excess of federally insured limits and may invest cash that is not required for immediate operating needs in highly liquid instruments that bear minimal risk. The Company has not experienced any losses in such accounts and management believes that the Company is not exposed to significant credit risk due to the financial position of the depository institutions in which those deposits are held.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Stock-based compensation expense represents the grant date fair value of equity awards, consisting of stock options, restricted stock units (“RSUs”) and employee stock purchase plan rights, over the requisite service period of the awards (usually the vesting period) on a straight-line basis. The Company estimates the fair value of stock option grants and employee stock purchase plan rights using the Black-Scholes option pricing model. The fair value of RSUs is based on the closing sales price of the Company’s common stock on the date of grant. Equity award forfeitures are recognized as they occur.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An arrangement is or contains a lease if it conveys the right to control the use of an identified asset for a period of time in exchange for consideration. If a lease is identified, classification is determined at lease commencement. Operating lease liabilities are recognized at the present value of the future lease payments at the lease commencement date. The Company’s leases do not provide an implicit interest rate and therefore the Company estimates its incremental borrowing rate to discount lease payments. The incremental borrowing rate reflects the interest rate that the Company would have to pay to borrow on a collateralized basis an amount equal to the lease payments in a similar economic environment over a similar term. Operating lease right-of-use (“ROU”) assets are based on the corresponding lease liability adjusted for any lease payments made at or before commencement, initial direct costs, and lease incentives. Renewals or early terminations are not accounted for unless the Company is reasonably certain to exercise these options. Operating lease expense is recognized and the ROU asset is amortized on a straight-line basis over the lease term. Variable lease costs are recognized as incurred and are not included in the calculation of the ROU asset or the related lease liability.</w:t>
      </w:r>
    </w:p>
    <w:p>
      <w:pPr>
        <w:spacing w:after="0" w:line="175"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Company has a single lease agreement with lease and non-lease components, which are accounted for as a single lease component. Payments for short-term leases, defined as leases with a term of twelve months or less, are expensed on a straight-line basis over the lease term. The Company does not currently have any short-term leases.</w:t>
      </w:r>
    </w:p>
    <w:p>
      <w:pPr>
        <w:spacing w:after="0" w:line="149" w:lineRule="exact"/>
        <w:rPr>
          <w:sz w:val="20"/>
          <w:szCs w:val="20"/>
          <w:color w:val="auto"/>
        </w:rPr>
      </w:pPr>
    </w:p>
    <w:p>
      <w:pPr>
        <w:jc w:val="both"/>
        <w:ind w:right="180" w:firstLine="509"/>
        <w:spacing w:after="0" w:line="282" w:lineRule="auto"/>
        <w:rPr>
          <w:sz w:val="20"/>
          <w:szCs w:val="20"/>
          <w:color w:val="auto"/>
        </w:rPr>
      </w:pPr>
      <w:r>
        <w:rPr>
          <w:rFonts w:ascii="Times New Roman" w:cs="Times New Roman" w:eastAsia="Times New Roman" w:hAnsi="Times New Roman"/>
          <w:sz w:val="18"/>
          <w:szCs w:val="18"/>
          <w:color w:val="auto"/>
        </w:rPr>
        <w:t>Operating leases are included in operating lease right-of-use assets, and operating lease liabilities on the Company’s balance sheets. The Company does not have any finance leases.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Comprehensive loss is defined as a change in equity during a period from transactions and other events and circumstances from non-owner sources, and consists of net loss and other comprehensive gain (loss). There have been no items qualifying as other comprehensive loss and, therefore, for all periods presented, the Company’s comprehensive loss was the same as its reported net loss.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right="200" w:firstLine="509"/>
        <w:spacing w:after="0" w:line="254" w:lineRule="auto"/>
        <w:rPr>
          <w:sz w:val="20"/>
          <w:szCs w:val="20"/>
          <w:color w:val="auto"/>
        </w:rPr>
      </w:pPr>
      <w:r>
        <w:rPr>
          <w:rFonts w:ascii="Times New Roman" w:cs="Times New Roman" w:eastAsia="Times New Roman" w:hAnsi="Times New Roman"/>
          <w:sz w:val="18"/>
          <w:szCs w:val="18"/>
          <w:color w:val="auto"/>
        </w:rPr>
        <w:t>Basic net loss per common share is computed by dividing the net loss by the weighted-average number of common shares outstanding for the period, without consideration for potentially dilutive securities. Diluted net loss per share is computed by dividing the net loss by the weighted-average number of common shares and dilutive common stock equivalents outstanding for the period determined using the treasury-stock method. Dilutive common stock equivalents are comprised of RSUs, common stock options outstanding under the Company’s stock option plan, and contingently issuable shares under the BioAtla, Inc. Employee Stock Purchase Plan (the “ESPP”).</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 w:name="page9"/>
    <w:bookmarkEnd w:id="8"/>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Potentially dilutive securities not included in the calculation of diluted net loss per common share because to do so would be anti-dilutive are as follows (in common stock equivalents):</w:t>
      </w:r>
    </w:p>
    <w:p>
      <w:pPr>
        <w:spacing w:after="0" w:line="209"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4"/>
          <w:szCs w:val="14"/>
          <w:b w:val="1"/>
          <w:bCs w:val="1"/>
          <w:color w:val="auto"/>
        </w:rPr>
        <w:t>As of March 31,</w:t>
      </w:r>
    </w:p>
    <w:p>
      <w:pPr>
        <w:spacing w:after="0" w:line="12" w:lineRule="exact"/>
        <w:rPr>
          <w:sz w:val="20"/>
          <w:szCs w:val="20"/>
          <w:color w:val="auto"/>
        </w:rPr>
      </w:pPr>
    </w:p>
    <w:tbl>
      <w:tblPr>
        <w:tblLayout w:type="fixed"/>
        <w:tblInd w:w="1080" w:type="dxa"/>
        <w:tblCellMar>
          <w:top w:w="0" w:type="dxa"/>
          <w:left w:w="0" w:type="dxa"/>
          <w:bottom w:w="0" w:type="dxa"/>
          <w:right w:w="0" w:type="dxa"/>
        </w:tblCellMar>
      </w:tblPr>
      <w:tr>
        <w:trPr>
          <w:trHeight w:val="142"/>
        </w:trPr>
        <w:tc>
          <w:tcPr>
            <w:tcW w:w="4860" w:type="dxa"/>
            <w:vAlign w:val="bottom"/>
          </w:tcPr>
          <w:p>
            <w:pPr>
              <w:spacing w:after="0"/>
              <w:rPr>
                <w:sz w:val="12"/>
                <w:szCs w:val="12"/>
                <w:color w:val="auto"/>
              </w:rPr>
            </w:pPr>
          </w:p>
        </w:tc>
        <w:tc>
          <w:tcPr>
            <w:tcW w:w="1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00" w:type="dxa"/>
            <w:vAlign w:val="bottom"/>
            <w:tcBorders>
              <w:top w:val="single" w:sz="8" w:color="auto"/>
              <w:bottom w:val="single" w:sz="8" w:color="auto"/>
            </w:tcBorders>
          </w:tcPr>
          <w:p>
            <w:pPr>
              <w:jc w:val="right"/>
              <w:ind w:right="7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210"/>
        </w:trPr>
        <w:tc>
          <w:tcPr>
            <w:tcW w:w="5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9,679,158</w:t>
            </w:r>
          </w:p>
        </w:tc>
        <w:tc>
          <w:tcPr>
            <w:tcW w:w="240" w:type="dxa"/>
            <w:vAlign w:val="bottom"/>
            <w:shd w:val="clear" w:color="auto" w:fill="CFF0FC"/>
          </w:tcPr>
          <w:p>
            <w:pPr>
              <w:spacing w:after="0"/>
              <w:rPr>
                <w:sz w:val="18"/>
                <w:szCs w:val="18"/>
                <w:color w:val="auto"/>
              </w:rPr>
            </w:pPr>
          </w:p>
        </w:tc>
        <w:tc>
          <w:tcPr>
            <w:tcW w:w="2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options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6,061,630</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6,276,230</w:t>
            </w:r>
          </w:p>
        </w:tc>
        <w:tc>
          <w:tcPr>
            <w:tcW w:w="80" w:type="dxa"/>
            <w:vAlign w:val="bottom"/>
          </w:tcPr>
          <w:p>
            <w:pPr>
              <w:spacing w:after="0"/>
              <w:rPr>
                <w:sz w:val="18"/>
                <w:szCs w:val="18"/>
                <w:color w:val="auto"/>
              </w:rPr>
            </w:pPr>
          </w:p>
        </w:tc>
      </w:tr>
      <w:tr>
        <w:trPr>
          <w:trHeight w:val="216"/>
        </w:trPr>
        <w:tc>
          <w:tcPr>
            <w:tcW w:w="5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2,911,500</w:t>
            </w:r>
          </w:p>
        </w:tc>
        <w:tc>
          <w:tcPr>
            <w:tcW w:w="2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1,561,042</w:t>
            </w:r>
          </w:p>
        </w:tc>
        <w:tc>
          <w:tcPr>
            <w:tcW w:w="80" w:type="dxa"/>
            <w:vAlign w:val="bottom"/>
            <w:shd w:val="clear" w:color="auto" w:fill="CFF0FC"/>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ESPP shares</w:t>
            </w:r>
          </w:p>
        </w:tc>
        <w:tc>
          <w:tcPr>
            <w:tcW w:w="1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142,047</w:t>
            </w:r>
          </w:p>
        </w:tc>
        <w:tc>
          <w:tcPr>
            <w:tcW w:w="240" w:type="dxa"/>
            <w:vAlign w:val="bottom"/>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172,009</w:t>
            </w:r>
          </w:p>
        </w:tc>
        <w:tc>
          <w:tcPr>
            <w:tcW w:w="80" w:type="dxa"/>
            <w:vAlign w:val="bottom"/>
          </w:tcPr>
          <w:p>
            <w:pPr>
              <w:spacing w:after="0"/>
              <w:rPr>
                <w:sz w:val="18"/>
                <w:szCs w:val="18"/>
                <w:color w:val="auto"/>
              </w:rPr>
            </w:pPr>
          </w:p>
        </w:tc>
      </w:tr>
      <w:tr>
        <w:trPr>
          <w:trHeight w:val="250"/>
        </w:trPr>
        <w:tc>
          <w:tcPr>
            <w:tcW w:w="4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18,794,335</w:t>
            </w:r>
          </w:p>
        </w:tc>
        <w:tc>
          <w:tcPr>
            <w:tcW w:w="240" w:type="dxa"/>
            <w:vAlign w:val="bottom"/>
            <w:tcBorders>
              <w:bottom w:val="single" w:sz="8" w:color="CFF0FC"/>
            </w:tcBorders>
            <w:shd w:val="clear" w:color="auto" w:fill="CFF0FC"/>
          </w:tcPr>
          <w:p>
            <w:pPr>
              <w:spacing w:after="0"/>
              <w:rPr>
                <w:sz w:val="21"/>
                <w:szCs w:val="21"/>
                <w:color w:val="auto"/>
              </w:rPr>
            </w:pPr>
          </w:p>
        </w:tc>
        <w:tc>
          <w:tcPr>
            <w:tcW w:w="2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8,009,281</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-24765</wp:posOffset>
            </wp:positionV>
            <wp:extent cx="596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-7620</wp:posOffset>
            </wp:positionV>
            <wp:extent cx="5969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-24765</wp:posOffset>
            </wp:positionV>
            <wp:extent cx="514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-7620</wp:posOffset>
            </wp:positionV>
            <wp:extent cx="514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There were no new accounting standards that had a material impact on the Company’s financial statements during the three months ended March 31,</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180"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 Update (“ASU”) No. 2023 07, “Segment Reporting (Topic 280) - Improvements to Reportable Segment Disclosures,” which is intended to improve reportable segment disclosure requirements, primarily through enhanced disclosures about significant segment expenses. Effective January 1, 2024, the Company adopted the new standard on a retrospective basis for annual periods, and interim periods beginning for the first quarter of 2025. The Company has included the new disclosures in Note 11 to the financial statements.</w:t>
      </w:r>
    </w:p>
    <w:p>
      <w:pPr>
        <w:spacing w:after="0" w:line="156"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ASU 2023-09 requires disaggregated information about a reporting entity's effective tax rate reconciliation as well as information on income taxes paid. ASU 2023-09 is effective for public entities with annual periods beginning after December 15, 2024, with early adoption permitted. The Company is currently evaluating the impact of this guidance on its financial statements.</w:t>
      </w:r>
    </w:p>
    <w:p>
      <w:pPr>
        <w:spacing w:after="0" w:line="166"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 - Reporting Comprehensive Income - Expense Disaggregation Disclosures (Subtopic 220-40): Disaggregation of Income Statement Expenses,” which requires public entities, at annual and interim reporting periods, to disclose in a tabular format additional information about specific expense categories in the notes to the financial statements. ASU 2024-03 is effective for annual reporting periods beginning after December 15, 2026, and interim reporting periods beginning after December 15, 2027, with early adoption permitted. The Company is currently evaluating the impact of this guidance on its financial statements.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Balance Sheet Details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22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research and development</w:t>
            </w:r>
          </w:p>
        </w:tc>
        <w:tc>
          <w:tcPr>
            <w:tcW w:w="224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4,208</w:t>
            </w:r>
          </w:p>
        </w:tc>
        <w:tc>
          <w:tcPr>
            <w:tcW w:w="220" w:type="dxa"/>
            <w:vAlign w:val="bottom"/>
            <w:tcBorders>
              <w:right w:val="single" w:sz="8" w:color="CFF0FC"/>
            </w:tcBorders>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1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prepaid expenses and current assets</w:t>
            </w:r>
          </w:p>
        </w:tc>
        <w:tc>
          <w:tcPr>
            <w:tcW w:w="110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20" w:type="dxa"/>
            <w:vAlign w:val="bottom"/>
            <w:tcBorders>
              <w:bottom w:val="single" w:sz="8" w:color="CFF0FC"/>
              <w:right w:val="single" w:sz="8" w:color="CFF0FC"/>
            </w:tcBorders>
            <w:shd w:val="clear" w:color="auto" w:fill="CFF0FC"/>
          </w:tcPr>
          <w:p>
            <w:pPr>
              <w:spacing w:after="0"/>
              <w:rPr>
                <w:sz w:val="18"/>
                <w:szCs w:val="18"/>
                <w:color w:val="auto"/>
              </w:rPr>
            </w:pPr>
          </w:p>
        </w:tc>
        <w:tc>
          <w:tcPr>
            <w:tcW w:w="200" w:type="dxa"/>
            <w:vAlign w:val="bottom"/>
            <w:tcBorders>
              <w:bottom w:val="single" w:sz="8" w:color="auto"/>
              <w:right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80" w:type="dxa"/>
            <w:vAlign w:val="bottom"/>
            <w:tcBorders>
              <w:bottom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2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5,174</w:t>
            </w:r>
          </w:p>
        </w:tc>
        <w:tc>
          <w:tcPr>
            <w:tcW w:w="22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8"/>
                <w:szCs w:val="18"/>
                <w:color w:val="auto"/>
              </w:rPr>
              <w:t>Property and equipment consist of the following (in thousands):</w:t>
            </w:r>
          </w:p>
        </w:tc>
        <w:tc>
          <w:tcPr>
            <w:tcW w:w="1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340" w:type="dxa"/>
            <w:vAlign w:val="bottom"/>
            <w:gridSpan w:val="2"/>
            <w:vMerge w:val="continue"/>
          </w:tcPr>
          <w:p>
            <w:pPr>
              <w:spacing w:after="0"/>
              <w:rPr>
                <w:sz w:val="24"/>
                <w:szCs w:val="24"/>
                <w:color w:val="auto"/>
              </w:rPr>
            </w:pP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1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4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1980" w:type="dxa"/>
            <w:vAlign w:val="bottom"/>
            <w:gridSpan w:val="2"/>
            <w:shd w:val="clear" w:color="auto" w:fill="CFF0FC"/>
          </w:tcPr>
          <w:p>
            <w:pPr>
              <w:jc w:val="center"/>
              <w:ind w:left="1250"/>
              <w:spacing w:after="0"/>
              <w:rPr>
                <w:sz w:val="20"/>
                <w:szCs w:val="20"/>
                <w:color w:val="auto"/>
              </w:rPr>
            </w:pPr>
            <w:r>
              <w:rPr>
                <w:rFonts w:ascii="Times New Roman" w:cs="Times New Roman" w:eastAsia="Times New Roman" w:hAnsi="Times New Roman"/>
                <w:sz w:val="18"/>
                <w:szCs w:val="18"/>
                <w:color w:val="auto"/>
                <w:w w:val="96"/>
              </w:rPr>
              <w:t>3 - 7</w:t>
            </w:r>
          </w:p>
        </w:tc>
        <w:tc>
          <w:tcPr>
            <w:tcW w:w="26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1,721</w:t>
            </w:r>
          </w:p>
        </w:tc>
        <w:tc>
          <w:tcPr>
            <w:tcW w:w="20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1980" w:type="dxa"/>
            <w:vAlign w:val="bottom"/>
            <w:gridSpan w:val="2"/>
          </w:tcPr>
          <w:p>
            <w:pPr>
              <w:jc w:val="center"/>
              <w:ind w:left="1250"/>
              <w:spacing w:after="0"/>
              <w:rPr>
                <w:sz w:val="20"/>
                <w:szCs w:val="20"/>
                <w:color w:val="auto"/>
              </w:rPr>
            </w:pPr>
            <w:r>
              <w:rPr>
                <w:rFonts w:ascii="Times New Roman" w:cs="Times New Roman" w:eastAsia="Times New Roman" w:hAnsi="Times New Roman"/>
                <w:sz w:val="18"/>
                <w:szCs w:val="18"/>
                <w:color w:val="auto"/>
                <w:w w:val="88"/>
              </w:rPr>
              <w:t>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2,280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980" w:type="dxa"/>
            <w:vAlign w:val="bottom"/>
            <w:tcBorders>
              <w:bottom w:val="single" w:sz="8" w:color="CFF0FC"/>
            </w:tcBorders>
            <w:gridSpan w:val="2"/>
            <w:shd w:val="clear" w:color="auto" w:fill="CFF0FC"/>
          </w:tcPr>
          <w:p>
            <w:pPr>
              <w:jc w:val="center"/>
              <w:ind w:left="1250"/>
              <w:spacing w:after="0"/>
              <w:rPr>
                <w:sz w:val="20"/>
                <w:szCs w:val="20"/>
                <w:color w:val="auto"/>
              </w:rPr>
            </w:pPr>
            <w:r>
              <w:rPr>
                <w:rFonts w:ascii="Times New Roman" w:cs="Times New Roman" w:eastAsia="Times New Roman" w:hAnsi="Times New Roman"/>
                <w:sz w:val="18"/>
                <w:szCs w:val="18"/>
                <w:color w:val="auto"/>
                <w:w w:val="96"/>
              </w:rPr>
              <w:t>2 - 3</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right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3,680</w:t>
            </w:r>
          </w:p>
        </w:tc>
        <w:tc>
          <w:tcPr>
            <w:tcW w:w="200" w:type="dxa"/>
            <w:vAlign w:val="bottom"/>
            <w:tcBorders>
              <w:bottom w:val="single" w:sz="8" w:color="CFF0FC"/>
              <w:right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3,680</w:t>
            </w:r>
          </w:p>
        </w:tc>
        <w:tc>
          <w:tcPr>
            <w:tcW w:w="80" w:type="dxa"/>
            <w:vAlign w:val="bottom"/>
            <w:tcBorders>
              <w:bottom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7,681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7,681</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tcBorders>
              <w:right w:val="single" w:sz="8" w:color="CFF0FC"/>
            </w:tcBorders>
            <w:gridSpan w:val="3"/>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(7,186)</w:t>
            </w:r>
          </w:p>
        </w:tc>
        <w:tc>
          <w:tcPr>
            <w:tcW w:w="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(7,003)</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0" w:lineRule="exact"/>
              <w:rPr>
                <w:sz w:val="1"/>
                <w:szCs w:val="1"/>
                <w:color w:val="auto"/>
              </w:rPr>
            </w:pPr>
          </w:p>
        </w:tc>
        <w:tc>
          <w:tcPr>
            <w:tcW w:w="420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vMerge w:val="continue"/>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495</w:t>
            </w:r>
          </w:p>
        </w:tc>
        <w:tc>
          <w:tcPr>
            <w:tcW w:w="2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100" w:type="dxa"/>
            <w:vAlign w:val="bottom"/>
            <w:vMerge w:val="restart"/>
          </w:tcPr>
          <w:p>
            <w:pPr>
              <w:jc w:val="right"/>
              <w:ind w:right="690"/>
              <w:spacing w:after="0"/>
              <w:rPr>
                <w:sz w:val="20"/>
                <w:szCs w:val="20"/>
                <w:color w:val="auto"/>
              </w:rPr>
            </w:pPr>
            <w:r>
              <w:rPr>
                <w:rFonts w:ascii="Times New Roman" w:cs="Times New Roman" w:eastAsia="Times New Roman" w:hAnsi="Times New Roman"/>
                <w:sz w:val="18"/>
                <w:szCs w:val="18"/>
                <w:color w:val="auto"/>
              </w:rPr>
              <w:t>7</w:t>
            </w: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42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-2433955</wp:posOffset>
            </wp:positionV>
            <wp:extent cx="514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-2433955</wp:posOffset>
            </wp:positionV>
            <wp:extent cx="514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-1224915</wp:posOffset>
            </wp:positionV>
            <wp:extent cx="5143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-1224915</wp:posOffset>
            </wp:positionV>
            <wp:extent cx="5143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-942340</wp:posOffset>
            </wp:positionV>
            <wp:extent cx="514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-942340</wp:posOffset>
            </wp:positionV>
            <wp:extent cx="514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 w:name="page10"/>
    <w:bookmarkEnd w:id="9"/>
    <w:p>
      <w:pPr>
        <w:ind w:left="520"/>
        <w:spacing w:after="0"/>
        <w:rPr>
          <w:sz w:val="20"/>
          <w:szCs w:val="20"/>
          <w:color w:val="auto"/>
        </w:rPr>
      </w:pPr>
      <w:r>
        <w:rPr>
          <w:rFonts w:ascii="Times New Roman" w:cs="Times New Roman" w:eastAsia="Times New Roman" w:hAnsi="Times New Roman"/>
          <w:sz w:val="18"/>
          <w:szCs w:val="18"/>
          <w:color w:val="auto"/>
        </w:rPr>
        <w:t>Accounts payable and accrued expenses consist of the following (in thousands):</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Accounts payable</w:t>
            </w: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4,698</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1,902</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7"/>
                <w:szCs w:val="17"/>
                <w:color w:val="auto"/>
              </w:rPr>
              <w:t>Accrued compensation</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1,123</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2,726</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Accrued research and development</w:t>
            </w: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8,177</w:t>
            </w: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8,033</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7"/>
                <w:szCs w:val="17"/>
                <w:color w:val="auto"/>
              </w:rPr>
              <w:t>Accrued severance</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556</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20" w:type="dxa"/>
            <w:vAlign w:val="bottom"/>
          </w:tcPr>
          <w:p>
            <w:pPr>
              <w:spacing w:after="0"/>
              <w:rPr>
                <w:sz w:val="17"/>
                <w:szCs w:val="17"/>
                <w:color w:val="auto"/>
              </w:rPr>
            </w:pPr>
          </w:p>
        </w:tc>
        <w:tc>
          <w:tcPr>
            <w:tcW w:w="6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Other accrued expenses</w:t>
            </w:r>
          </w:p>
        </w:tc>
        <w:tc>
          <w:tcPr>
            <w:tcW w:w="1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898</w:t>
            </w:r>
          </w:p>
        </w:tc>
        <w:tc>
          <w:tcPr>
            <w:tcW w:w="18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1,043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15,452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13,704</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-162560</wp:posOffset>
            </wp:positionV>
            <wp:extent cx="514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-162560</wp:posOffset>
            </wp:positionV>
            <wp:extent cx="596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Restructuring</w:t>
      </w:r>
    </w:p>
    <w:p>
      <w:pPr>
        <w:spacing w:after="0" w:line="108" w:lineRule="exact"/>
        <w:rPr>
          <w:sz w:val="20"/>
          <w:szCs w:val="20"/>
          <w:color w:val="auto"/>
        </w:rPr>
      </w:pPr>
    </w:p>
    <w:p>
      <w:pPr>
        <w:ind w:right="500" w:firstLine="464"/>
        <w:spacing w:after="0" w:line="282" w:lineRule="auto"/>
        <w:rPr>
          <w:sz w:val="20"/>
          <w:szCs w:val="20"/>
          <w:color w:val="auto"/>
        </w:rPr>
      </w:pPr>
      <w:r>
        <w:rPr>
          <w:rFonts w:ascii="Times New Roman" w:cs="Times New Roman" w:eastAsia="Times New Roman" w:hAnsi="Times New Roman"/>
          <w:sz w:val="18"/>
          <w:szCs w:val="18"/>
          <w:color w:val="auto"/>
        </w:rPr>
        <w:t>In March 2025, the Company implemented a corporate restructuring, which included a reduction in force, designed to improve the Company’s operating model and cost structure to set up the Company for long-term success.</w:t>
      </w:r>
    </w:p>
    <w:p>
      <w:pPr>
        <w:spacing w:after="0" w:line="54" w:lineRule="exact"/>
        <w:rPr>
          <w:sz w:val="20"/>
          <w:szCs w:val="20"/>
          <w:color w:val="auto"/>
        </w:rPr>
      </w:pPr>
    </w:p>
    <w:p>
      <w:pPr>
        <w:ind w:firstLine="464"/>
        <w:spacing w:after="0" w:line="258" w:lineRule="auto"/>
        <w:rPr>
          <w:sz w:val="20"/>
          <w:szCs w:val="20"/>
          <w:color w:val="auto"/>
        </w:rPr>
      </w:pPr>
      <w:r>
        <w:rPr>
          <w:rFonts w:ascii="Times New Roman" w:cs="Times New Roman" w:eastAsia="Times New Roman" w:hAnsi="Times New Roman"/>
          <w:sz w:val="18"/>
          <w:szCs w:val="18"/>
          <w:color w:val="auto"/>
        </w:rPr>
        <w:t>In connection with the restructuring, the Company implemented a reduction in workforce of approximately 30%, which was initiated in the first quarter of 2025. The Company recorded restructuring costs of $0.6 million during the three months ended March 31, 2025, of which $0.5 million is included in research and development expense and $0.1 million is included in general administrative expense in the condensed statements of operations and comprehensive loss. Restructuring costs primarily consisted of employee severance, continuing healthcare benefits and other employee-related costs. The Company expects these benefits will be substantially paid out during the second quarter of 2025.</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presents the changes in the Company's restructuring liability (in thousands):</w:t>
      </w:r>
    </w:p>
    <w:p>
      <w:pPr>
        <w:spacing w:after="0" w:line="200" w:lineRule="exact"/>
        <w:rPr>
          <w:sz w:val="20"/>
          <w:szCs w:val="20"/>
          <w:color w:val="auto"/>
        </w:rPr>
      </w:pPr>
    </w:p>
    <w:p>
      <w:pPr>
        <w:spacing w:after="0" w:line="217" w:lineRule="exact"/>
        <w:rPr>
          <w:sz w:val="20"/>
          <w:szCs w:val="20"/>
          <w:color w:val="auto"/>
        </w:rPr>
      </w:pPr>
    </w:p>
    <w:tbl>
      <w:tblPr>
        <w:tblLayout w:type="fixed"/>
        <w:tblInd w:w="1980" w:type="dxa"/>
        <w:tblCellMar>
          <w:top w:w="0" w:type="dxa"/>
          <w:left w:w="0" w:type="dxa"/>
          <w:bottom w:w="0" w:type="dxa"/>
          <w:right w:w="0" w:type="dxa"/>
        </w:tblCellMar>
      </w:tblPr>
      <w:tr>
        <w:trPr>
          <w:trHeight w:val="215"/>
        </w:trPr>
        <w:tc>
          <w:tcPr>
            <w:tcW w:w="3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Restructuring Liability</w:t>
            </w:r>
          </w:p>
        </w:tc>
        <w:tc>
          <w:tcPr>
            <w:tcW w:w="60" w:type="dxa"/>
            <w:vAlign w:val="bottom"/>
          </w:tcPr>
          <w:p>
            <w:pPr>
              <w:spacing w:after="0"/>
              <w:rPr>
                <w:sz w:val="18"/>
                <w:szCs w:val="18"/>
                <w:color w:val="auto"/>
              </w:rPr>
            </w:pPr>
          </w:p>
        </w:tc>
      </w:tr>
      <w:tr>
        <w:trPr>
          <w:trHeight w:val="213"/>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Restructuring charges</w:t>
            </w: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60" w:type="dxa"/>
            <w:vAlign w:val="bottom"/>
          </w:tcPr>
          <w:p>
            <w:pPr>
              <w:spacing w:after="0"/>
              <w:rPr>
                <w:sz w:val="18"/>
                <w:szCs w:val="18"/>
                <w:color w:val="auto"/>
              </w:rPr>
            </w:pPr>
          </w:p>
        </w:tc>
      </w:tr>
      <w:tr>
        <w:trPr>
          <w:trHeight w:val="216"/>
        </w:trPr>
        <w:tc>
          <w:tcPr>
            <w:tcW w:w="35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Cash payments</w:t>
            </w:r>
          </w:p>
        </w:tc>
        <w:tc>
          <w:tcPr>
            <w:tcW w:w="1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5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at March 31, 2025</w:t>
            </w:r>
          </w:p>
        </w:tc>
        <w:tc>
          <w:tcPr>
            <w:tcW w:w="130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2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60" w:type="dxa"/>
            <w:vAlign w:val="bottom"/>
            <w:tcBorders>
              <w:top w:val="single" w:sz="8" w:color="CFF0FC"/>
            </w:tcBorders>
          </w:tcPr>
          <w:p>
            <w:pPr>
              <w:spacing w:after="0"/>
              <w:rPr>
                <w:sz w:val="18"/>
                <w:szCs w:val="18"/>
                <w:color w:val="auto"/>
              </w:rPr>
            </w:pPr>
          </w:p>
        </w:tc>
      </w:tr>
      <w:tr>
        <w:trPr>
          <w:trHeight w:val="20"/>
        </w:trPr>
        <w:tc>
          <w:tcPr>
            <w:tcW w:w="3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-170815</wp:posOffset>
            </wp:positionV>
            <wp:extent cx="431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108" w:lineRule="exact"/>
        <w:rPr>
          <w:sz w:val="20"/>
          <w:szCs w:val="20"/>
          <w:color w:val="auto"/>
        </w:rPr>
      </w:pPr>
    </w:p>
    <w:p>
      <w:pPr>
        <w:jc w:val="both"/>
        <w:ind w:right="600" w:firstLine="464"/>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consist of cash and cash equivalents, accounts payable and accrued expenses, and warrants to purchase common stock. The carrying amounts of the Company’s cash and cash equivalents and accounts payable and accrued expenses are considered to be representative of their respective fair values due to their short-term nature.</w:t>
      </w:r>
    </w:p>
    <w:p>
      <w:pPr>
        <w:spacing w:after="0" w:line="149" w:lineRule="exact"/>
        <w:rPr>
          <w:sz w:val="20"/>
          <w:szCs w:val="20"/>
          <w:color w:val="auto"/>
        </w:rPr>
      </w:pPr>
    </w:p>
    <w:p>
      <w:pPr>
        <w:jc w:val="both"/>
        <w:ind w:right="60" w:firstLine="464"/>
        <w:spacing w:after="0" w:line="277" w:lineRule="auto"/>
        <w:rPr>
          <w:sz w:val="20"/>
          <w:szCs w:val="20"/>
          <w:color w:val="auto"/>
        </w:rPr>
      </w:pPr>
      <w:r>
        <w:rPr>
          <w:rFonts w:ascii="Times New Roman" w:cs="Times New Roman" w:eastAsia="Times New Roman" w:hAnsi="Times New Roman"/>
          <w:sz w:val="17"/>
          <w:szCs w:val="17"/>
          <w:color w:val="auto"/>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p>
    <w:p>
      <w:pPr>
        <w:spacing w:after="0" w:line="15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Level 1: Observable inputs such as quoted prices in active markets.</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Level 2: Inputs, other than the quoted prices in active markets that are observable either directly or indirectly.</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Level 3: Unobservable inputs in which there is little or no market data, which require the reporting entity to develop its own assumptions.</w:t>
      </w:r>
    </w:p>
    <w:p>
      <w:pPr>
        <w:spacing w:after="0" w:line="212" w:lineRule="exact"/>
        <w:rPr>
          <w:sz w:val="20"/>
          <w:szCs w:val="20"/>
          <w:color w:val="auto"/>
        </w:rPr>
      </w:pPr>
    </w:p>
    <w:p>
      <w:pPr>
        <w:ind w:right="660" w:firstLine="464"/>
        <w:spacing w:after="0" w:line="261" w:lineRule="auto"/>
        <w:rPr>
          <w:sz w:val="20"/>
          <w:szCs w:val="20"/>
          <w:color w:val="auto"/>
        </w:rPr>
      </w:pPr>
      <w:r>
        <w:rPr>
          <w:rFonts w:ascii="Times New Roman" w:cs="Times New Roman" w:eastAsia="Times New Roman" w:hAnsi="Times New Roman"/>
          <w:sz w:val="18"/>
          <w:szCs w:val="18"/>
          <w:color w:val="auto"/>
        </w:rPr>
        <w:t>When quoted market prices are available in active markets, the fair value of assets and liabilities is estimated within Level 1 of the valuation hierarchy. If quoted prices are not available, then fair values are estimated by using pricing models, quoted prices of</w:t>
      </w: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10" w:name="page11"/>
    <w:bookmarkEnd w:id="10"/>
    <w:p>
      <w:pPr>
        <w:ind w:right="420"/>
        <w:spacing w:after="0" w:line="282" w:lineRule="auto"/>
        <w:rPr>
          <w:sz w:val="20"/>
          <w:szCs w:val="20"/>
          <w:color w:val="auto"/>
        </w:rPr>
      </w:pPr>
      <w:r>
        <w:rPr>
          <w:rFonts w:ascii="Times New Roman" w:cs="Times New Roman" w:eastAsia="Times New Roman" w:hAnsi="Times New Roman"/>
          <w:sz w:val="18"/>
          <w:szCs w:val="18"/>
          <w:color w:val="auto"/>
        </w:rPr>
        <w:t>assets and liabilities with similar characteristics, or discounted cash flows within Level 2 of the valuation hierarchy. In cases where Level 1 or Level 2 inputs are not available, the fair values are estimated by using inputs within Level 3 of the hierarchy.</w:t>
      </w:r>
    </w:p>
    <w:p>
      <w:pPr>
        <w:spacing w:after="0" w:line="148" w:lineRule="exact"/>
        <w:rPr>
          <w:sz w:val="20"/>
          <w:szCs w:val="20"/>
          <w:color w:val="auto"/>
        </w:rPr>
      </w:pPr>
    </w:p>
    <w:p>
      <w:pPr>
        <w:ind w:right="20" w:firstLine="554"/>
        <w:spacing w:after="0" w:line="281" w:lineRule="auto"/>
        <w:rPr>
          <w:sz w:val="20"/>
          <w:szCs w:val="20"/>
          <w:color w:val="auto"/>
        </w:rPr>
      </w:pPr>
      <w:r>
        <w:rPr>
          <w:rFonts w:ascii="Times New Roman" w:cs="Times New Roman" w:eastAsia="Times New Roman" w:hAnsi="Times New Roman"/>
          <w:sz w:val="17"/>
          <w:szCs w:val="17"/>
          <w:color w:val="auto"/>
        </w:rPr>
        <w:t>The Company has determined the estimated fair value of its financial instruments based on appropriate valuation methodologies; however, considerable judgment is required to develop these estimates. Accordingly, these estimated fair values are not necessarily indicative of the amounts the Company could realize in a current market exchange. The estimated fair values can be materially affected by using different assumptions or methodologies. The methods and assumptions used in estimating the fair values of financial instruments are based on carrying values and future cash flows.</w:t>
      </w:r>
    </w:p>
    <w:p>
      <w:pPr>
        <w:spacing w:after="0" w:line="137" w:lineRule="exact"/>
        <w:rPr>
          <w:sz w:val="20"/>
          <w:szCs w:val="20"/>
          <w:color w:val="auto"/>
        </w:rPr>
      </w:pPr>
    </w:p>
    <w:p>
      <w:pPr>
        <w:ind w:right="60" w:firstLine="464"/>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and liabilities measured at fair value on a recurring basis and indicate the level of the fair value hierarchy utilized to determine such fair values (in thousands):</w:t>
      </w:r>
    </w:p>
    <w:p>
      <w:pPr>
        <w:spacing w:after="0" w:line="245" w:lineRule="exact"/>
        <w:rPr>
          <w:sz w:val="20"/>
          <w:szCs w:val="20"/>
          <w:color w:val="auto"/>
        </w:rPr>
      </w:pPr>
    </w:p>
    <w:tbl>
      <w:tblPr>
        <w:tblLayout w:type="fixed"/>
        <w:tblInd w:w="860" w:type="dxa"/>
        <w:tblCellMar>
          <w:top w:w="0" w:type="dxa"/>
          <w:left w:w="0" w:type="dxa"/>
          <w:bottom w:w="0" w:type="dxa"/>
          <w:right w:w="0" w:type="dxa"/>
        </w:tblCellMar>
      </w:tblPr>
      <w:tr>
        <w:trPr>
          <w:trHeight w:val="212"/>
        </w:trPr>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As of March 31, 2025</w:t>
            </w:r>
          </w:p>
        </w:tc>
        <w:tc>
          <w:tcPr>
            <w:tcW w:w="2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7"/>
                <w:szCs w:val="17"/>
                <w:color w:val="auto"/>
              </w:rPr>
            </w:pPr>
          </w:p>
        </w:tc>
      </w:tr>
      <w:tr>
        <w:trPr>
          <w:trHeight w:val="189"/>
        </w:trPr>
        <w:tc>
          <w:tcPr>
            <w:tcW w:w="480" w:type="dxa"/>
            <w:vAlign w:val="bottom"/>
            <w:tcBorders>
              <w:bottom w:val="single" w:sz="8" w:color="auto"/>
            </w:tcBorders>
            <w:shd w:val="clear" w:color="auto" w:fill="CFF0FC"/>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5"/>
              </w:rPr>
              <w:t>Assets</w:t>
            </w:r>
          </w:p>
        </w:tc>
        <w:tc>
          <w:tcPr>
            <w:tcW w:w="2020" w:type="dxa"/>
            <w:vAlign w:val="bottom"/>
            <w:tcBorders>
              <w:bottom w:val="single" w:sz="8" w:color="CFF0FC"/>
            </w:tcBorders>
            <w:gridSpan w:val="2"/>
            <w:shd w:val="clear" w:color="auto" w:fill="CFF0FC"/>
          </w:tcPr>
          <w:p>
            <w:pPr>
              <w:spacing w:after="0"/>
              <w:rPr>
                <w:sz w:val="16"/>
                <w:szCs w:val="16"/>
                <w:color w:val="auto"/>
              </w:rPr>
            </w:pPr>
          </w:p>
        </w:tc>
        <w:tc>
          <w:tcPr>
            <w:tcW w:w="12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98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96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10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r>
      <w:tr>
        <w:trPr>
          <w:trHeight w:val="216"/>
        </w:trPr>
        <w:tc>
          <w:tcPr>
            <w:tcW w:w="25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Cash equivalents</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31,487</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31,487</w:t>
            </w:r>
          </w:p>
        </w:tc>
        <w:tc>
          <w:tcPr>
            <w:tcW w:w="100" w:type="dxa"/>
            <w:vAlign w:val="bottom"/>
          </w:tcPr>
          <w:p>
            <w:pPr>
              <w:spacing w:after="0"/>
              <w:rPr>
                <w:sz w:val="18"/>
                <w:szCs w:val="18"/>
                <w:color w:val="auto"/>
              </w:rPr>
            </w:pPr>
          </w:p>
        </w:tc>
      </w:tr>
      <w:tr>
        <w:trPr>
          <w:trHeight w:val="196"/>
        </w:trPr>
        <w:tc>
          <w:tcPr>
            <w:tcW w:w="2500" w:type="dxa"/>
            <w:vAlign w:val="bottom"/>
            <w:gridSpan w:val="3"/>
            <w:shd w:val="clear" w:color="auto" w:fill="CFF0FC"/>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Warrants</w:t>
            </w:r>
          </w:p>
        </w:tc>
        <w:tc>
          <w:tcPr>
            <w:tcW w:w="1740" w:type="dxa"/>
            <w:vAlign w:val="bottom"/>
            <w:tcBorders>
              <w:top w:val="single" w:sz="8" w:color="CFF0FC"/>
            </w:tcBorders>
          </w:tcPr>
          <w:p>
            <w:pPr>
              <w:spacing w:after="0"/>
              <w:rPr>
                <w:sz w:val="20"/>
                <w:szCs w:val="20"/>
                <w:color w:val="auto"/>
              </w:rPr>
            </w:pPr>
          </w:p>
        </w:tc>
        <w:tc>
          <w:tcPr>
            <w:tcW w:w="1420" w:type="dxa"/>
            <w:vAlign w:val="bottom"/>
            <w:tcBorders>
              <w:top w:val="single" w:sz="8" w:color="CFF0FC"/>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CFF0FC"/>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CFF0FC"/>
            </w:tcBorders>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tcBorders>
              <w:top w:val="single" w:sz="8" w:color="CFF0FC"/>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540" w:type="dxa"/>
            <w:vAlign w:val="bottom"/>
            <w:tcBorders>
              <w:top w:val="single" w:sz="8" w:color="CFF0FC"/>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100" w:type="dxa"/>
            <w:vAlign w:val="bottom"/>
            <w:tcBorders>
              <w:top w:val="single" w:sz="8" w:color="CFF0FC"/>
            </w:tcBorders>
          </w:tcPr>
          <w:p>
            <w:pPr>
              <w:spacing w:after="0"/>
              <w:rPr>
                <w:sz w:val="20"/>
                <w:szCs w:val="20"/>
                <w:color w:val="auto"/>
              </w:rPr>
            </w:pPr>
          </w:p>
        </w:tc>
      </w:tr>
      <w:tr>
        <w:trPr>
          <w:trHeight w:val="489"/>
        </w:trPr>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2"/>
        </w:trPr>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7"/>
                <w:szCs w:val="17"/>
                <w:color w:val="auto"/>
              </w:rPr>
            </w:pPr>
          </w:p>
        </w:tc>
      </w:tr>
      <w:tr>
        <w:trPr>
          <w:trHeight w:val="190"/>
        </w:trPr>
        <w:tc>
          <w:tcPr>
            <w:tcW w:w="480" w:type="dxa"/>
            <w:vAlign w:val="bottom"/>
            <w:tcBorders>
              <w:bottom w:val="single" w:sz="8" w:color="auto"/>
            </w:tcBorders>
            <w:shd w:val="clear" w:color="auto" w:fill="CFF0FC"/>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5"/>
              </w:rPr>
              <w:t>Assets</w:t>
            </w:r>
          </w:p>
        </w:tc>
        <w:tc>
          <w:tcPr>
            <w:tcW w:w="2020" w:type="dxa"/>
            <w:vAlign w:val="bottom"/>
            <w:tcBorders>
              <w:bottom w:val="single" w:sz="8" w:color="CFF0FC"/>
            </w:tcBorders>
            <w:gridSpan w:val="2"/>
            <w:shd w:val="clear" w:color="auto" w:fill="CFF0FC"/>
          </w:tcPr>
          <w:p>
            <w:pPr>
              <w:spacing w:after="0"/>
              <w:rPr>
                <w:sz w:val="16"/>
                <w:szCs w:val="16"/>
                <w:color w:val="auto"/>
              </w:rPr>
            </w:pPr>
          </w:p>
        </w:tc>
        <w:tc>
          <w:tcPr>
            <w:tcW w:w="12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98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96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10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r>
      <w:tr>
        <w:trPr>
          <w:trHeight w:val="216"/>
        </w:trPr>
        <w:tc>
          <w:tcPr>
            <w:tcW w:w="25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Cash equivalents</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38,822</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38,822</w:t>
            </w:r>
          </w:p>
        </w:tc>
        <w:tc>
          <w:tcPr>
            <w:tcW w:w="100" w:type="dxa"/>
            <w:vAlign w:val="bottom"/>
          </w:tcPr>
          <w:p>
            <w:pPr>
              <w:spacing w:after="0"/>
              <w:rPr>
                <w:sz w:val="18"/>
                <w:szCs w:val="18"/>
                <w:color w:val="auto"/>
              </w:rPr>
            </w:pPr>
          </w:p>
        </w:tc>
      </w:tr>
      <w:tr>
        <w:trPr>
          <w:trHeight w:val="196"/>
        </w:trPr>
        <w:tc>
          <w:tcPr>
            <w:tcW w:w="2500" w:type="dxa"/>
            <w:vAlign w:val="bottom"/>
            <w:gridSpan w:val="3"/>
            <w:shd w:val="clear" w:color="auto" w:fill="CFF0FC"/>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Warrants</w:t>
            </w:r>
          </w:p>
        </w:tc>
        <w:tc>
          <w:tcPr>
            <w:tcW w:w="1740" w:type="dxa"/>
            <w:vAlign w:val="bottom"/>
            <w:tcBorders>
              <w:top w:val="single" w:sz="8" w:color="CFF0FC"/>
            </w:tcBorders>
          </w:tcPr>
          <w:p>
            <w:pPr>
              <w:spacing w:after="0"/>
              <w:rPr>
                <w:sz w:val="20"/>
                <w:szCs w:val="20"/>
                <w:color w:val="auto"/>
              </w:rPr>
            </w:pPr>
          </w:p>
        </w:tc>
        <w:tc>
          <w:tcPr>
            <w:tcW w:w="1420" w:type="dxa"/>
            <w:vAlign w:val="bottom"/>
            <w:tcBorders>
              <w:top w:val="single" w:sz="8" w:color="CFF0FC"/>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CFF0FC"/>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CFF0FC"/>
            </w:tcBorders>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tcBorders>
              <w:top w:val="single" w:sz="8" w:color="CFF0FC"/>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3,811</w:t>
            </w:r>
          </w:p>
        </w:tc>
        <w:tc>
          <w:tcPr>
            <w:tcW w:w="540" w:type="dxa"/>
            <w:vAlign w:val="bottom"/>
            <w:tcBorders>
              <w:top w:val="single" w:sz="8" w:color="CFF0FC"/>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3,811</w:t>
            </w:r>
          </w:p>
        </w:tc>
        <w:tc>
          <w:tcPr>
            <w:tcW w:w="100" w:type="dxa"/>
            <w:vAlign w:val="bottom"/>
            <w:tcBorders>
              <w:top w:val="single" w:sz="8" w:color="CFF0FC"/>
            </w:tcBorders>
          </w:tcPr>
          <w:p>
            <w:pPr>
              <w:spacing w:after="0"/>
              <w:rPr>
                <w:sz w:val="20"/>
                <w:szCs w:val="20"/>
                <w:color w:val="auto"/>
              </w:rPr>
            </w:pP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Cash Equivalents</w:t>
      </w:r>
    </w:p>
    <w:p>
      <w:pPr>
        <w:spacing w:after="0" w:line="113" w:lineRule="exact"/>
        <w:rPr>
          <w:sz w:val="20"/>
          <w:szCs w:val="20"/>
          <w:color w:val="auto"/>
        </w:rPr>
      </w:pPr>
    </w:p>
    <w:p>
      <w:pPr>
        <w:ind w:right="40" w:firstLine="464"/>
        <w:spacing w:after="0" w:line="282" w:lineRule="auto"/>
        <w:rPr>
          <w:sz w:val="20"/>
          <w:szCs w:val="20"/>
          <w:color w:val="auto"/>
        </w:rPr>
      </w:pPr>
      <w:r>
        <w:rPr>
          <w:rFonts w:ascii="Times New Roman" w:cs="Times New Roman" w:eastAsia="Times New Roman" w:hAnsi="Times New Roman"/>
          <w:sz w:val="18"/>
          <w:szCs w:val="18"/>
          <w:color w:val="auto"/>
        </w:rPr>
        <w:t>Cash equivalents are comprised of money market funds, which are classified within Level 1 of the fair value hierarchy because they are valued using quoted market prices in active markets.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Warrant Liability</w:t>
      </w:r>
    </w:p>
    <w:p>
      <w:pPr>
        <w:spacing w:after="0" w:line="113"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As of March 31, 2025, Level 3 liabilities include the warrant liability which resulted from warrants being issued on December 20, 2024 (as further described in Note 7), which did not meet the criteria for equity classification in accordance with ASC Subtopic 815-40, Derivatives and Hedging - Contracts in Entity’s Own Equity (“ASC 815-40”), and are therefore accounted for as liabilities at fair value.</w:t>
      </w:r>
    </w:p>
    <w:p>
      <w:pPr>
        <w:spacing w:after="0" w:line="162" w:lineRule="exact"/>
        <w:rPr>
          <w:sz w:val="20"/>
          <w:szCs w:val="20"/>
          <w:color w:val="auto"/>
        </w:rPr>
      </w:pPr>
    </w:p>
    <w:p>
      <w:pPr>
        <w:ind w:right="260" w:firstLine="464"/>
        <w:spacing w:after="0" w:line="282" w:lineRule="auto"/>
        <w:rPr>
          <w:sz w:val="20"/>
          <w:szCs w:val="20"/>
          <w:color w:val="auto"/>
        </w:rPr>
      </w:pPr>
      <w:r>
        <w:rPr>
          <w:rFonts w:ascii="Times New Roman" w:cs="Times New Roman" w:eastAsia="Times New Roman" w:hAnsi="Times New Roman"/>
          <w:sz w:val="18"/>
          <w:szCs w:val="18"/>
          <w:color w:val="auto"/>
        </w:rPr>
        <w:t>The Company estimates the fair value of its warrants using significant unobservable inputs, which represent Level 3 measurements within the fair value hierarchy. The Company estimated the fair value of the warrants using the Black-Scholes option pricing model.</w:t>
      </w:r>
    </w:p>
    <w:p>
      <w:pPr>
        <w:spacing w:after="0" w:line="13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significant inputs used in the valuation models to measure the fair value of the warrants are as follows:</w:t>
      </w:r>
    </w:p>
    <w:p>
      <w:pPr>
        <w:spacing w:after="0" w:line="106" w:lineRule="exact"/>
        <w:rPr>
          <w:sz w:val="20"/>
          <w:szCs w:val="20"/>
          <w:color w:val="auto"/>
        </w:rPr>
      </w:pPr>
    </w:p>
    <w:tbl>
      <w:tblPr>
        <w:tblLayout w:type="fixed"/>
        <w:tblInd w:w="1980" w:type="dxa"/>
        <w:tblCellMar>
          <w:top w:w="0" w:type="dxa"/>
          <w:left w:w="0" w:type="dxa"/>
          <w:bottom w:w="0" w:type="dxa"/>
          <w:right w:w="0" w:type="dxa"/>
        </w:tblCellMar>
      </w:tblPr>
      <w:tr>
        <w:trPr>
          <w:trHeight w:val="215"/>
        </w:trPr>
        <w:tc>
          <w:tcPr>
            <w:tcW w:w="3360" w:type="dxa"/>
            <w:vAlign w:val="bottom"/>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Valuation Date</w:t>
            </w:r>
          </w:p>
        </w:tc>
        <w:tc>
          <w:tcPr>
            <w:tcW w:w="1420" w:type="dxa"/>
            <w:vAlign w:val="bottom"/>
            <w:tcBorders>
              <w:bottom w:val="single" w:sz="8" w:color="auto"/>
            </w:tcBorders>
          </w:tcPr>
          <w:p>
            <w:pPr>
              <w:spacing w:after="0"/>
              <w:rPr>
                <w:sz w:val="18"/>
                <w:szCs w:val="18"/>
                <w:color w:val="auto"/>
              </w:rPr>
            </w:pPr>
          </w:p>
        </w:tc>
      </w:tr>
      <w:tr>
        <w:trPr>
          <w:trHeight w:val="183"/>
        </w:trPr>
        <w:tc>
          <w:tcPr>
            <w:tcW w:w="3360" w:type="dxa"/>
            <w:vAlign w:val="bottom"/>
          </w:tcPr>
          <w:p>
            <w:pPr>
              <w:spacing w:after="0"/>
              <w:rPr>
                <w:sz w:val="15"/>
                <w:szCs w:val="15"/>
                <w:color w:val="auto"/>
              </w:rPr>
            </w:pPr>
          </w:p>
        </w:tc>
        <w:tc>
          <w:tcPr>
            <w:tcW w:w="1340" w:type="dxa"/>
            <w:vAlign w:val="bottom"/>
          </w:tcPr>
          <w:p>
            <w:pPr>
              <w:jc w:val="center"/>
              <w:ind w:left="439"/>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20" w:type="dxa"/>
            <w:vAlign w:val="bottom"/>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5"/>
        </w:trPr>
        <w:tc>
          <w:tcPr>
            <w:tcW w:w="3360" w:type="dxa"/>
            <w:vAlign w:val="bottom"/>
          </w:tcPr>
          <w:p>
            <w:pPr>
              <w:spacing w:after="0"/>
              <w:rPr>
                <w:sz w:val="18"/>
                <w:szCs w:val="18"/>
                <w:color w:val="auto"/>
              </w:rPr>
            </w:pPr>
          </w:p>
        </w:tc>
        <w:tc>
          <w:tcPr>
            <w:tcW w:w="13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3"/>
        </w:trPr>
        <w:tc>
          <w:tcPr>
            <w:tcW w:w="4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price</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$0.59</w:t>
            </w:r>
          </w:p>
        </w:tc>
      </w:tr>
      <w:tr>
        <w:trPr>
          <w:trHeight w:val="2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r>
      <w:tr>
        <w:trPr>
          <w:trHeight w:val="216"/>
        </w:trPr>
        <w:tc>
          <w:tcPr>
            <w:tcW w:w="4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w:t>
            </w:r>
          </w:p>
        </w:tc>
      </w:tr>
      <w:tr>
        <w:trPr>
          <w:trHeight w:val="2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w:t>
            </w:r>
          </w:p>
        </w:tc>
      </w:tr>
      <w:tr>
        <w:trPr>
          <w:trHeight w:val="216"/>
        </w:trPr>
        <w:tc>
          <w:tcPr>
            <w:tcW w:w="4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r>
    </w:tbl>
    <w:p>
      <w:pPr>
        <w:spacing w:after="0" w:line="17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presents the changes in the fair value of Level 3 liabilities for the year ended March 31, 2025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9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9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Warrant Liability</w:t>
            </w:r>
          </w:p>
        </w:tc>
        <w:tc>
          <w:tcPr>
            <w:tcW w:w="1980" w:type="dxa"/>
            <w:vAlign w:val="bottom"/>
          </w:tcPr>
          <w:p>
            <w:pPr>
              <w:spacing w:after="0"/>
              <w:rPr>
                <w:sz w:val="18"/>
                <w:szCs w:val="18"/>
                <w:color w:val="auto"/>
              </w:rPr>
            </w:pPr>
          </w:p>
        </w:tc>
      </w:tr>
      <w:tr>
        <w:trPr>
          <w:trHeight w:val="213"/>
        </w:trPr>
        <w:tc>
          <w:tcPr>
            <w:tcW w:w="1980" w:type="dxa"/>
            <w:vAlign w:val="bottom"/>
          </w:tcPr>
          <w:p>
            <w:pPr>
              <w:spacing w:after="0"/>
              <w:rPr>
                <w:sz w:val="18"/>
                <w:szCs w:val="18"/>
                <w:color w:val="auto"/>
              </w:rPr>
            </w:pPr>
          </w:p>
        </w:tc>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4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$3,811</w:t>
            </w:r>
          </w:p>
        </w:tc>
        <w:tc>
          <w:tcPr>
            <w:tcW w:w="1980" w:type="dxa"/>
            <w:vAlign w:val="bottom"/>
          </w:tcPr>
          <w:p>
            <w:pPr>
              <w:spacing w:after="0"/>
              <w:rPr>
                <w:sz w:val="18"/>
                <w:szCs w:val="18"/>
                <w:color w:val="auto"/>
              </w:rPr>
            </w:pPr>
          </w:p>
        </w:tc>
      </w:tr>
      <w:tr>
        <w:trPr>
          <w:trHeight w:val="216"/>
        </w:trPr>
        <w:tc>
          <w:tcPr>
            <w:tcW w:w="1980" w:type="dxa"/>
            <w:vAlign w:val="bottom"/>
          </w:tcPr>
          <w:p>
            <w:pPr>
              <w:spacing w:after="0"/>
              <w:rPr>
                <w:sz w:val="18"/>
                <w:szCs w:val="18"/>
                <w:color w:val="auto"/>
              </w:rPr>
            </w:pPr>
          </w:p>
        </w:tc>
        <w:tc>
          <w:tcPr>
            <w:tcW w:w="3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100" w:type="dxa"/>
            <w:vAlign w:val="bottom"/>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1980" w:type="dxa"/>
            <w:vAlign w:val="bottom"/>
          </w:tcPr>
          <w:p>
            <w:pPr>
              <w:spacing w:after="0"/>
              <w:rPr>
                <w:sz w:val="18"/>
                <w:szCs w:val="18"/>
                <w:color w:val="auto"/>
              </w:rPr>
            </w:pPr>
          </w:p>
        </w:tc>
      </w:tr>
      <w:tr>
        <w:trPr>
          <w:trHeight w:val="249"/>
        </w:trPr>
        <w:tc>
          <w:tcPr>
            <w:tcW w:w="1980" w:type="dxa"/>
            <w:vAlign w:val="bottom"/>
          </w:tcPr>
          <w:p>
            <w:pPr>
              <w:spacing w:after="0"/>
              <w:rPr>
                <w:sz w:val="21"/>
                <w:szCs w:val="21"/>
                <w:color w:val="auto"/>
              </w:rPr>
            </w:pPr>
          </w:p>
        </w:tc>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March 31, 2025</w:t>
            </w:r>
          </w:p>
        </w:tc>
        <w:tc>
          <w:tcPr>
            <w:tcW w:w="4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1980" w:type="dxa"/>
            <w:vAlign w:val="bottom"/>
          </w:tcPr>
          <w:p>
            <w:pPr>
              <w:spacing w:after="0"/>
              <w:rPr>
                <w:sz w:val="21"/>
                <w:szCs w:val="21"/>
                <w:color w:val="auto"/>
              </w:rPr>
            </w:pPr>
          </w:p>
        </w:tc>
      </w:tr>
      <w:tr>
        <w:trPr>
          <w:trHeight w:val="413"/>
        </w:trPr>
        <w:tc>
          <w:tcPr>
            <w:tcW w:w="1980" w:type="dxa"/>
            <w:vAlign w:val="bottom"/>
          </w:tcPr>
          <w:p>
            <w:pPr>
              <w:spacing w:after="0"/>
              <w:rPr>
                <w:sz w:val="24"/>
                <w:szCs w:val="24"/>
                <w:color w:val="auto"/>
              </w:rPr>
            </w:pPr>
          </w:p>
        </w:tc>
        <w:tc>
          <w:tcPr>
            <w:tcW w:w="3280" w:type="dxa"/>
            <w:vAlign w:val="bottom"/>
            <w:tcBorders>
              <w:top w:val="single" w:sz="8" w:color="CFF0FC"/>
            </w:tcBorders>
          </w:tcPr>
          <w:p>
            <w:pPr>
              <w:spacing w:after="0"/>
              <w:rPr>
                <w:sz w:val="24"/>
                <w:szCs w:val="24"/>
                <w:color w:val="auto"/>
              </w:rPr>
            </w:pPr>
          </w:p>
        </w:tc>
        <w:tc>
          <w:tcPr>
            <w:tcW w:w="2100" w:type="dxa"/>
            <w:vAlign w:val="bottom"/>
            <w:tcBorders>
              <w:top w:val="single" w:sz="8" w:color="CFF0FC"/>
            </w:tcBorders>
          </w:tcPr>
          <w:p>
            <w:pPr>
              <w:jc w:val="right"/>
              <w:ind w:right="1610"/>
              <w:spacing w:after="0"/>
              <w:rPr>
                <w:sz w:val="20"/>
                <w:szCs w:val="20"/>
                <w:color w:val="auto"/>
              </w:rPr>
            </w:pPr>
            <w:r>
              <w:rPr>
                <w:rFonts w:ascii="Times New Roman" w:cs="Times New Roman" w:eastAsia="Times New Roman" w:hAnsi="Times New Roman"/>
                <w:sz w:val="18"/>
                <w:szCs w:val="18"/>
                <w:color w:val="auto"/>
              </w:rPr>
              <w:t>9</w:t>
            </w:r>
          </w:p>
        </w:tc>
        <w:tc>
          <w:tcPr>
            <w:tcW w:w="1900" w:type="dxa"/>
            <w:vAlign w:val="bottom"/>
            <w:tcBorders>
              <w:top w:val="single" w:sz="8" w:color="auto"/>
            </w:tcBorders>
          </w:tcPr>
          <w:p>
            <w:pPr>
              <w:spacing w:after="0"/>
              <w:rPr>
                <w:sz w:val="24"/>
                <w:szCs w:val="24"/>
                <w:color w:val="auto"/>
              </w:rPr>
            </w:pPr>
          </w:p>
        </w:tc>
        <w:tc>
          <w:tcPr>
            <w:tcW w:w="1980" w:type="dxa"/>
            <w:vAlign w:val="bottom"/>
          </w:tcPr>
          <w:p>
            <w:pPr>
              <w:spacing w:after="0"/>
              <w:rPr>
                <w:sz w:val="24"/>
                <w:szCs w:val="24"/>
                <w:color w:val="auto"/>
              </w:rPr>
            </w:pPr>
          </w:p>
        </w:tc>
      </w:tr>
      <w:tr>
        <w:trPr>
          <w:trHeight w:val="763"/>
        </w:trPr>
        <w:tc>
          <w:tcPr>
            <w:tcW w:w="198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1" w:name="page12"/>
    <w:bookmarkEnd w:id="11"/>
    <w:p>
      <w:pPr>
        <w:ind w:right="220" w:firstLine="464"/>
        <w:spacing w:after="0" w:line="282" w:lineRule="auto"/>
        <w:rPr>
          <w:sz w:val="20"/>
          <w:szCs w:val="20"/>
          <w:color w:val="auto"/>
        </w:rPr>
      </w:pPr>
      <w:r>
        <w:rPr>
          <w:rFonts w:ascii="Times New Roman" w:cs="Times New Roman" w:eastAsia="Times New Roman" w:hAnsi="Times New Roman"/>
          <w:sz w:val="18"/>
          <w:szCs w:val="18"/>
          <w:color w:val="auto"/>
        </w:rPr>
        <w:t>Changes in the fair value of the liability-classified warrants are recognized as a component of other income, net in the statement of operations. No transfers between levels have occurred during the periods presented.</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Leases</w:t>
      </w:r>
    </w:p>
    <w:p>
      <w:pPr>
        <w:spacing w:after="0" w:line="108"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The Company has a single operating lease for its corporate headquarters and laboratory space in San Diego, California. The lease expires in July 2025 and the Company has an option to extend the term of the lease for an additional five years. Additionally, the lease includes certain rent abatement, rent escalations, tenant improvement allowances and additional charges for common area maintenance and other costs.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lease expense included in the Company’s condensed statements of operations and comprehensive loss include (in thousands):</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12"/>
        </w:trPr>
        <w:tc>
          <w:tcPr>
            <w:tcW w:w="2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0" w:type="dxa"/>
            <w:vAlign w:val="bottom"/>
            <w:tcBorders>
              <w:bottom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9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209"/>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2660" w:type="dxa"/>
            <w:vAlign w:val="bottom"/>
            <w:gridSpan w:val="2"/>
            <w:shd w:val="clear" w:color="auto" w:fill="CFF0FC"/>
          </w:tcPr>
          <w:p>
            <w:pPr>
              <w:jc w:val="right"/>
              <w:ind w:right="12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360" w:type="dxa"/>
            <w:vAlign w:val="bottom"/>
            <w:gridSpan w:val="2"/>
            <w:shd w:val="clear" w:color="auto" w:fill="CFF0FC"/>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FF0FC"/>
          </w:tcPr>
          <w:p>
            <w:pPr>
              <w:spacing w:after="0"/>
              <w:rPr>
                <w:sz w:val="18"/>
                <w:szCs w:val="18"/>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expense</w:t>
            </w:r>
          </w:p>
        </w:tc>
        <w:tc>
          <w:tcPr>
            <w:tcW w:w="1200" w:type="dxa"/>
            <w:vAlign w:val="bottom"/>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3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8"/>
                <w:szCs w:val="18"/>
                <w:color w:val="auto"/>
              </w:rPr>
            </w:pPr>
          </w:p>
        </w:tc>
      </w:tr>
      <w:tr>
        <w:trPr>
          <w:trHeight w:val="229"/>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expense, net</w:t>
            </w:r>
          </w:p>
        </w:tc>
        <w:tc>
          <w:tcPr>
            <w:tcW w:w="1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1275"/>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360" w:type="dxa"/>
            <w:vAlign w:val="bottom"/>
            <w:gridSpan w:val="2"/>
            <w:shd w:val="clear" w:color="auto" w:fill="CFF0FC"/>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shd w:val="clear" w:color="auto" w:fill="CFF0FC"/>
          </w:tcPr>
          <w:p>
            <w:pPr>
              <w:spacing w:after="0"/>
              <w:rPr>
                <w:sz w:val="19"/>
                <w:szCs w:val="19"/>
                <w:color w:val="auto"/>
              </w:rPr>
            </w:pPr>
          </w:p>
        </w:tc>
      </w:tr>
      <w:tr>
        <w:trPr>
          <w:trHeight w:val="20"/>
        </w:trPr>
        <w:tc>
          <w:tcPr>
            <w:tcW w:w="296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-25400</wp:posOffset>
            </wp:positionV>
            <wp:extent cx="603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-8255</wp:posOffset>
            </wp:positionV>
            <wp:extent cx="6032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-25400</wp:posOffset>
            </wp:positionV>
            <wp:extent cx="603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-8255</wp:posOffset>
            </wp:positionV>
            <wp:extent cx="6032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5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Variable lease costs are primarily related to payments made to lessors for common area maintenance, property taxes, insurance, and other operating expenses. The Company did not have any short-term leases or finance leases for the three months ended March 31, 2025 and 2024.</w:t>
      </w:r>
    </w:p>
    <w:p>
      <w:pPr>
        <w:spacing w:after="0" w:line="1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weighted average remaining lease term and weighted average discount rate for operating leases were as follows:</w:t>
      </w:r>
    </w:p>
    <w:p>
      <w:pPr>
        <w:spacing w:after="0" w:line="246"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74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9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83"/>
        </w:trPr>
        <w:tc>
          <w:tcPr>
            <w:tcW w:w="4740" w:type="dxa"/>
            <w:vAlign w:val="bottom"/>
          </w:tcPr>
          <w:p>
            <w:pPr>
              <w:spacing w:after="0"/>
              <w:rPr>
                <w:sz w:val="15"/>
                <w:szCs w:val="15"/>
                <w:color w:val="auto"/>
              </w:rPr>
            </w:pPr>
          </w:p>
        </w:tc>
        <w:tc>
          <w:tcPr>
            <w:tcW w:w="8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r>
      <w:tr>
        <w:trPr>
          <w:trHeight w:val="209"/>
        </w:trPr>
        <w:tc>
          <w:tcPr>
            <w:tcW w:w="5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7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0.25</w:t>
            </w:r>
          </w:p>
        </w:tc>
        <w:tc>
          <w:tcPr>
            <w:tcW w:w="4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rPr>
              <w:t>1.25</w:t>
            </w:r>
          </w:p>
        </w:tc>
      </w:tr>
      <w:tr>
        <w:trPr>
          <w:trHeight w:val="234"/>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discount rate percentage</w:t>
            </w: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3.50%</w:t>
            </w:r>
          </w:p>
        </w:tc>
        <w:tc>
          <w:tcPr>
            <w:tcW w:w="460" w:type="dxa"/>
            <w:vAlign w:val="bottom"/>
          </w:tcPr>
          <w:p>
            <w:pPr>
              <w:spacing w:after="0"/>
              <w:rPr>
                <w:sz w:val="20"/>
                <w:szCs w:val="20"/>
                <w:color w:val="auto"/>
              </w:rPr>
            </w:pPr>
          </w:p>
        </w:tc>
        <w:tc>
          <w:tcPr>
            <w:tcW w:w="10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w w:val="98"/>
              </w:rPr>
              <w:t>3.50%</w:t>
            </w:r>
          </w:p>
        </w:tc>
      </w:tr>
    </w:tbl>
    <w:p>
      <w:pPr>
        <w:spacing w:after="0" w:line="1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Supplemental cash flow information related to leases under which the Company is the lessee was as follows (amounts in thousands):</w:t>
      </w:r>
    </w:p>
    <w:p>
      <w:pPr>
        <w:spacing w:after="0" w:line="246"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7620</wp:posOffset>
            </wp:positionV>
            <wp:extent cx="17830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2" w:lineRule="exact"/>
        <w:rPr>
          <w:sz w:val="20"/>
          <w:szCs w:val="20"/>
          <w:color w:val="auto"/>
        </w:rPr>
      </w:pPr>
    </w:p>
    <w:tbl>
      <w:tblPr>
        <w:tblLayout w:type="fixed"/>
        <w:tblInd w:w="480" w:type="dxa"/>
        <w:tblCellMar>
          <w:top w:w="0" w:type="dxa"/>
          <w:left w:w="0" w:type="dxa"/>
          <w:bottom w:w="0" w:type="dxa"/>
          <w:right w:w="0" w:type="dxa"/>
        </w:tblCellMar>
      </w:tblPr>
      <w:tr>
        <w:trPr>
          <w:trHeight w:val="173"/>
        </w:trPr>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5"/>
                <w:szCs w:val="15"/>
                <w:color w:val="auto"/>
              </w:rPr>
            </w:pPr>
          </w:p>
        </w:tc>
      </w:tr>
      <w:tr>
        <w:trPr>
          <w:trHeight w:val="210"/>
        </w:trPr>
        <w:tc>
          <w:tcPr>
            <w:tcW w:w="660" w:type="dxa"/>
            <w:vAlign w:val="bottom"/>
          </w:tcPr>
          <w:p>
            <w:pPr>
              <w:spacing w:after="0"/>
              <w:rPr>
                <w:sz w:val="18"/>
                <w:szCs w:val="18"/>
                <w:color w:val="auto"/>
              </w:rPr>
            </w:pPr>
          </w:p>
        </w:tc>
        <w:tc>
          <w:tcPr>
            <w:tcW w:w="6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leases</w:t>
            </w:r>
          </w:p>
        </w:tc>
        <w:tc>
          <w:tcPr>
            <w:tcW w:w="880" w:type="dxa"/>
            <w:vAlign w:val="bottom"/>
            <w:gridSpan w:val="2"/>
            <w:shd w:val="clear" w:color="auto" w:fill="CFF0FC"/>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540" w:type="dxa"/>
            <w:vAlign w:val="bottom"/>
            <w:gridSpan w:val="3"/>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557</w:t>
            </w:r>
          </w:p>
        </w:tc>
      </w:tr>
      <w:tr>
        <w:trPr>
          <w:trHeight w:val="405"/>
        </w:trPr>
        <w:tc>
          <w:tcPr>
            <w:tcW w:w="6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Maturities of operating lease liabilities as of March 31, 2025 were as follows (in thousands):</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26"/>
        </w:trPr>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gridSpan w:val="4"/>
          </w:tcPr>
          <w:p>
            <w:pPr>
              <w:jc w:val="center"/>
              <w:ind w:left="239"/>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73"/>
        </w:trPr>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lease</w:t>
            </w:r>
          </w:p>
        </w:tc>
        <w:tc>
          <w:tcPr>
            <w:tcW w:w="3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09"/>
        </w:trPr>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Nine months ending December 31, 2025</w:t>
            </w: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8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r>
      <w:tr>
        <w:trPr>
          <w:trHeight w:val="209"/>
        </w:trPr>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10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top w:val="single" w:sz="8" w:color="auto"/>
              <w:bottom w:val="single" w:sz="8" w:color="auto"/>
            </w:tcBorders>
            <w:shd w:val="clear" w:color="auto" w:fill="CFF0FC"/>
          </w:tcPr>
          <w:p>
            <w:pPr>
              <w:spacing w:after="0"/>
              <w:rPr>
                <w:sz w:val="18"/>
                <w:szCs w:val="18"/>
                <w:color w:val="auto"/>
              </w:rPr>
            </w:pPr>
          </w:p>
        </w:tc>
        <w:tc>
          <w:tcPr>
            <w:tcW w:w="40" w:type="dxa"/>
            <w:vAlign w:val="bottom"/>
            <w:tcBorders>
              <w:top w:val="single" w:sz="8" w:color="auto"/>
              <w:bottom w:val="single" w:sz="8" w:color="auto"/>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8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560" w:type="dxa"/>
            <w:vAlign w:val="bottom"/>
          </w:tcPr>
          <w:p>
            <w:pPr>
              <w:spacing w:after="0"/>
              <w:rPr>
                <w:sz w:val="18"/>
                <w:szCs w:val="18"/>
                <w:color w:val="auto"/>
              </w:rPr>
            </w:pPr>
          </w:p>
        </w:tc>
      </w:tr>
      <w:tr>
        <w:trPr>
          <w:trHeight w:val="250"/>
        </w:trPr>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0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top w:val="single" w:sz="8" w:color="auto"/>
              <w:bottom w:val="single" w:sz="8" w:color="auto"/>
            </w:tcBorders>
            <w:shd w:val="clear" w:color="auto" w:fill="CFF0FC"/>
          </w:tcPr>
          <w:p>
            <w:pPr>
              <w:jc w:val="right"/>
              <w:ind w:right="299"/>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top w:val="single" w:sz="8" w:color="auto"/>
              <w:bottom w:val="single" w:sz="8" w:color="auto"/>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spacing w:after="0"/>
              <w:rPr>
                <w:sz w:val="21"/>
                <w:szCs w:val="21"/>
                <w:color w:val="auto"/>
              </w:rPr>
            </w:pPr>
          </w:p>
        </w:tc>
        <w:tc>
          <w:tcPr>
            <w:tcW w:w="380" w:type="dxa"/>
            <w:vAlign w:val="bottom"/>
            <w:tcBorders>
              <w:top w:val="single" w:sz="8" w:color="auto"/>
              <w:bottom w:val="single" w:sz="8" w:color="auto"/>
            </w:tcBorders>
            <w:shd w:val="clear" w:color="auto" w:fill="CFF0FC"/>
          </w:tcPr>
          <w:p>
            <w:pPr>
              <w:spacing w:after="0"/>
              <w:rPr>
                <w:sz w:val="21"/>
                <w:szCs w:val="21"/>
                <w:color w:val="auto"/>
              </w:rPr>
            </w:pP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8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-316865</wp:posOffset>
            </wp:positionV>
            <wp:extent cx="5143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514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514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Commitments and Contingencies</w:t>
      </w:r>
    </w:p>
    <w:p>
      <w:pPr>
        <w:spacing w:after="0" w:line="121"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color w:val="auto"/>
        </w:rPr>
        <w:t>From time to time, the Company may be subject to various claims and suits arising in the ordinary course of business. The Company is not currently a party to any legal proceedings the outcome of which the Company believes, if determined adversely to the Company, would individually or in the aggregate have a material adverse effect on the Company’s business, operating results or financial condition.</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4"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7. Stockholders’ Equity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Equity Incentive Plan</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 may grant awards of common stock under the 2020 Equity Incentive Plan (the “2020 Plan”) to the Company’s employees, consultants and non-employee directors pursuant to option awards, stock appreciation rights awards, restricted stock awards, restricted stock unit awards, performance stock awards, performance stock unit awards and other stock-based awards. As of March 31, 2025 and December 31, 2024, the total number of common shares authorized for issuance under the 2020 Plan was 12,273,892 and 10,735,431, respectively. On January 1st of each year, commencing with the first January 1st following the effective date of the 2020 Plan, the shares authorized for issuance under the 2020 Plan shall be increased by a number of shares equal to the lesser of 4% of the total number of shares outstanding on the immediately preceding December 31 and such lesser number of shares determined by the Company’s board of directors. The maximum term of the options granted under the 2020 Plan is no more than ten years. Awards under the 2020 Plan generally vest at 25% one year from the vesting commencement date and ratably each month thereafter for a period of 36 months, subject to continuous service.</w:t>
      </w:r>
    </w:p>
    <w:p>
      <w:pPr>
        <w:spacing w:after="0" w:line="175" w:lineRule="exact"/>
        <w:rPr>
          <w:sz w:val="20"/>
          <w:szCs w:val="20"/>
          <w:color w:val="auto"/>
        </w:rPr>
      </w:pPr>
    </w:p>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Stock-based compensation expense for the three months ended March 31, 2025 and 2024 has been reported in the condensed statements of operations and comprehensive loss as follows (in thousands):</w:t>
      </w:r>
    </w:p>
    <w:p>
      <w:pPr>
        <w:spacing w:after="0" w:line="155" w:lineRule="exact"/>
        <w:rPr>
          <w:sz w:val="20"/>
          <w:szCs w:val="20"/>
          <w:color w:val="auto"/>
        </w:rPr>
      </w:pPr>
    </w:p>
    <w:p>
      <w:pPr>
        <w:jc w:val="center"/>
        <w:ind w:left="47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478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1140" w:type="dxa"/>
        <w:tblCellMar>
          <w:top w:w="0" w:type="dxa"/>
          <w:left w:w="0" w:type="dxa"/>
          <w:bottom w:w="0" w:type="dxa"/>
          <w:right w:w="0" w:type="dxa"/>
        </w:tblCellMar>
      </w:tblPr>
      <w:tr>
        <w:trPr>
          <w:trHeight w:val="142"/>
        </w:trPr>
        <w:tc>
          <w:tcPr>
            <w:tcW w:w="3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60" w:type="dxa"/>
            <w:vAlign w:val="bottom"/>
            <w:tcBorders>
              <w:top w:val="single" w:sz="8" w:color="auto"/>
              <w:bottom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tcPr>
          <w:p>
            <w:pPr>
              <w:jc w:val="right"/>
              <w:ind w:right="7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209"/>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720" w:type="dxa"/>
            <w:vAlign w:val="bottom"/>
            <w:gridSpan w:val="2"/>
            <w:shd w:val="clear" w:color="auto" w:fill="CFF0FC"/>
          </w:tcPr>
          <w:p>
            <w:pPr>
              <w:jc w:val="right"/>
              <w:ind w:right="107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70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80" w:type="dxa"/>
            <w:vAlign w:val="bottom"/>
            <w:shd w:val="clear" w:color="auto" w:fill="CFF0FC"/>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6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2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80" w:type="dxa"/>
            <w:vAlign w:val="bottom"/>
          </w:tcPr>
          <w:p>
            <w:pPr>
              <w:spacing w:after="0"/>
              <w:rPr>
                <w:sz w:val="18"/>
                <w:szCs w:val="18"/>
                <w:color w:val="auto"/>
              </w:rPr>
            </w:pPr>
          </w:p>
        </w:tc>
      </w:tr>
      <w:tr>
        <w:trPr>
          <w:trHeight w:val="229"/>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107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70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80" w:type="dxa"/>
            <w:vAlign w:val="bottom"/>
            <w:shd w:val="clear" w:color="auto" w:fill="CFF0FC"/>
          </w:tcPr>
          <w:p>
            <w:pPr>
              <w:spacing w:after="0"/>
              <w:rPr>
                <w:sz w:val="19"/>
                <w:szCs w:val="19"/>
                <w:color w:val="auto"/>
              </w:rPr>
            </w:pPr>
          </w:p>
        </w:tc>
      </w:tr>
      <w:tr>
        <w:trPr>
          <w:trHeight w:val="20"/>
        </w:trPr>
        <w:tc>
          <w:tcPr>
            <w:tcW w:w="342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-25400</wp:posOffset>
            </wp:positionV>
            <wp:extent cx="5143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-7620</wp:posOffset>
            </wp:positionV>
            <wp:extent cx="514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RSU activity under the 2020 Plan for the three months ended March 31, 2025:</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140" w:type="dxa"/>
            <w:vAlign w:val="bottom"/>
          </w:tcPr>
          <w:p>
            <w:pPr>
              <w:spacing w:after="0"/>
              <w:rPr>
                <w:sz w:val="13"/>
                <w:szCs w:val="13"/>
                <w:color w:val="auto"/>
              </w:rPr>
            </w:pPr>
          </w:p>
        </w:tc>
        <w:tc>
          <w:tcPr>
            <w:tcW w:w="142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3"/>
                <w:szCs w:val="13"/>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Weighted - Average</w:t>
            </w:r>
          </w:p>
        </w:tc>
        <w:tc>
          <w:tcPr>
            <w:tcW w:w="0" w:type="dxa"/>
            <w:vAlign w:val="bottom"/>
          </w:tcPr>
          <w:p>
            <w:pPr>
              <w:spacing w:after="0"/>
              <w:rPr>
                <w:sz w:val="1"/>
                <w:szCs w:val="1"/>
                <w:color w:val="auto"/>
              </w:rPr>
            </w:pPr>
          </w:p>
        </w:tc>
      </w:tr>
      <w:tr>
        <w:trPr>
          <w:trHeight w:val="148"/>
        </w:trPr>
        <w:tc>
          <w:tcPr>
            <w:tcW w:w="61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6140" w:type="dxa"/>
            <w:vAlign w:val="bottom"/>
          </w:tcPr>
          <w:p>
            <w:pPr>
              <w:spacing w:after="0"/>
              <w:rPr>
                <w:sz w:val="15"/>
                <w:szCs w:val="15"/>
                <w:color w:val="auto"/>
              </w:rPr>
            </w:pPr>
          </w:p>
        </w:tc>
        <w:tc>
          <w:tcPr>
            <w:tcW w:w="128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1,553,000</w:t>
            </w:r>
          </w:p>
        </w:tc>
        <w:tc>
          <w:tcPr>
            <w:tcW w:w="140" w:type="dxa"/>
            <w:vAlign w:val="bottom"/>
            <w:shd w:val="clear" w:color="auto" w:fill="CFF0FC"/>
          </w:tcPr>
          <w:p>
            <w:pPr>
              <w:spacing w:after="0"/>
              <w:rPr>
                <w:sz w:val="18"/>
                <w:szCs w:val="18"/>
                <w:color w:val="auto"/>
              </w:rPr>
            </w:pPr>
          </w:p>
        </w:tc>
        <w:tc>
          <w:tcPr>
            <w:tcW w:w="2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1,722,000</w:t>
            </w:r>
          </w:p>
        </w:tc>
        <w:tc>
          <w:tcPr>
            <w:tcW w:w="140" w:type="dxa"/>
            <w:vAlign w:val="bottom"/>
          </w:tcPr>
          <w:p>
            <w:pPr>
              <w:spacing w:after="0"/>
              <w:rPr>
                <w:sz w:val="18"/>
                <w:szCs w:val="18"/>
                <w:color w:val="auto"/>
              </w:rPr>
            </w:pP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1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(363,500)</w:t>
            </w:r>
          </w:p>
        </w:tc>
        <w:tc>
          <w:tcPr>
            <w:tcW w:w="2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March 31, 2025</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2,911,500</w:t>
            </w:r>
          </w:p>
        </w:tc>
        <w:tc>
          <w:tcPr>
            <w:tcW w:w="140" w:type="dxa"/>
            <w:vAlign w:val="bottom"/>
          </w:tcPr>
          <w:p>
            <w:pPr>
              <w:spacing w:after="0"/>
              <w:rPr>
                <w:sz w:val="18"/>
                <w:szCs w:val="18"/>
                <w:color w:val="auto"/>
              </w:rPr>
            </w:pP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2025, total unrecognized stock-based compensation expense for RSUs was $3.2 million, which is expected to be recognized over a remaining weighted-average period of approximately 3.4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stock option activity under the 2020 Plan for the three months ended March 31, 2025:</w:t>
      </w:r>
    </w:p>
    <w:p>
      <w:pPr>
        <w:spacing w:after="0" w:line="206"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restart"/>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Weighted -</w:t>
            </w:r>
          </w:p>
        </w:tc>
        <w:tc>
          <w:tcPr>
            <w:tcW w:w="18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1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10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8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6,096,046</w:t>
            </w:r>
          </w:p>
        </w:tc>
        <w:tc>
          <w:tcPr>
            <w:tcW w:w="1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Expired</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(34,416)</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March 31, 2025</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6,061,630</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2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32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FF0FC"/>
            </w:tcBorders>
            <w:gridSpan w:val="2"/>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Vested and expected to vest at March 31, 2025</w:t>
            </w: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6,061,630</w:t>
            </w:r>
          </w:p>
        </w:tc>
        <w:tc>
          <w:tcPr>
            <w:tcW w:w="120" w:type="dxa"/>
            <w:vAlign w:val="bottom"/>
          </w:tcPr>
          <w:p>
            <w:pPr>
              <w:spacing w:after="0"/>
              <w:rPr>
                <w:sz w:val="17"/>
                <w:szCs w:val="17"/>
                <w:color w:val="auto"/>
              </w:rPr>
            </w:pPr>
          </w:p>
        </w:tc>
        <w:tc>
          <w:tcPr>
            <w:tcW w:w="1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7.68</w:t>
            </w:r>
          </w:p>
        </w:tc>
        <w:tc>
          <w:tcPr>
            <w:tcW w:w="12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6.97</w:t>
            </w:r>
          </w:p>
        </w:tc>
        <w:tc>
          <w:tcPr>
            <w:tcW w:w="32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6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488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Exercisable at March 31, 2025</w:t>
            </w: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4,077,472</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9.13</w:t>
            </w:r>
          </w:p>
        </w:tc>
        <w:tc>
          <w:tcPr>
            <w:tcW w:w="120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6.85</w:t>
            </w:r>
          </w:p>
        </w:tc>
        <w:tc>
          <w:tcPr>
            <w:tcW w:w="320" w:type="dxa"/>
            <w:vAlign w:val="bottom"/>
            <w:tcBorders>
              <w:bottom w:val="single" w:sz="8" w:color="CFF0FC"/>
            </w:tcBorders>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FF0FC"/>
            </w:tcBorders>
            <w:gridSpan w:val="2"/>
            <w:shd w:val="clear" w:color="auto" w:fill="CFF0FC"/>
          </w:tcPr>
          <w:p>
            <w:pPr>
              <w:ind w:left="6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-351155</wp:posOffset>
            </wp:positionV>
            <wp:extent cx="603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-333375</wp:posOffset>
            </wp:positionV>
            <wp:extent cx="603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-25400</wp:posOffset>
            </wp:positionV>
            <wp:extent cx="6032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-8255</wp:posOffset>
            </wp:positionV>
            <wp:extent cx="603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1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As of March 31, 2025, total unrecognized stock-based compensation cost for unvested common stock options was $6.4 million, which is expected to be recognized over a remaining weighted-average period of approximately 1.76 years. There were no stock</w:t>
      </w: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3" w:name="page14"/>
    <w:bookmarkEnd w:id="13"/>
    <w:p>
      <w:pPr>
        <w:ind w:right="200"/>
        <w:spacing w:after="0" w:line="282" w:lineRule="auto"/>
        <w:rPr>
          <w:sz w:val="20"/>
          <w:szCs w:val="20"/>
          <w:color w:val="auto"/>
        </w:rPr>
      </w:pPr>
      <w:r>
        <w:rPr>
          <w:rFonts w:ascii="Times New Roman" w:cs="Times New Roman" w:eastAsia="Times New Roman" w:hAnsi="Times New Roman"/>
          <w:sz w:val="18"/>
          <w:szCs w:val="18"/>
          <w:color w:val="auto"/>
        </w:rPr>
        <w:t>options granted during the three months ended March 31, 2025. The total fair value of options vested during the three months ended March 31, 2025 was $1.4 million. Upon option exercise, the Company issues new shares of its common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 (“ESPP”)</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ESPP permits participants to purchase common stock through payroll deductions of up to 15% of their eligible compensation. As of March 31, 2025 and December 31, 2024, a total of 3,035,873 shares and 2,281,600 shares, respectively, of common stock were authorized for issuance under the ESPP. The number of shares of common stock authorized for issuance will automatically increase on January 1 of each calendar year, from January 1, 2021 through January 1, 2030 by the least of (i) 1.0% of the total number of common shares of our common stock outstanding on December 31 of the preceding calendar year (calculated on a fully diluted basis), (ii) 929,658 common shares or (iii) a number determined by the Company’s board of directors that is less than (i) and (ii). The Company did not issue any shares of common stock under the ESPP during the three months ended March 31, 2025 and 2024. As of March 31, 2025, 2,446,165 shares of common stock remained available for issuance under the ESPP. Stock-based compensation expense related to the ESPP for the three months ended March 31, 2025 and 2024 was immaterial.</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Reserved for Future Issuance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Common stock reserved for future issuance are as follows in common equivalent shares:</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140" w:type="dxa"/>
            <w:vAlign w:val="bottom"/>
          </w:tcPr>
          <w:p>
            <w:pPr>
              <w:spacing w:after="0"/>
              <w:rPr>
                <w:sz w:val="13"/>
                <w:szCs w:val="13"/>
                <w:color w:val="auto"/>
              </w:rPr>
            </w:pPr>
          </w:p>
        </w:tc>
        <w:tc>
          <w:tcPr>
            <w:tcW w:w="128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3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140" w:type="dxa"/>
            <w:vAlign w:val="bottom"/>
          </w:tcPr>
          <w:p>
            <w:pPr>
              <w:spacing w:after="0"/>
              <w:rPr>
                <w:sz w:val="15"/>
                <w:szCs w:val="15"/>
                <w:color w:val="auto"/>
              </w:rPr>
            </w:pPr>
          </w:p>
        </w:tc>
        <w:tc>
          <w:tcPr>
            <w:tcW w:w="12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12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r>
      <w:tr>
        <w:trPr>
          <w:trHeight w:val="210"/>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Warrants for the purchase of common stock</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9,679,158</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9,679,158</w:t>
            </w:r>
          </w:p>
        </w:tc>
        <w:tc>
          <w:tcPr>
            <w:tcW w:w="80" w:type="dxa"/>
            <w:vAlign w:val="bottom"/>
            <w:shd w:val="clear" w:color="auto" w:fill="CFF0FC"/>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options and restricted stock units issued and outstanding</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8,973,130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7,649,046</w:t>
            </w:r>
          </w:p>
        </w:tc>
        <w:tc>
          <w:tcPr>
            <w:tcW w:w="80" w:type="dxa"/>
            <w:vAlign w:val="bottom"/>
          </w:tcPr>
          <w:p>
            <w:pPr>
              <w:spacing w:after="0"/>
              <w:rPr>
                <w:sz w:val="18"/>
                <w:szCs w:val="18"/>
                <w:color w:val="auto"/>
              </w:rPr>
            </w:pPr>
          </w:p>
        </w:tc>
      </w:tr>
      <w:tr>
        <w:trPr>
          <w:trHeight w:val="216"/>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Awards available for future issuance under the 2020 Plan</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1,005,212</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1,154,335</w:t>
            </w:r>
          </w:p>
        </w:tc>
        <w:tc>
          <w:tcPr>
            <w:tcW w:w="80" w:type="dxa"/>
            <w:vAlign w:val="bottom"/>
            <w:shd w:val="clear" w:color="auto" w:fill="CFF0FC"/>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Awards available for future issuance under the ESPP</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2,446,165</w:t>
            </w:r>
          </w:p>
        </w:tc>
        <w:tc>
          <w:tcPr>
            <w:tcW w:w="20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1,691,892</w:t>
            </w:r>
          </w:p>
        </w:tc>
        <w:tc>
          <w:tcPr>
            <w:tcW w:w="80" w:type="dxa"/>
            <w:vAlign w:val="bottom"/>
          </w:tcPr>
          <w:p>
            <w:pPr>
              <w:spacing w:after="0"/>
              <w:rPr>
                <w:sz w:val="18"/>
                <w:szCs w:val="18"/>
                <w:color w:val="auto"/>
              </w:rPr>
            </w:pPr>
          </w:p>
        </w:tc>
      </w:tr>
      <w:tr>
        <w:trPr>
          <w:trHeight w:val="250"/>
        </w:trPr>
        <w:tc>
          <w:tcPr>
            <w:tcW w:w="6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common stock reserved for future issuance</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22,103,665</w:t>
            </w:r>
          </w:p>
        </w:tc>
        <w:tc>
          <w:tcPr>
            <w:tcW w:w="2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20,174,431</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-24765</wp:posOffset>
            </wp:positionV>
            <wp:extent cx="603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603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Collaboration, License and Option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Co-Development and Collaboration Agreement with BeiGene</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April 2019, the Company entered into a Global Co-Development and Collaboration agreement (the “BeiGene Collaboration”) with BeiGene, Ltd. and BeiGene Switzerland GmbH (collectively “BeiGene”), for the development, manufacturing and commercialization of evalstotug (BA3071). The BeiGene Collaboration was amended several times between 2019 and 2021 and the Company received a total of $25.0 million in non-refundable payments from BeiGene during that time.</w:t>
      </w:r>
    </w:p>
    <w:p>
      <w:pPr>
        <w:spacing w:after="0" w:line="166" w:lineRule="exact"/>
        <w:rPr>
          <w:sz w:val="20"/>
          <w:szCs w:val="20"/>
          <w:color w:val="auto"/>
        </w:rPr>
      </w:pPr>
    </w:p>
    <w:p>
      <w:pPr>
        <w:ind w:right="140" w:firstLine="509"/>
        <w:spacing w:after="0" w:line="274" w:lineRule="auto"/>
        <w:rPr>
          <w:sz w:val="20"/>
          <w:szCs w:val="20"/>
          <w:color w:val="auto"/>
        </w:rPr>
      </w:pPr>
      <w:r>
        <w:rPr>
          <w:rFonts w:ascii="Times New Roman" w:cs="Times New Roman" w:eastAsia="Times New Roman" w:hAnsi="Times New Roman"/>
          <w:sz w:val="17"/>
          <w:szCs w:val="17"/>
          <w:color w:val="auto"/>
        </w:rPr>
        <w:t>In November 2021, the BeiGene Collaboration was terminated, subject to survival of certain provisions, and BeiGene handed back rights to know-how and materials received under the amended BeiGene Collaboration. As a result, the Company is responsible for the global development and commercialization of evalstotug. As consideration for this amendment, the Company agreed to pay BeiGene mid-single digit royalties on sales worldwide and on a limited basis will share in any upfront and milestone payments received through a sublicense of evalstotug. The Company reclassified its then remaining $19.8 million of deferred revenue as a long-term liability which is expected to settle as licensing payments are made to BeiGene in accordance with the resulting amendment. In the event the license is terminated, the liability will be extinguished with no further payment to BeiGene.</w:t>
      </w:r>
    </w:p>
    <w:p>
      <w:pPr>
        <w:spacing w:after="0" w:line="146"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Company did not recognize any revenue related to the collaboration agreement with BeiGene during the three months ended March 31, 2025 and 2024. The Company had a $19.8 million Liability to Licensor as of March 31, 2025 and December 31,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Context Therapeutics Inc.</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September 2024, the Company entered into a License Agreement (the “Context License Agreement”) with Context Therapeutics Inc. (“Context”). Under the terms of the Context License Agreement, BioAtla granted Context an exclusive, worldwide license to develop, manufacture and commercialize two licensed antibodies, including BA3362 (renamed by Context as CT-202), the Company’s Nectin-4 x CD3 T cell engaging (TCE) bispecific antibody (the “License”). The Company also transferred know-how, including any necessary materials Context would need to perform research and development. In exchange for the License, the Company is eligible to receive up to $133.5 million in aggregate payments, including an upfront cash payment and potential development, regulatory and commercial milestones, as well as tiered mid-single digit to low double-digit royalties on future net sales of the products. In connection with the execution of the Context License Agreement, the Company also entered into an agreement with Himalaya Therapeutics SECZ, a related party (See Note 8).</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14" w:name="page15"/>
    <w:bookmarkEnd w:id="14"/>
    <w:p>
      <w:pPr>
        <w:jc w:val="both"/>
        <w:ind w:right="460" w:firstLine="509"/>
        <w:spacing w:after="0" w:line="266" w:lineRule="auto"/>
        <w:rPr>
          <w:sz w:val="20"/>
          <w:szCs w:val="20"/>
          <w:color w:val="auto"/>
        </w:rPr>
      </w:pPr>
      <w:r>
        <w:rPr>
          <w:rFonts w:ascii="Times New Roman" w:cs="Times New Roman" w:eastAsia="Times New Roman" w:hAnsi="Times New Roman"/>
          <w:sz w:val="18"/>
          <w:szCs w:val="18"/>
          <w:color w:val="auto"/>
        </w:rPr>
        <w:t>A single performance obligation was identified under the Context License Agreement comprised of BioAtla’s promise to transfer the License. Context is responsible for developing BA3362 and for global regulatory filings and commercialization. Context will bear all costs associated with the research, development, and commercialization of any products.</w:t>
      </w:r>
    </w:p>
    <w:p>
      <w:pPr>
        <w:spacing w:after="0" w:line="162"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In accordance with Topic 606, the Company determined the transaction price of the agreement is limited to the up-front payment received, and excluded the variable consideration of development and sale milestone payments and royalties as they are fully constrained. As part of the Company’s evaluation of the milestone constraints, the Company determined the achievement of such milestones are contingent upon success in future developments, regulatory approvals and commercial activities, which are not within its control and are uncertain at this stage. Variable consideration related to royalties will be recognized when the related sales occur. All variable consideration remains fully constrained as of March 31, 2025. Further, the Company determined that there were no significant financing components, noncash consideration, or amounts that may be refunded to the customer.</w:t>
      </w:r>
    </w:p>
    <w:p>
      <w:pPr>
        <w:spacing w:after="0" w:line="160"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Management determined that the transfer of the License did not meet any of the criteria for recognizing revenue over time, and therefore revenue was recognized at the point in time that the Context License Agreement was executed and the License was transferred to Context. Additional revenue will be recognized for development milestone payments, the sales milestone payments, and the royalty payments if and when the constraints are resolved.</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Company did not recognize any revenue related to the Context License Agreement for the three months ended March 31, 2025 and 2024.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Related Party Transactions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Himalaya Therapeutics SEZC</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Trial Services Agreement</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January 2024, the Company entered into an amended Clinical Trial Services Agreement (as so amended, the “Clinical Trial Services Agreement”) with Himalaya Therapeutics SEZC (“Himalaya”). Under the Clinical Trial Services Agreement, BioAtla paid Himalaya for the services related to the initiation of clinical trials for evalstotug in China for a period of 12 months. All payments have been made under the Clinical Trial Services Agreement as of December 31, 2024.</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Global Transaction Agreement</w:t>
      </w:r>
    </w:p>
    <w:p>
      <w:pPr>
        <w:spacing w:after="0" w:line="11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September 2024, the Company entered into a Global Transaction Agreement (the “Himalaya Agreement”) with Himalaya. BioAtla and Himalaya had previously entered into an Amended and Restated Exclusive Rights Agreement (the “Amended Rights Agreement”) in January of 2020. Pursuant to the Amended Rights Agreement, Himalaya controls rights to develop, manufacture and commercialize certain assets, including BA3362 which was licensed to Context (see Note 8), in certain territories as further specified in the Amended Rights Agreement. Pursuant to the Himalaya Agreement, Himalaya consented to BioAtla’s execution and performance of the Agreement, and granted to BioAtla an exclusive, worldwide, sublicensable license for those impacted products and intellectual property. Further, as set forth in the Amended Rights Agreement and further clarified in the Himalaya Agreement, BioAtla agreed to pay, subject to any applicable tax withholdings, to Himalaya (i) a mid-teens percentage of all upfront payments and development milestones received by BioAtla from Context under the Context License Agreement; and (ii) a specified percentage of any and all sales milestones and/or royalties based upon Net Sales (as defined in the Context License Agreement) in the People’s Republic of China and the Special Administrative Regions of Hong Kong, Macao and Taiwan that BioAtla receives from Context under the Context License Agreement.</w:t>
      </w:r>
    </w:p>
    <w:p>
      <w:pPr>
        <w:spacing w:after="0" w:line="16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Company is the principal in the Context License Agreement and in the Himalaya Agreement, and will record revenues and expenses on a gross basis given that the Company had full discretion in setting consideration pricing in the Context License Agreement, the Company will be primarily responsible for providing the License, and Himalaya has no obligation to be a part of any of the fulfillment activities.</w:t>
      </w:r>
    </w:p>
    <w:p>
      <w:pPr>
        <w:spacing w:after="0" w:line="162"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the Company did not recognize any expense related to the transactions with Himalaya, compared to $0.1 million for the three months ended March 31, 2024. The Company did not have any amounts due to Himalaya as of March 31,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401(k) Plan</w:t>
      </w:r>
    </w:p>
    <w:p>
      <w:pPr>
        <w:spacing w:after="0" w:line="121" w:lineRule="exact"/>
        <w:rPr>
          <w:sz w:val="20"/>
          <w:szCs w:val="20"/>
          <w:color w:val="auto"/>
        </w:rPr>
      </w:pPr>
    </w:p>
    <w:p>
      <w:pPr>
        <w:ind w:right="400" w:firstLine="509"/>
        <w:spacing w:after="0" w:line="257" w:lineRule="auto"/>
        <w:rPr>
          <w:sz w:val="20"/>
          <w:szCs w:val="20"/>
          <w:color w:val="auto"/>
        </w:rPr>
      </w:pPr>
      <w:r>
        <w:rPr>
          <w:rFonts w:ascii="Times New Roman" w:cs="Times New Roman" w:eastAsia="Times New Roman" w:hAnsi="Times New Roman"/>
          <w:sz w:val="18"/>
          <w:szCs w:val="18"/>
          <w:color w:val="auto"/>
        </w:rPr>
        <w:t>The Company maintains a defined contribution 401(k) plan available to eligible employees. Employee contributions are voluntary and are determined on an individual basis, limited to the maximum amount allowable under federal tax regulations. The Company, at its discretion, may make certain matching contributions to the 401(k) plan. To date, the Company has not made any matching contributions.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11. Segment Information</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about which separate discrete financial information is available for evaluation by the chief operating decision-maker in making decisions regarding resource allocation and assessing performance. The Company is a clinical-stage biopharmaceutical company and has not generated any product revenue from its CAB antibody-based products. The Company’s operations are organized and reported as a single reportable segment, which includes all activities related to the discovery, development, and commercialization of its CAB products. The Company’s CODM, its chief executive officer, reviews operating results on an aggregate basis and manages the operations as a single operating segment. The measure of segment assets is reported on the balance sheets as total assets. The CODM evaluates performance and allocates resources based on net income or loss that also is reported on the condensed statements of operations and comprehensive loss as net loss, and cash used in operations.</w:t>
      </w:r>
    </w:p>
    <w:p>
      <w:pPr>
        <w:spacing w:after="0" w:line="162" w:lineRule="exact"/>
        <w:rPr>
          <w:sz w:val="20"/>
          <w:szCs w:val="20"/>
          <w:color w:val="auto"/>
        </w:rPr>
      </w:pPr>
    </w:p>
    <w:p>
      <w:pPr>
        <w:ind w:right="160" w:firstLine="464"/>
        <w:spacing w:after="0" w:line="282" w:lineRule="auto"/>
        <w:rPr>
          <w:sz w:val="20"/>
          <w:szCs w:val="20"/>
          <w:color w:val="auto"/>
        </w:rPr>
      </w:pPr>
      <w:r>
        <w:rPr>
          <w:rFonts w:ascii="Times New Roman" w:cs="Times New Roman" w:eastAsia="Times New Roman" w:hAnsi="Times New Roman"/>
          <w:sz w:val="18"/>
          <w:szCs w:val="18"/>
          <w:color w:val="auto"/>
        </w:rPr>
        <w:t>The following table provides R&amp;D expenses by program with a reconciliation to net loss for the periods indicated, which are regularly reviewed by the CODM:</w:t>
      </w:r>
    </w:p>
    <w:p>
      <w:pPr>
        <w:spacing w:after="0" w:line="56" w:lineRule="exact"/>
        <w:rPr>
          <w:sz w:val="20"/>
          <w:szCs w:val="20"/>
          <w:color w:val="auto"/>
        </w:rPr>
      </w:pPr>
    </w:p>
    <w:tbl>
      <w:tblPr>
        <w:tblLayout w:type="fixed"/>
        <w:tblInd w:w="8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20" w:type="dxa"/>
            <w:vAlign w:val="bottom"/>
            <w:gridSpan w:val="5"/>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6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(in</w:t>
            </w:r>
          </w:p>
        </w:tc>
        <w:tc>
          <w:tcPr>
            <w:tcW w:w="1180" w:type="dxa"/>
            <w:vAlign w:val="bottom"/>
            <w:gridSpan w:val="3"/>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w w:val="74"/>
              </w:rPr>
              <w:t>thousands)</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Program expenses:</w:t>
            </w:r>
          </w:p>
        </w:tc>
        <w:tc>
          <w:tcPr>
            <w:tcW w:w="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1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Mecbotamab vedotin, BA3011 (CAB AXL-ADC)</w:t>
            </w:r>
          </w:p>
        </w:tc>
        <w:tc>
          <w:tcPr>
            <w:tcW w:w="1000" w:type="dxa"/>
            <w:vAlign w:val="bottom"/>
            <w:gridSpan w:val="2"/>
          </w:tcPr>
          <w:p>
            <w:pPr>
              <w:jc w:val="right"/>
              <w:ind w:right="839"/>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2,941</w:t>
            </w:r>
          </w:p>
        </w:tc>
        <w:tc>
          <w:tcPr>
            <w:tcW w:w="120" w:type="dxa"/>
            <w:vAlign w:val="bottom"/>
          </w:tcPr>
          <w:p>
            <w:pPr>
              <w:spacing w:after="0"/>
              <w:rPr>
                <w:sz w:val="17"/>
                <w:szCs w:val="17"/>
                <w:color w:val="auto"/>
              </w:rPr>
            </w:pPr>
          </w:p>
        </w:tc>
        <w:tc>
          <w:tcPr>
            <w:tcW w:w="1060" w:type="dxa"/>
            <w:vAlign w:val="bottom"/>
            <w:gridSpan w:val="2"/>
          </w:tcPr>
          <w:p>
            <w:pPr>
              <w:jc w:val="right"/>
              <w:ind w:right="81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5,333</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1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Ozuriftamab vedotin, BA3021 (CAB ROR2-ADC)</w:t>
            </w:r>
          </w:p>
        </w:tc>
        <w:tc>
          <w:tcPr>
            <w:tcW w:w="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2,077</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2,541</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1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Evalstotug, BA3071 (CAB CTLA-4)</w:t>
            </w: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2,608</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1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BA3182 (CAB EpCAM x CAB CD3)</w:t>
            </w:r>
          </w:p>
        </w:tc>
        <w:tc>
          <w:tcPr>
            <w:tcW w:w="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939</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1,170</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1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Other CAB Programs</w:t>
            </w:r>
          </w:p>
        </w:tc>
        <w:tc>
          <w:tcPr>
            <w:tcW w:w="2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1,630</w:t>
            </w:r>
          </w:p>
        </w:tc>
        <w:tc>
          <w:tcPr>
            <w:tcW w:w="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program expenses</w:t>
            </w:r>
          </w:p>
        </w:tc>
        <w:tc>
          <w:tcPr>
            <w:tcW w:w="2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7,208</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13,282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1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Personnel and related</w:t>
            </w: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3,424</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1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Equity-based compensation</w:t>
            </w:r>
          </w:p>
        </w:tc>
        <w:tc>
          <w:tcPr>
            <w:tcW w:w="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775</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1,080</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1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Facilities and other</w:t>
            </w:r>
          </w:p>
        </w:tc>
        <w:tc>
          <w:tcPr>
            <w:tcW w:w="2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1,066</w:t>
            </w:r>
          </w:p>
        </w:tc>
        <w:tc>
          <w:tcPr>
            <w:tcW w:w="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research and development expenses</w:t>
            </w:r>
          </w:p>
        </w:tc>
        <w:tc>
          <w:tcPr>
            <w:tcW w:w="2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12,355</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18,852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07"/>
        </w:trPr>
        <w:tc>
          <w:tcPr>
            <w:tcW w:w="20" w:type="dxa"/>
            <w:vAlign w:val="bottom"/>
          </w:tcPr>
          <w:p>
            <w:pPr>
              <w:spacing w:after="0"/>
              <w:rPr>
                <w:sz w:val="17"/>
                <w:szCs w:val="17"/>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61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Personnel and related</w:t>
            </w:r>
          </w:p>
        </w:tc>
        <w:tc>
          <w:tcPr>
            <w:tcW w:w="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2,102</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1,969</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1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Equity-based compensation</w:t>
            </w: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1,220</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1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Facilities and other</w:t>
            </w:r>
          </w:p>
        </w:tc>
        <w:tc>
          <w:tcPr>
            <w:tcW w:w="2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2,287</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2,416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6"/>
                <w:szCs w:val="16"/>
                <w:color w:val="auto"/>
              </w:rPr>
              <w:t>Total general and administrative expenses</w:t>
            </w:r>
          </w:p>
        </w:tc>
        <w:tc>
          <w:tcPr>
            <w:tcW w:w="2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5,259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5,605</w:t>
            </w:r>
          </w:p>
        </w:tc>
        <w:tc>
          <w:tcPr>
            <w:tcW w:w="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and other income</w:t>
            </w:r>
          </w:p>
        </w:tc>
        <w:tc>
          <w:tcPr>
            <w:tcW w:w="2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2,280</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6"/>
                <w:szCs w:val="16"/>
                <w:color w:val="auto"/>
              </w:rPr>
              <w:t>Net loss and comprehensive loss</w:t>
            </w:r>
          </w:p>
        </w:tc>
        <w:tc>
          <w:tcPr>
            <w:tcW w:w="1000" w:type="dxa"/>
            <w:vAlign w:val="bottom"/>
            <w:gridSpan w:val="2"/>
          </w:tcPr>
          <w:p>
            <w:pPr>
              <w:jc w:val="right"/>
              <w:ind w:right="83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(15,334)</w:t>
            </w:r>
          </w:p>
        </w:tc>
        <w:tc>
          <w:tcPr>
            <w:tcW w:w="1060" w:type="dxa"/>
            <w:vAlign w:val="bottom"/>
            <w:gridSpan w:val="2"/>
          </w:tcPr>
          <w:p>
            <w:pPr>
              <w:jc w:val="right"/>
              <w:ind w:right="81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(23,234)</w:t>
            </w: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-1499870</wp:posOffset>
            </wp:positionV>
            <wp:extent cx="603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-1499870</wp:posOffset>
            </wp:positionV>
            <wp:extent cx="603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-967740</wp:posOffset>
            </wp:positionV>
            <wp:extent cx="603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-967740</wp:posOffset>
            </wp:positionV>
            <wp:extent cx="603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-436245</wp:posOffset>
            </wp:positionV>
            <wp:extent cx="603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-436245</wp:posOffset>
            </wp:positionV>
            <wp:extent cx="603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-162560</wp:posOffset>
            </wp:positionV>
            <wp:extent cx="6032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-162560</wp:posOffset>
            </wp:positionV>
            <wp:extent cx="6032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together with our unaudited condensed financial statements and notes thereto included in “Item 1. Financial Statements” of this Quarterly Report on Form 10-Q and the audited financial statements and notes thereto as of and for the year ended December 31, 2024 included in the Annual Report on Form 10-K, filed with the Securities and Exchange Commission, or the SEC, on March 28, 2025. In addition to historical information, this Quarterly Report contains forward-looking statements that involve risks, uncertainties, and assumptions. Our actual results may differ materially from those anticipated in these forward-looking statements as a result of certain factors, including but not limited to those set forth under the caption “Risk Factors” in the Annual Report on form 10-K, and the caption “Risk Factors” in this Quarterly Report, as updated by our subsequent filings under the Securities Exchange Act of 1934, as amended, or the Exchange Act. Furthermore, past operating results are not necessarily indicative of results that may occur in future periods.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We are a clinical-stage biopharmaceutical company developing our novel class of highly specific and selective antibody-based therapeutics for the treatment of solid tumor cancer. Our CABs capitalize on our proprietary discoveries with respect to tumor biology, enabling us to target known and widely validated tumor antigens that have previously been difficult or impossible to target. Our novel CAB therapeutic candidates exploit characteristic pH differences between the tumor microenvironment and healthy tissue. Unlike healthy tissue, the tumor microenvironment is acidic, and we have designed our antibodies to selectively bind to their targets on tumor cells under acidic pH conditions but not on targets in normal tissues. Our approach is to identify the necessary targeting and potency required for cancer cell destruction, while aiming to eliminate or greatly reduce on-target, off-tumor toxicity—one of the fundamental challenges of existing cancer therapies.</w:t>
      </w:r>
    </w:p>
    <w:p>
      <w:pPr>
        <w:spacing w:after="0" w:line="162"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We are a United States-based company with facilities in San Diego, California. Since the commencement of our operations, we have focused substantially all of our resources on conducting research and development activities, including drug discovery, preclinical studies and clinical trials of our product candidates, including the ongoing Phase 2 clinical trials of mecbotamab vedotin (BA3011), ozuriftamab vedotin (BA3021), evalstotug (BA3071), and our Phase 1 clinical trial of BA3182 (CAB-EpCAM x CAB-CD3), establishing and maintaining our intellectual property portfolio, manufacturing clinical and research material through third parties, hiring personnel, establishing product development and commercialization collaborations with third parties, raising capital and providing general and administrative support for these operations. Since 2014, such research and development activities have exclusively related to the research, development, manufacture and Phase 1 and Phase 2 clinical testing of our CAB antibody-based product candidates and the strengthening of our proprietary CAB technology platform and pipeline.</w:t>
      </w:r>
    </w:p>
    <w:p>
      <w:pPr>
        <w:spacing w:after="0" w:line="178"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have incurred significant losses to date. Our ability to generate product revenue sufficient to achieve profitability will depend on the successful development and eventual commercialization of one or more of our current and future product candidates. Our net loss was $15.3 million for the three months ended March 31, 2025, compared to $23.2 million for the three months ended March 31, 2024. As of March 31, 2025, we had an accumulated deficit of $501.4 million. These losses have resulted primarily from costs incurred in connection with research and development activities and general and administrative costs associated with our operations. We do not expect to generate meaningful revenue from product sales for the foreseeable future, and we expect to continue to incur significant operating expenses for the foreseeable future due to the cost of research and development, including conducting clinical trials and the regulatory approval process for our product candidates, as well as identifying and designing product candidates and conducting preclinical studies. We expect our expenses, and the potential for losses, to be variable as we focus development efforts on selected assets and indications. We expect research and development expenses to decrease in the near term as we complete enrollment and treatment of patients in certain of our trials.</w:t>
      </w:r>
    </w:p>
    <w:p>
      <w:pPr>
        <w:spacing w:after="0" w:line="16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Over the long-term, we expect our expenses to increase substantially in connection with the development of our clinical programs beyond our existing Phase 1 and Phase 2 clinical trials and through the commercialization of our product candidates. As a result, we will require substantial additional capital to develop and commercialize our product candidates and fund operations for the foreseeable future. Until such time as we can generate significant revenue from product sales, if ever, we expect to finance our operations through a combination of public or private equity offerings, debt financings, collaborations and other similar arrangements. The amount and timing of our future funding requirements will depend on many factors, including the pace and results of our development efforts. We cannot assure you that we will ever be profitable or generate positive cash flow from operating activities.</w:t>
      </w:r>
    </w:p>
    <w:p>
      <w:pPr>
        <w:spacing w:after="0" w:line="174"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As of March 31, 2025, our cash and cash equivalents totaled approximately $32.4 million. Accordingly, based on our current operating plan, and along with our history of operating losses, our current cash and cash equivalents may not to be sufficient to fund our ongoing operations for a period of at least twelve months from the date the financial statements included in this report are issued, and these circumstances raise substantial doubt about our ability to continue as a going concern.</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 date, we have not generated any revenue from the sale of products and do not expect to generate meaningful revenue in the near future.</w:t>
      </w:r>
    </w:p>
    <w:p>
      <w:pPr>
        <w:spacing w:after="0" w:line="19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 has entered into collaborations and licensing agreements with various third parties that, in some cases, may provide for potential future milestone and royalty payments to us (see Note 7 to our financial statements). In September 2024, the Company licensed BA3362, a Nectin-4 x CD3 T cell engaging bispecific antibody, to Context Therapeutics (“Context”). We did not recognize any revenue during the three months ended March 31, 2025 and 2024, related to the licensing agreement with Context.</w:t>
      </w:r>
    </w:p>
    <w:p>
      <w:pPr>
        <w:spacing w:after="0" w:line="166"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Prior to developing our own programs, we received revenue from services performed under fixed price service contracts that, in some cases, provided for potential milestone and royalty payments to us. We did not recognize any revenue from our legacy service contracts during the three months ended March 31, 2025 and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Research and development expenses consist primarily of costs incurred in the discovery and development of our product candidates.</w:t>
      </w:r>
    </w:p>
    <w:p>
      <w:pPr>
        <w:spacing w:after="0" w:line="117" w:lineRule="exact"/>
        <w:rPr>
          <w:sz w:val="20"/>
          <w:szCs w:val="20"/>
          <w:color w:val="auto"/>
        </w:rPr>
      </w:pPr>
    </w:p>
    <w:p>
      <w:pPr>
        <w:ind w:left="1020" w:hanging="38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expenses consist of:</w:t>
      </w:r>
    </w:p>
    <w:p>
      <w:pPr>
        <w:spacing w:after="0" w:line="117" w:lineRule="exact"/>
        <w:rPr>
          <w:rFonts w:ascii="Times New Roman" w:cs="Times New Roman" w:eastAsia="Times New Roman" w:hAnsi="Times New Roman"/>
          <w:sz w:val="18"/>
          <w:szCs w:val="18"/>
          <w:color w:val="auto"/>
        </w:rPr>
      </w:pPr>
    </w:p>
    <w:p>
      <w:pPr>
        <w:ind w:left="1380" w:right="740" w:hanging="374"/>
        <w:spacing w:after="0" w:line="282" w:lineRule="auto"/>
        <w:tabs>
          <w:tab w:leader="none" w:pos="13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third parties such as contractors, clinical research organizations (CROs) and consultants, and other costs related to preclinical and clinical trials;</w:t>
      </w:r>
    </w:p>
    <w:p>
      <w:pPr>
        <w:spacing w:after="0" w:line="53" w:lineRule="exact"/>
        <w:rPr>
          <w:rFonts w:ascii="Times New Roman" w:cs="Times New Roman" w:eastAsia="Times New Roman" w:hAnsi="Times New Roman"/>
          <w:sz w:val="18"/>
          <w:szCs w:val="18"/>
          <w:color w:val="auto"/>
        </w:rPr>
      </w:pPr>
    </w:p>
    <w:p>
      <w:pPr>
        <w:ind w:left="1380" w:right="500" w:hanging="374"/>
        <w:spacing w:after="0" w:line="282" w:lineRule="auto"/>
        <w:tabs>
          <w:tab w:leader="none" w:pos="13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third parties such as contract manufacturing organizations (CMOs) and other vendors for manufacturing research and clinical trial materials; and</w:t>
      </w:r>
    </w:p>
    <w:p>
      <w:pPr>
        <w:spacing w:after="0" w:line="53" w:lineRule="exact"/>
        <w:rPr>
          <w:rFonts w:ascii="Times New Roman" w:cs="Times New Roman" w:eastAsia="Times New Roman" w:hAnsi="Times New Roman"/>
          <w:sz w:val="18"/>
          <w:szCs w:val="18"/>
          <w:color w:val="auto"/>
        </w:rPr>
      </w:pPr>
    </w:p>
    <w:p>
      <w:pPr>
        <w:ind w:left="1380" w:hanging="374"/>
        <w:spacing w:after="0"/>
        <w:tabs>
          <w:tab w:leader="none" w:pos="13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laboratory supplies and services.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Unallocated expenses consist of:</w:t>
      </w:r>
    </w:p>
    <w:p>
      <w:pPr>
        <w:spacing w:after="0" w:line="117" w:lineRule="exact"/>
        <w:rPr>
          <w:rFonts w:ascii="Times New Roman" w:cs="Times New Roman" w:eastAsia="Times New Roman" w:hAnsi="Times New Roman"/>
          <w:sz w:val="18"/>
          <w:szCs w:val="18"/>
          <w:color w:val="auto"/>
        </w:rPr>
      </w:pPr>
    </w:p>
    <w:p>
      <w:pPr>
        <w:ind w:left="1380" w:right="420" w:hanging="374"/>
        <w:spacing w:after="0" w:line="282" w:lineRule="auto"/>
        <w:tabs>
          <w:tab w:leader="none" w:pos="13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Personnel-related expenses, including salaries, benefits and equity-based compensation expenses, for personnel in our research and development functions; and</w:t>
      </w:r>
    </w:p>
    <w:p>
      <w:pPr>
        <w:spacing w:after="0" w:line="53" w:lineRule="exact"/>
        <w:rPr>
          <w:rFonts w:ascii="Times New Roman" w:cs="Times New Roman" w:eastAsia="Times New Roman" w:hAnsi="Times New Roman"/>
          <w:sz w:val="18"/>
          <w:szCs w:val="18"/>
          <w:color w:val="auto"/>
        </w:rPr>
      </w:pPr>
    </w:p>
    <w:p>
      <w:pPr>
        <w:ind w:left="1380" w:hanging="374"/>
        <w:spacing w:after="0"/>
        <w:tabs>
          <w:tab w:leader="none" w:pos="13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equipment and facilities depreciation expense.</w:t>
      </w:r>
    </w:p>
    <w:p>
      <w:pPr>
        <w:spacing w:after="0" w:line="198"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We expense research and development costs in the periods in which they are incurred. Nonrefundable advance payments for goods or services to be received in future periods for use in research and development activities are deferred and capitalized. The capitalized amounts are then expensed as the related goods are delivered and services are performed.</w:t>
      </w:r>
    </w:p>
    <w:p>
      <w:pPr>
        <w:spacing w:after="0" w:line="16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expect our research and development expenses to decrease in the near term as we complete enrollment and treatment in certain of our clinical trials and focus development on selected high potential indications. However, research and development could increase upon initiation of new clinical trials, including registrational trials for our lead product candidates. The process of conducting the necessary preclinical and clinical research to obtain regulatory approval is costly and time-consuming. Successful product candidates in later stages of clinical development generally have higher development costs than those in earlier stages of clinical development, primarily due to the increased size and duration of later-stage clinical trials. Accordingly, to the extent that our product candidates continue to advance into clinical trials, including larger and later-stage clinical trials, our expenses will increase substantially and may become more variable. The actual probability of success for our product candidates may be affected by a variety of factors, including the safety and efficacy of our product candidates, the quality and consistency in their manufacture, investment in our clinical programs and competition with other products. As a result of these variables, we are unable to determine the duration and completion costs of our research and development projects and programs or when and to what extent we will generate revenue from the commercialization and sale of our product candidates. We may never succeed in achieving regulatory approval for any of our product candidates.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ind w:right="360" w:firstLine="509"/>
        <w:spacing w:after="0" w:line="255" w:lineRule="auto"/>
        <w:rPr>
          <w:sz w:val="20"/>
          <w:szCs w:val="20"/>
          <w:color w:val="auto"/>
        </w:rPr>
      </w:pPr>
      <w:r>
        <w:rPr>
          <w:rFonts w:ascii="Times New Roman" w:cs="Times New Roman" w:eastAsia="Times New Roman" w:hAnsi="Times New Roman"/>
          <w:sz w:val="18"/>
          <w:szCs w:val="18"/>
          <w:color w:val="auto"/>
        </w:rPr>
        <w:t>Our general and administrative expenses include personnel-related expenses for personnel in our executive, finance, corporate and other administrative functions, intellectual property and patent costs, facilities and other allocated expenses, other expenses for outside professional services, including legal, human resources, investor relations, audit and accounting services and insurance costs. Personnel-related expenses consist of salaries, benefits and equity-based compensation.</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income consists primarily of interest earned on our cash and cash equivalent balances.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on warrant liability</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Gain on warrant liability relates to the changes in the fair value of our liability-classified warrants to purchase common stock.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2025 and 2024</w:t>
      </w:r>
    </w:p>
    <w:p>
      <w:pPr>
        <w:spacing w:after="0" w:line="318"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20" w:type="dxa"/>
            <w:vAlign w:val="bottom"/>
            <w:gridSpan w:val="6"/>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80" w:type="dxa"/>
            <w:vAlign w:val="bottom"/>
          </w:tcPr>
          <w:p>
            <w:pPr>
              <w:spacing w:after="0"/>
              <w:rPr>
                <w:sz w:val="12"/>
                <w:szCs w:val="12"/>
                <w:color w:val="auto"/>
              </w:rPr>
            </w:pPr>
          </w:p>
        </w:tc>
        <w:tc>
          <w:tcPr>
            <w:tcW w:w="1000" w:type="dxa"/>
            <w:vAlign w:val="bottom"/>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00" w:type="dxa"/>
            <w:vAlign w:val="bottom"/>
            <w:gridSpan w:val="2"/>
            <w:vMerge w:val="continue"/>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12,355</w:t>
            </w:r>
          </w:p>
        </w:tc>
        <w:tc>
          <w:tcPr>
            <w:tcW w:w="140" w:type="dxa"/>
            <w:vAlign w:val="bottom"/>
          </w:tcPr>
          <w:p>
            <w:pPr>
              <w:spacing w:after="0"/>
              <w:rPr>
                <w:sz w:val="18"/>
                <w:szCs w:val="18"/>
                <w:color w:val="auto"/>
              </w:rPr>
            </w:pP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18,852</w:t>
            </w:r>
          </w:p>
        </w:tc>
        <w:tc>
          <w:tcPr>
            <w:tcW w:w="14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(6,843)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(17,614)</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(24,457)</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Gain on warrant liability</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2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(15,334)</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(23,234)</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-1010920</wp:posOffset>
            </wp:positionV>
            <wp:extent cx="603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-1010920</wp:posOffset>
            </wp:positionV>
            <wp:extent cx="603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-1010920</wp:posOffset>
            </wp:positionV>
            <wp:extent cx="603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-170815</wp:posOffset>
            </wp:positionV>
            <wp:extent cx="6032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-170815</wp:posOffset>
            </wp:positionV>
            <wp:extent cx="6032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-170815</wp:posOffset>
            </wp:positionV>
            <wp:extent cx="6032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allocated by CAB program for the periods indicated:</w:t>
      </w:r>
    </w:p>
    <w:p>
      <w:pPr>
        <w:spacing w:after="0" w:line="31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78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9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0" w:type="dxa"/>
            <w:vAlign w:val="bottom"/>
          </w:tcPr>
          <w:p>
            <w:pPr>
              <w:jc w:val="right"/>
              <w:ind w:right="5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80" w:type="dxa"/>
            <w:vAlign w:val="bottom"/>
            <w:vMerge w:val="continue"/>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expenses: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Mecbotamab vedotin, BA3011 (CAB AXL-ADC)</w:t>
            </w:r>
          </w:p>
        </w:tc>
        <w:tc>
          <w:tcPr>
            <w:tcW w:w="980" w:type="dxa"/>
            <w:vAlign w:val="bottom"/>
          </w:tcPr>
          <w:p>
            <w:pPr>
              <w:jc w:val="right"/>
              <w:ind w:right="820"/>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2,941</w:t>
            </w:r>
          </w:p>
        </w:tc>
        <w:tc>
          <w:tcPr>
            <w:tcW w:w="8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5,333</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(2,392)</w:t>
            </w: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Ozuriftamab vedotin, BA3021 (CAB ROR2-ADC)</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2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16"/>
        </w:trPr>
        <w:tc>
          <w:tcPr>
            <w:tcW w:w="4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Evalstotug, BA3071 (CAB CTLA-4)</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2,608</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(2,429)</w:t>
            </w: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BA3182 (CAB EpCAM x CAB CD3)</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2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16"/>
        </w:trPr>
        <w:tc>
          <w:tcPr>
            <w:tcW w:w="4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CAB Programs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external expenses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7,208</w:t>
            </w:r>
          </w:p>
        </w:tc>
        <w:tc>
          <w:tcPr>
            <w:tcW w:w="2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13,282</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(6,074)</w:t>
            </w:r>
          </w:p>
        </w:tc>
        <w:tc>
          <w:tcPr>
            <w:tcW w:w="0" w:type="dxa"/>
            <w:vAlign w:val="bottom"/>
          </w:tcPr>
          <w:p>
            <w:pPr>
              <w:spacing w:after="0"/>
              <w:rPr>
                <w:sz w:val="1"/>
                <w:szCs w:val="1"/>
                <w:color w:val="auto"/>
              </w:rPr>
            </w:pPr>
          </w:p>
        </w:tc>
      </w:tr>
      <w:tr>
        <w:trPr>
          <w:trHeight w:val="216"/>
        </w:trPr>
        <w:tc>
          <w:tcPr>
            <w:tcW w:w="4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Personnel and related</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3,457</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3,424</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Equity-based compensation</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2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16"/>
        </w:trPr>
        <w:tc>
          <w:tcPr>
            <w:tcW w:w="4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Facilities and other</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980" w:type="dxa"/>
            <w:vAlign w:val="bottom"/>
            <w:shd w:val="clear" w:color="auto" w:fill="CFF0FC"/>
          </w:tcPr>
          <w:p>
            <w:pPr>
              <w:jc w:val="right"/>
              <w:ind w:right="820"/>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12,355</w:t>
            </w:r>
          </w:p>
        </w:tc>
        <w:tc>
          <w:tcPr>
            <w:tcW w:w="840" w:type="dxa"/>
            <w:vAlign w:val="bottom"/>
            <w:gridSpan w:val="2"/>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18,852</w:t>
            </w:r>
          </w:p>
        </w:tc>
        <w:tc>
          <w:tcPr>
            <w:tcW w:w="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(6,497)</w:t>
            </w:r>
          </w:p>
        </w:tc>
        <w:tc>
          <w:tcPr>
            <w:tcW w:w="0" w:type="dxa"/>
            <w:vAlign w:val="bottom"/>
          </w:tcPr>
          <w:p>
            <w:pPr>
              <w:spacing w:after="0"/>
              <w:rPr>
                <w:sz w:val="1"/>
                <w:szCs w:val="1"/>
                <w:color w:val="auto"/>
              </w:rPr>
            </w:pPr>
          </w:p>
        </w:tc>
      </w:tr>
      <w:tr>
        <w:trPr>
          <w:trHeight w:val="20"/>
        </w:trPr>
        <w:tc>
          <w:tcPr>
            <w:tcW w:w="478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-24765</wp:posOffset>
            </wp:positionV>
            <wp:extent cx="596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-7620</wp:posOffset>
            </wp:positionV>
            <wp:extent cx="596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-24765</wp:posOffset>
            </wp:positionV>
            <wp:extent cx="603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-7620</wp:posOffset>
            </wp:positionV>
            <wp:extent cx="603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-24765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-7620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Research and development expenses were $12.4 million and $18.9 million for the three months ended March 31, 2025 and 2024, respectively. The decrease of approximately $6.5 million was primarily driven by a decrease of $6.1 million in program development costs for our clinical programs due to lower enrollment and lower overall expense as we complete Phase 2 trials for mecbotamab vedotin, ozuriftamab vedotin, and evalstotug, a $0.5 million decrease in personnel-related expense due to lower headcount, a $0.3 million decrease in stock-based compensation related to awards issued under our 2020 Equity Incentive Plan, and a $0.2 million decrease in facilities and other allocated expense. This was offset by a $0.5 million severance charge in R&amp;D related to our workforce reduction announced in March 2025.</w:t>
      </w:r>
    </w:p>
    <w:p>
      <w:pPr>
        <w:spacing w:after="0" w:line="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307" w:right="4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119"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$5.3 million and $5.6 million for the three months ended March 31, 2025 and 2024, respectively. The decrease of approximately $0.3 million was primarily driven by a $0.3 million decrease in stock-based compensation related to awards issued under our 2020 Equity Incentive Plan, a $0.1 million decrease in insurance primarily due to lower D&amp;O insurance premiums, offset by a $0.1 million severance charge in general and administrative expense related to our workforce reduction announced in March 2025.</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Interest income was $0.4 million and $1.2 million for the three months ended March 31, 2025 and 2024, respectively. The decrease of $0.8 million was due to lower cash and cash equivalents and lower interest rates during same period in 2024.</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on warrant liability</w:t>
      </w:r>
    </w:p>
    <w:p>
      <w:pPr>
        <w:spacing w:after="0" w:line="11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Gain on warrant liability was $1.9 million and $0 for the three months ended March 31, 2025 and 2024, respectively. The increase of $1.9 million was due to the change in fair value of the warrants we issued in December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We have incurred aggregate net losses and negative cash flows from operations since our inception and anticipate we will continue to incur net losses for the foreseeable future. Since July 2020, we have funded our operations primarily through the issuance of equity. As of March 31, 2025, we had cash and cash equivalents of $32.4 million.</w:t>
      </w:r>
    </w:p>
    <w:p>
      <w:pPr>
        <w:spacing w:after="0" w:line="14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January 2023, the Company entered into an Open Market Sale Agreement (the “Sales Agreement”) with Jefferies LLC (“Jefferies”) acting as sales agent pursuant to which the Company may, from time to time at its sole discretion, sell shares of the Company’s common stock, with aggregate gross sales proceeds of up to $100.0 million, pursuant to the Company’s then-effective shelf registration statement on Form S-3 (File No. 333-262528) which expired in February 2025. The Company will pay Jefferies a commission of 3.0% of the aggregate gross proceeds the Company receives from all sales of the Company’s common stock under the Sales Agreement. We have not sold any shares of our common stock under the Sales Agreement as of March 31, 2025.</w:t>
      </w:r>
    </w:p>
    <w:p>
      <w:pPr>
        <w:spacing w:after="0" w:line="17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December 2024, the Company closed on an offering (the “December 2024 Offering”) of 9,679,158 shares of common stock at a price of $0.9520 per share with accompanying warrants to purchase up to 9,679,158 shares of common stock, which have an exercise price of $1.19 per share (the “Warrants”). The gross proceeds from the December 2024 Offering were approximately $9.2 million, before deducting $0.7 million of placement agent fees and other offering expenses payable by the Company. The accompanying Warrants become exercisable beginning six months from issuance and will expire five years from the date of initial exercisability. Accordingly, there were 9,679,158 Warrants outstanding but not yet exercisable at March 31, 2025.</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Our primary uses of cash are to fund operating expenses, which consist primarily of research and development expenses related to our programs and related personnel costs. The timing and amount of future funding requirements depends on many factors, including the following:</w:t>
      </w:r>
    </w:p>
    <w:p>
      <w:pPr>
        <w:spacing w:after="0" w:line="54" w:lineRule="exact"/>
        <w:rPr>
          <w:sz w:val="20"/>
          <w:szCs w:val="20"/>
          <w:color w:val="auto"/>
        </w:rPr>
      </w:pPr>
    </w:p>
    <w:p>
      <w:pPr>
        <w:ind w:left="1000" w:right="240" w:hanging="36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and advancement, scope, rate of progress, completion of enrollment, results and costs of our preclinical studies, clinical trials and other related activities for our product candidates;</w:t>
      </w:r>
    </w:p>
    <w:p>
      <w:pPr>
        <w:spacing w:after="0" w:line="53" w:lineRule="exact"/>
        <w:rPr>
          <w:rFonts w:ascii="Times New Roman" w:cs="Times New Roman" w:eastAsia="Times New Roman" w:hAnsi="Times New Roman"/>
          <w:sz w:val="18"/>
          <w:szCs w:val="18"/>
          <w:color w:val="auto"/>
        </w:rPr>
      </w:pPr>
    </w:p>
    <w:p>
      <w:pPr>
        <w:ind w:left="1000" w:right="200" w:hanging="36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manufacturing our product candidates and establishing commercial supplies and sales, marketing and distribution capabilities;</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costs of capital expenditures to support our research and development efforts;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other product candidates that we pursue;</w:t>
      </w:r>
    </w:p>
    <w:p>
      <w:pPr>
        <w:spacing w:after="0" w:line="117" w:lineRule="exact"/>
        <w:rPr>
          <w:rFonts w:ascii="Times New Roman" w:cs="Times New Roman" w:eastAsia="Times New Roman" w:hAnsi="Times New Roman"/>
          <w:sz w:val="18"/>
          <w:szCs w:val="18"/>
          <w:color w:val="auto"/>
        </w:rPr>
      </w:pPr>
    </w:p>
    <w:p>
      <w:pPr>
        <w:ind w:left="1000" w:right="100" w:hanging="368"/>
        <w:spacing w:after="0" w:line="266"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expand and defend the scope of our intellectual property portfolio, including the amount and timing of any payments we may be required to make in connection with the licensing, filing, defense and enforcement of any patents or other intellectual property rights;</w:t>
      </w:r>
    </w:p>
    <w:p>
      <w:pPr>
        <w:spacing w:after="0" w:line="6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sales from our potential products;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and ability to hire additional management, scientific and medical personnel;</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products that may limit market penetration of our product candidates;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7" w:right="379" w:bottom="1440" w:gutter="0" w:footer="0" w:header="0"/>
        </w:sectPr>
      </w:pPr>
    </w:p>
    <w:bookmarkStart w:id="20" w:name="page21"/>
    <w:bookmarkEnd w:id="20"/>
    <w:p>
      <w:pPr>
        <w:ind w:left="1000" w:hanging="36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implement additional internal systems and infrastructure, including financial and reporting systems;</w:t>
      </w:r>
    </w:p>
    <w:p>
      <w:pPr>
        <w:spacing w:after="0" w:line="117" w:lineRule="exact"/>
        <w:rPr>
          <w:rFonts w:ascii="Times New Roman" w:cs="Times New Roman" w:eastAsia="Times New Roman" w:hAnsi="Times New Roman"/>
          <w:sz w:val="18"/>
          <w:szCs w:val="18"/>
          <w:color w:val="auto"/>
        </w:rPr>
      </w:pPr>
    </w:p>
    <w:p>
      <w:pPr>
        <w:ind w:left="1000" w:right="480" w:hanging="36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economic and other terms, timing and success of any collaboration, licensing, or other arrangements into which we may enter in the future, including the timing of receipt of any milestone or royalty payments under these agreements;</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compliance and administrative costs associated with being a public company; and</w:t>
      </w:r>
    </w:p>
    <w:p>
      <w:pPr>
        <w:spacing w:after="0" w:line="117" w:lineRule="exact"/>
        <w:rPr>
          <w:rFonts w:ascii="Times New Roman" w:cs="Times New Roman" w:eastAsia="Times New Roman" w:hAnsi="Times New Roman"/>
          <w:sz w:val="18"/>
          <w:szCs w:val="18"/>
          <w:color w:val="auto"/>
        </w:rPr>
      </w:pPr>
    </w:p>
    <w:p>
      <w:pPr>
        <w:ind w:left="1000" w:right="60" w:hanging="36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businesses, products or technologies, although we have no commitments or agreements relating to any of these types of transactions.</w:t>
      </w:r>
    </w:p>
    <w:p>
      <w:pPr>
        <w:spacing w:after="0" w:line="13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Based on our current operating plan, our current cash and cash equivalents may not be sufficient to fund our ongoing operations for a period of at least twelve months from the date the financial statements included in this report are issued. We have based this estimate on assumptions that may prove to be wrong, and we could utilize our available capital resources sooner than we currently expect. These circumstances raise substantial doubt about our ability to continue as a going concern. While management believes additional funds can be raised through equity or debt financings, strategic collaborations transactions, or a combination of these approaches, which will alleviate the conditions that raise substantial doubt, these plans are not entirely within our control and cannot be assessed as being probable of occurring. We may not be able to secure additional financing in a timely manner or on favorable terms, if at all.</w:t>
      </w:r>
    </w:p>
    <w:p>
      <w:pPr>
        <w:spacing w:after="0" w:line="175"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Failure to generate sufficient cash flows from operations, raise additional capital, and reduce discretionary spending should additional capital not become available could have a material adverse effect on our ability to achieve our intended business objectives. Because of the numerous risks and uncertainties associated with the development and commercialization of our product candidates, we are unable to estimate the amounts of increased capital outlays and operating expenditures associated with our current and anticipated preclinical studies and clinical trials. To the extent that we raise additional capital through collaborations, strategic alliances or licensing arrangements with third parties, we may have to relinquish valuable rights to our product candidates. We may also have to forego future revenue streams of research programs at an earlier stage of development or on less favorable terms than we would otherwise choose, or have to grant licenses on terms that may not be favorable to us. Our ability to raise additional funds will depend on financial, economic and other factors, many of which are beyond our control. For example, market volatility resulting from a variety of causes, including tariffs and trade disputes with other countries, inflation, high interest rates, growing recession risks, supply chain disruptions, and geopolitical tensions and disruptions, including the ongoing conflict between Russia and Ukraine and the wars between Israel and the terrorist groups Hamas and Hezbollah, could adversely impact our ability to access capital as and when needed. We may choose to raise additional capital through the issuance of equity or convertible debt securities due to market conditions or strategic considerations even if we believe we have sufficient funds for our current or future operating plans. To the extent we issue additional shares of common stock or other equity or convertible debt securities in the future, there will be further dilution to our investors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acquiring other businesses, products or technology, or declaring dividends. If we are unable to obtain additional funding from these or other sources, it may be necessary to significantly reduce our rate of spending through additional reductions in staff and delay, scale back or stop certain research and development programs.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summarizes our cash flows for the periods indicated:</w:t>
      </w:r>
    </w:p>
    <w:p>
      <w:pPr>
        <w:spacing w:after="0" w:line="219"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516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1700" w:type="dxa"/>
        <w:tblCellMar>
          <w:top w:w="0" w:type="dxa"/>
          <w:left w:w="0" w:type="dxa"/>
          <w:bottom w:w="0" w:type="dxa"/>
          <w:right w:w="0" w:type="dxa"/>
        </w:tblCellMar>
      </w:tblPr>
      <w:tr>
        <w:trPr>
          <w:trHeight w:val="142"/>
        </w:trPr>
        <w:tc>
          <w:tcPr>
            <w:tcW w:w="4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7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142"/>
        </w:trPr>
        <w:tc>
          <w:tcPr>
            <w:tcW w:w="4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56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73"/>
              </w:rPr>
              <w:t>thousands)</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4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Operating activities</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(16,288)</w:t>
            </w:r>
          </w:p>
        </w:tc>
        <w:tc>
          <w:tcPr>
            <w:tcW w:w="100" w:type="dxa"/>
            <w:vAlign w:val="bottom"/>
          </w:tcPr>
          <w:p>
            <w:pPr>
              <w:spacing w:after="0"/>
              <w:rPr>
                <w:sz w:val="18"/>
                <w:szCs w:val="18"/>
                <w:color w:val="auto"/>
              </w:rPr>
            </w:pP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(30,828)</w:t>
            </w:r>
          </w:p>
        </w:tc>
      </w:tr>
      <w:tr>
        <w:trPr>
          <w:trHeight w:val="216"/>
        </w:trPr>
        <w:tc>
          <w:tcPr>
            <w:tcW w:w="41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Investing activities</w:t>
            </w: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Financing activities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4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(16,683)</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(30,841)</w:t>
            </w:r>
          </w:p>
        </w:tc>
      </w:tr>
      <w:tr>
        <w:trPr>
          <w:trHeight w:val="20"/>
        </w:trPr>
        <w:tc>
          <w:tcPr>
            <w:tcW w:w="412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-24765</wp:posOffset>
            </wp:positionV>
            <wp:extent cx="431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-8255</wp:posOffset>
            </wp:positionV>
            <wp:extent cx="431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Operating Activities</w:t>
      </w:r>
    </w:p>
    <w:p>
      <w:pPr>
        <w:spacing w:after="0" w:line="119"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2025 was $16.3 million, which consisted of a net loss of $15.3 million, a net change of $0.9 million in our operating assets and liabilities and $0.1 million of non-cash transactions. The net change in our operating assets and liabilities was primarily due to an increase in accounts payable and accrued expenses of $2.1 million, offset by an increase in prepaid expenses and other assets of $3.0 million. The non-cash transactions primarily consisted of</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1" w:name="page22"/>
    <w:bookmarkEnd w:id="21"/>
    <w:p>
      <w:pPr>
        <w:ind w:right="220"/>
        <w:spacing w:after="0" w:line="282" w:lineRule="auto"/>
        <w:rPr>
          <w:sz w:val="20"/>
          <w:szCs w:val="20"/>
          <w:color w:val="auto"/>
        </w:rPr>
      </w:pPr>
      <w:r>
        <w:rPr>
          <w:rFonts w:ascii="Times New Roman" w:cs="Times New Roman" w:eastAsia="Times New Roman" w:hAnsi="Times New Roman"/>
          <w:sz w:val="18"/>
          <w:szCs w:val="18"/>
          <w:color w:val="auto"/>
        </w:rPr>
        <w:t>$1.6 million of stock-based compensation and non-cash charges of $0.2 million related to depreciation and amortization, offset by $1.9 million related to the change in fair value of the warrant liability.</w:t>
      </w:r>
    </w:p>
    <w:p>
      <w:pPr>
        <w:spacing w:after="0" w:line="135"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2024 was $30.8 million, which consisted of a net loss of $23.2 million, a net change of $10.1 million in our operating assets and liabilities and $2.5 million of non-cash transactions. The net change in our operating assets and liabilities was primarily due to a decrease in accounts payable and accrued expenses of $9.0 million, a net decrease in operating lease right-of-use assets and lease liabilities of $0.3 million, and an increase in prepaid expenses and other assets of $0.9 million. The non-cash transactions primarily consisted of $2.3 million of stock-based compensation and non-cash charges of $0.2 million related to depreciation and amortization.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Financing Activities</w:t>
      </w:r>
    </w:p>
    <w:p>
      <w:pPr>
        <w:spacing w:after="0" w:line="119"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$0.4 million for the three months ended March 31, 2025, consisting primarily of the payment of financing costs in connection with the December 2024 offering and the payment of taxes related to the net settlement of restricted stock units.</w:t>
      </w:r>
    </w:p>
    <w:p>
      <w:pPr>
        <w:spacing w:after="0" w:line="148"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immaterial for the three months ended March 31, 2024, consisting primarily of the payment of taxes related to the net settlement of restricted stock units.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financial statements, which have been prepared in accordance with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generated, and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and conditions.</w:t>
      </w:r>
    </w:p>
    <w:p>
      <w:pPr>
        <w:spacing w:after="0" w:line="16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critical accounting policies are those accounting principles generally accepted in the United States that require us to make subjective estimates and judgments about matters that are uncertain and are likely to have a material impact on our financial condition and results of operations, as well as the specific manner in which we apply those principles. For a description of our critical accounting policies, see the section entitled “Management’s Discussion and Analysis of Financial Condition and Results of Operations — Critical Accounting Policies and Estimates” contained in our Annual Report on Form 10-K for the year ended December 31, 2024. There have not been any material changes to the critical accounting policies discussed therein during the three months ended March 31, 2025.</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not entered into any off-balance sheet arrangements, as defined in the rules and regulations of the SEC.</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 to a smaller reporting company.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As required by Rules 13a-15(b) and 15d-15(b) of the Exchange Act, our management, with the participation of our Chief Executive Officer and our Chief Financial Officer, evaluated the effectiveness of our disclosure controls and procedures as of March 31, 2025.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 as appropriate to allow timely decisions regarding required disclosure. Management recognizes that any controls and procedures, no matter how well designed and operated, can provide only reasonable assurance of achieving their objectives, and management</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2" w:name="page23"/>
    <w:bookmarkEnd w:id="22"/>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necessarily applies its judgment in evaluating the cost-benefit relationship of possible controls and procedures. Based on the evaluation of our disclosure controls and procedures as of March 31, 2025, our Chief Executive Officer and our Chief Financial Officer concluded that, as of such date, our disclosure controls and procedures were effective at the reasonable assurance level.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March 31, 2025 that have materially affected, or are reasonably likely to materially affect, our internal control over financial reporting.</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we may be subject to various claims and suits arising in the ordinary course of business. We are not currently a party to any legal proceedings the outcome of which we believe, if determined adversely to us, would individually or in the aggregate have a material adverse effect on our business, operating results or financial condition.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08" w:lineRule="exact"/>
        <w:rPr>
          <w:sz w:val="20"/>
          <w:szCs w:val="20"/>
          <w:color w:val="auto"/>
        </w:rPr>
      </w:pPr>
    </w:p>
    <w:p>
      <w:pPr>
        <w:ind w:left="260" w:firstLine="458"/>
        <w:spacing w:after="0" w:line="261"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You should carefully consider all information in this Quarterly Report on Form 10-Q, including our condensed financial statements and related notes appearing elsewhere in this report and “Management’s Discussion and Analysis of Financial Condition and Results of Operations,” before purchasing our common stock. These risks and uncertainties include, but are not limited to, the following:</w:t>
      </w:r>
    </w:p>
    <w:p>
      <w:pPr>
        <w:spacing w:after="0" w:line="180" w:lineRule="exact"/>
        <w:rPr>
          <w:sz w:val="20"/>
          <w:szCs w:val="20"/>
          <w:color w:val="auto"/>
        </w:rPr>
      </w:pPr>
    </w:p>
    <w:p>
      <w:pPr>
        <w:ind w:left="1280" w:right="200" w:hanging="509"/>
        <w:spacing w:after="0" w:line="282" w:lineRule="auto"/>
        <w:tabs>
          <w:tab w:leader="none" w:pos="1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clinical-stage biopharmaceutical company with a limited operating history and no products approved for commercial sale, and we have a history of significant losses and expect to continue to incur significant losses for the foreseeable future.</w:t>
      </w:r>
    </w:p>
    <w:p>
      <w:pPr>
        <w:spacing w:after="0" w:line="53" w:lineRule="exact"/>
        <w:rPr>
          <w:rFonts w:ascii="Times New Roman" w:cs="Times New Roman" w:eastAsia="Times New Roman" w:hAnsi="Times New Roman"/>
          <w:sz w:val="18"/>
          <w:szCs w:val="18"/>
          <w:color w:val="auto"/>
        </w:rPr>
      </w:pPr>
    </w:p>
    <w:p>
      <w:pPr>
        <w:ind w:left="1280" w:right="120" w:hanging="509"/>
        <w:spacing w:after="0" w:line="266" w:lineRule="auto"/>
        <w:tabs>
          <w:tab w:leader="none" w:pos="1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capital to finance our operations, and if we fail to raise such capital when needed, or on acceptable terms, we may be forced to delay, reduce or eliminate one or more of our research and drug development programs or future commercialization efforts.</w:t>
      </w:r>
    </w:p>
    <w:p>
      <w:pPr>
        <w:spacing w:after="0" w:line="67" w:lineRule="exact"/>
        <w:rPr>
          <w:rFonts w:ascii="Times New Roman" w:cs="Times New Roman" w:eastAsia="Times New Roman" w:hAnsi="Times New Roman"/>
          <w:sz w:val="18"/>
          <w:szCs w:val="18"/>
          <w:color w:val="auto"/>
        </w:rPr>
      </w:pPr>
    </w:p>
    <w:p>
      <w:pPr>
        <w:jc w:val="both"/>
        <w:ind w:left="1280" w:right="440" w:hanging="509"/>
        <w:spacing w:after="0" w:line="261" w:lineRule="auto"/>
        <w:tabs>
          <w:tab w:leader="none" w:pos="1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and negative cash flows from operations since our inception. We may incur losses over the next several years and may never achieve or maintain profitability. These factors raise substantial doubt about our ability to continue as a going concern and we will need additional funding to continue development of our CAB technology platform and our CAB product candidates.</w:t>
      </w:r>
    </w:p>
    <w:p>
      <w:pPr>
        <w:spacing w:after="0" w:line="71" w:lineRule="exact"/>
        <w:rPr>
          <w:rFonts w:ascii="Times New Roman" w:cs="Times New Roman" w:eastAsia="Times New Roman" w:hAnsi="Times New Roman"/>
          <w:sz w:val="18"/>
          <w:szCs w:val="18"/>
          <w:color w:val="auto"/>
        </w:rPr>
      </w:pPr>
    </w:p>
    <w:p>
      <w:pPr>
        <w:ind w:left="1280" w:hanging="509"/>
        <w:spacing w:after="0"/>
        <w:tabs>
          <w:tab w:leader="none" w:pos="1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fail in development or suffer delays that adversely affect their commercial viability.</w:t>
      </w:r>
    </w:p>
    <w:p>
      <w:pPr>
        <w:spacing w:after="0" w:line="117" w:lineRule="exact"/>
        <w:rPr>
          <w:rFonts w:ascii="Times New Roman" w:cs="Times New Roman" w:eastAsia="Times New Roman" w:hAnsi="Times New Roman"/>
          <w:sz w:val="18"/>
          <w:szCs w:val="18"/>
          <w:color w:val="auto"/>
        </w:rPr>
      </w:pPr>
    </w:p>
    <w:p>
      <w:pPr>
        <w:ind w:left="1280" w:right="180" w:hanging="509"/>
        <w:spacing w:after="0" w:line="282" w:lineRule="auto"/>
        <w:tabs>
          <w:tab w:leader="none" w:pos="1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on the success of our patented CAB technology platform, and our future success depends heavily on the successful development of this platform.</w:t>
      </w:r>
    </w:p>
    <w:p>
      <w:pPr>
        <w:spacing w:after="0" w:line="53" w:lineRule="exact"/>
        <w:rPr>
          <w:rFonts w:ascii="Times New Roman" w:cs="Times New Roman" w:eastAsia="Times New Roman" w:hAnsi="Times New Roman"/>
          <w:sz w:val="18"/>
          <w:szCs w:val="18"/>
          <w:color w:val="auto"/>
        </w:rPr>
      </w:pPr>
    </w:p>
    <w:p>
      <w:pPr>
        <w:ind w:left="1280" w:right="500" w:hanging="509"/>
        <w:spacing w:after="0" w:line="282" w:lineRule="auto"/>
        <w:tabs>
          <w:tab w:leader="none" w:pos="1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expend our resources to pursue particular product candidates and fail to capitalize on product candidates that may be more profitable or for which there is a greater likelihood of success.</w:t>
      </w:r>
    </w:p>
    <w:p>
      <w:pPr>
        <w:spacing w:after="0" w:line="53" w:lineRule="exact"/>
        <w:rPr>
          <w:rFonts w:ascii="Times New Roman" w:cs="Times New Roman" w:eastAsia="Times New Roman" w:hAnsi="Times New Roman"/>
          <w:sz w:val="18"/>
          <w:szCs w:val="18"/>
          <w:color w:val="auto"/>
        </w:rPr>
      </w:pPr>
    </w:p>
    <w:p>
      <w:pPr>
        <w:ind w:left="1280" w:right="320" w:hanging="509"/>
        <w:spacing w:after="0" w:line="282" w:lineRule="auto"/>
        <w:tabs>
          <w:tab w:leader="none" w:pos="1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may not be receptive to our product candidates because they are based on our novel therapeutic modality, and we may not generate any future revenue from the sale or licensing of product candidates.</w:t>
      </w:r>
    </w:p>
    <w:p>
      <w:pPr>
        <w:spacing w:after="0" w:line="53" w:lineRule="exact"/>
        <w:rPr>
          <w:rFonts w:ascii="Times New Roman" w:cs="Times New Roman" w:eastAsia="Times New Roman" w:hAnsi="Times New Roman"/>
          <w:sz w:val="18"/>
          <w:szCs w:val="18"/>
          <w:color w:val="auto"/>
        </w:rPr>
      </w:pPr>
    </w:p>
    <w:p>
      <w:pPr>
        <w:ind w:left="1280" w:hanging="509"/>
        <w:spacing w:after="0" w:line="266" w:lineRule="auto"/>
        <w:tabs>
          <w:tab w:leader="none" w:pos="1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from early-stage clinical trials may not be predictive of results from late-stage or other clinical trials, and the results of our clinical trials may not satisfy the requirements of the FDA, the European Medicine Agency (“EMA”) or other comparable foreign regulatory authorities.</w:t>
      </w:r>
    </w:p>
    <w:p>
      <w:pPr>
        <w:spacing w:after="0" w:line="67" w:lineRule="exact"/>
        <w:rPr>
          <w:rFonts w:ascii="Times New Roman" w:cs="Times New Roman" w:eastAsia="Times New Roman" w:hAnsi="Times New Roman"/>
          <w:sz w:val="18"/>
          <w:szCs w:val="18"/>
          <w:color w:val="auto"/>
        </w:rPr>
      </w:pPr>
    </w:p>
    <w:p>
      <w:pPr>
        <w:ind w:left="1280" w:right="220" w:hanging="509"/>
        <w:spacing w:after="0" w:line="282" w:lineRule="auto"/>
        <w:tabs>
          <w:tab w:leader="none" w:pos="1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53" w:lineRule="exact"/>
        <w:rPr>
          <w:rFonts w:ascii="Times New Roman" w:cs="Times New Roman" w:eastAsia="Times New Roman" w:hAnsi="Times New Roman"/>
          <w:sz w:val="18"/>
          <w:szCs w:val="18"/>
          <w:color w:val="auto"/>
        </w:rPr>
      </w:pPr>
    </w:p>
    <w:p>
      <w:pPr>
        <w:ind w:left="1280" w:right="720" w:hanging="509"/>
        <w:spacing w:after="0" w:line="282" w:lineRule="auto"/>
        <w:tabs>
          <w:tab w:leader="none" w:pos="1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commencement and completion of clinical trials could increase costs and delay or prevent regulatory approval and commercialization of our product candidates.</w:t>
      </w:r>
    </w:p>
    <w:p>
      <w:pPr>
        <w:spacing w:after="0" w:line="53" w:lineRule="exact"/>
        <w:rPr>
          <w:rFonts w:ascii="Times New Roman" w:cs="Times New Roman" w:eastAsia="Times New Roman" w:hAnsi="Times New Roman"/>
          <w:sz w:val="18"/>
          <w:szCs w:val="18"/>
          <w:color w:val="auto"/>
        </w:rPr>
      </w:pPr>
    </w:p>
    <w:p>
      <w:pPr>
        <w:ind w:left="1280" w:hanging="509"/>
        <w:spacing w:after="0"/>
        <w:tabs>
          <w:tab w:leader="none" w:pos="1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competition from entities that have developed or may develop product candidates for cancer, including companies developing</w:t>
      </w:r>
    </w:p>
    <w:p>
      <w:pPr>
        <w:spacing w:after="0" w:line="2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novel treatments and technology platforms.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3" w:name="page24"/>
    <w:bookmarkEnd w:id="23"/>
    <w:p>
      <w:pPr>
        <w:ind w:left="1280" w:hanging="509"/>
        <w:spacing w:after="0"/>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obtain U.S. or foreign regulatory approval and, as a result, unable to commercialize our product candidates.</w:t>
      </w:r>
    </w:p>
    <w:p>
      <w:pPr>
        <w:spacing w:after="0" w:line="117" w:lineRule="exact"/>
        <w:rPr>
          <w:rFonts w:ascii="Times New Roman" w:cs="Times New Roman" w:eastAsia="Times New Roman" w:hAnsi="Times New Roman"/>
          <w:sz w:val="18"/>
          <w:szCs w:val="18"/>
          <w:color w:val="auto"/>
        </w:rPr>
      </w:pPr>
    </w:p>
    <w:p>
      <w:pPr>
        <w:ind w:left="1280" w:right="20" w:hanging="509"/>
        <w:spacing w:after="0" w:line="261" w:lineRule="auto"/>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seek approval from the FDA or comparable foreign regulatory authorities through the use of accelerated approval pathways, if available, and if we are unable to obtain such approval, we may be required to conduct additional preclinical studies or clinical trials beyond those that we contemplate, which could increase the expense of obtaining, and delay the receipt of, necessary marketing approvals.</w:t>
      </w:r>
    </w:p>
    <w:p>
      <w:pPr>
        <w:spacing w:after="0" w:line="71" w:lineRule="exact"/>
        <w:rPr>
          <w:rFonts w:ascii="Times New Roman" w:cs="Times New Roman" w:eastAsia="Times New Roman" w:hAnsi="Times New Roman"/>
          <w:sz w:val="18"/>
          <w:szCs w:val="18"/>
          <w:color w:val="auto"/>
        </w:rPr>
      </w:pPr>
    </w:p>
    <w:p>
      <w:pPr>
        <w:ind w:left="1280" w:right="120" w:hanging="509"/>
        <w:spacing w:after="0" w:line="266" w:lineRule="auto"/>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Fast Track designation granted for ozuriftamab vedotin in recurrent or metastatic squamous cell carcinoma of the head and neck (SCCHN) and, if granted, for any of our other product candidates by the FDA may not lead to a faster development or regulatory review or approval process and does not increase the likelihood that our product candidates will receive regulatory approval.</w:t>
      </w:r>
    </w:p>
    <w:p>
      <w:pPr>
        <w:spacing w:after="0" w:line="67" w:lineRule="exact"/>
        <w:rPr>
          <w:rFonts w:ascii="Times New Roman" w:cs="Times New Roman" w:eastAsia="Times New Roman" w:hAnsi="Times New Roman"/>
          <w:sz w:val="18"/>
          <w:szCs w:val="18"/>
          <w:color w:val="auto"/>
        </w:rPr>
      </w:pPr>
    </w:p>
    <w:p>
      <w:pPr>
        <w:ind w:left="1280" w:right="560" w:hanging="509"/>
        <w:spacing w:after="0" w:line="282" w:lineRule="auto"/>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receive regulatory approval for any of our product candidates, we will be subject to ongoing regulatory obligations and continued regulatory review, which may result in significant additional expense.</w:t>
      </w:r>
    </w:p>
    <w:p>
      <w:pPr>
        <w:spacing w:after="0" w:line="53" w:lineRule="exact"/>
        <w:rPr>
          <w:rFonts w:ascii="Times New Roman" w:cs="Times New Roman" w:eastAsia="Times New Roman" w:hAnsi="Times New Roman"/>
          <w:sz w:val="18"/>
          <w:szCs w:val="18"/>
          <w:color w:val="auto"/>
        </w:rPr>
      </w:pPr>
    </w:p>
    <w:p>
      <w:pPr>
        <w:ind w:left="1280" w:hanging="509"/>
        <w:spacing w:after="0"/>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anticipated benefits of our workforce reductions, and our restructuring may adversely affect our business.</w:t>
      </w:r>
    </w:p>
    <w:p>
      <w:pPr>
        <w:spacing w:after="0" w:line="117" w:lineRule="exact"/>
        <w:rPr>
          <w:rFonts w:ascii="Times New Roman" w:cs="Times New Roman" w:eastAsia="Times New Roman" w:hAnsi="Times New Roman"/>
          <w:sz w:val="18"/>
          <w:szCs w:val="18"/>
          <w:color w:val="auto"/>
        </w:rPr>
      </w:pPr>
    </w:p>
    <w:p>
      <w:pPr>
        <w:ind w:left="1280" w:right="280" w:hanging="509"/>
        <w:spacing w:after="0" w:line="282" w:lineRule="auto"/>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attract and retain qualified senior management and key scientific personnel, our business may be materially and adversely affected.</w:t>
      </w:r>
    </w:p>
    <w:p>
      <w:pPr>
        <w:spacing w:after="0" w:line="53" w:lineRule="exact"/>
        <w:rPr>
          <w:rFonts w:ascii="Times New Roman" w:cs="Times New Roman" w:eastAsia="Times New Roman" w:hAnsi="Times New Roman"/>
          <w:sz w:val="18"/>
          <w:szCs w:val="18"/>
          <w:color w:val="auto"/>
        </w:rPr>
      </w:pPr>
    </w:p>
    <w:p>
      <w:pPr>
        <w:ind w:left="1280" w:right="20" w:hanging="509"/>
        <w:spacing w:after="0" w:line="312" w:lineRule="auto"/>
        <w:tabs>
          <w:tab w:leader="none" w:pos="12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establish sales, marketing and distribution capabilities on our own or through third parties, we may not be able to market and sell our product candidates, if approved, effectively in the United States and foreign jurisdictions or generate product revenue.</w:t>
      </w:r>
    </w:p>
    <w:p>
      <w:pPr>
        <w:spacing w:after="0" w:line="31" w:lineRule="exact"/>
        <w:rPr>
          <w:rFonts w:ascii="Times New Roman" w:cs="Times New Roman" w:eastAsia="Times New Roman" w:hAnsi="Times New Roman"/>
          <w:sz w:val="17"/>
          <w:szCs w:val="17"/>
          <w:color w:val="auto"/>
        </w:rPr>
      </w:pPr>
    </w:p>
    <w:p>
      <w:pPr>
        <w:ind w:left="1280" w:right="140" w:hanging="509"/>
        <w:spacing w:after="0" w:line="266" w:lineRule="auto"/>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portion of our research and development activities take place in China, and uncertainties regarding the interpretation and enforcement of Chinese laws, rules and regulations, a trade war, deterioration of international relations, or political unrest in China could materially adversely affect our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1280" w:right="100" w:hanging="509"/>
        <w:spacing w:after="0" w:line="266" w:lineRule="auto"/>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related to health epidemics and outbreaks which could significantly disrupt our preclinical studies and could affect enrollment of patients in our clinical trials. Continuation and increasing severity of these conditions could delay or prevent our receipt of necessary regulatory approvals.</w:t>
      </w:r>
    </w:p>
    <w:p>
      <w:pPr>
        <w:spacing w:after="0" w:line="67" w:lineRule="exact"/>
        <w:rPr>
          <w:rFonts w:ascii="Times New Roman" w:cs="Times New Roman" w:eastAsia="Times New Roman" w:hAnsi="Times New Roman"/>
          <w:sz w:val="18"/>
          <w:szCs w:val="18"/>
          <w:color w:val="auto"/>
        </w:rPr>
      </w:pPr>
    </w:p>
    <w:p>
      <w:pPr>
        <w:ind w:left="1280" w:hanging="509"/>
        <w:spacing w:after="0" w:line="266" w:lineRule="auto"/>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enter into collaborations with third parties for the development and commercialization of certain of our product candidates, or if our current and future collaborations are not successful, we may not be able to capitalize on the market potential of our patented technology platform and resulting product candidates.</w:t>
      </w:r>
    </w:p>
    <w:p>
      <w:pPr>
        <w:spacing w:after="0" w:line="67" w:lineRule="exact"/>
        <w:rPr>
          <w:rFonts w:ascii="Times New Roman" w:cs="Times New Roman" w:eastAsia="Times New Roman" w:hAnsi="Times New Roman"/>
          <w:sz w:val="18"/>
          <w:szCs w:val="18"/>
          <w:color w:val="auto"/>
        </w:rPr>
      </w:pPr>
    </w:p>
    <w:p>
      <w:pPr>
        <w:ind w:left="1280" w:right="40" w:hanging="509"/>
        <w:spacing w:after="0" w:line="266" w:lineRule="auto"/>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obtain, maintain and protect our intellectual property rights in any product candidates or technologies we develop, or if the scope of the intellectual property protection obtained is not sufficiently broad, third parties could develop and commercialize products and technology similar or identical to ours, and we may not be able to compete effectively in our market.</w:t>
      </w:r>
    </w:p>
    <w:p>
      <w:pPr>
        <w:spacing w:after="0" w:line="67" w:lineRule="exact"/>
        <w:rPr>
          <w:rFonts w:ascii="Times New Roman" w:cs="Times New Roman" w:eastAsia="Times New Roman" w:hAnsi="Times New Roman"/>
          <w:sz w:val="18"/>
          <w:szCs w:val="18"/>
          <w:color w:val="auto"/>
        </w:rPr>
      </w:pPr>
    </w:p>
    <w:p>
      <w:pPr>
        <w:jc w:val="both"/>
        <w:ind w:left="1280" w:right="120" w:hanging="509"/>
        <w:spacing w:after="0" w:line="266" w:lineRule="auto"/>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rights of third parties could prevent or delay our drug discovery and development efforts and could adversely affect our ability to commercialize our product candidates, and we might be required to litigate or obtain licenses from third parties in order to discover, develop or market our product candidates.</w:t>
      </w:r>
    </w:p>
    <w:p>
      <w:pPr>
        <w:spacing w:after="0" w:line="67" w:lineRule="exact"/>
        <w:rPr>
          <w:rFonts w:ascii="Times New Roman" w:cs="Times New Roman" w:eastAsia="Times New Roman" w:hAnsi="Times New Roman"/>
          <w:sz w:val="18"/>
          <w:szCs w:val="18"/>
          <w:color w:val="auto"/>
        </w:rPr>
      </w:pPr>
    </w:p>
    <w:p>
      <w:pPr>
        <w:ind w:left="1280" w:hanging="509"/>
        <w:spacing w:after="0"/>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issuance of equity or of debt securities that are convertible into equity will dilute our share capital.</w:t>
      </w:r>
    </w:p>
    <w:p>
      <w:pPr>
        <w:spacing w:after="0" w:line="117" w:lineRule="exact"/>
        <w:rPr>
          <w:rFonts w:ascii="Times New Roman" w:cs="Times New Roman" w:eastAsia="Times New Roman" w:hAnsi="Times New Roman"/>
          <w:sz w:val="18"/>
          <w:szCs w:val="18"/>
          <w:color w:val="auto"/>
        </w:rPr>
      </w:pPr>
    </w:p>
    <w:p>
      <w:pPr>
        <w:ind w:left="1280" w:right="240" w:hanging="509"/>
        <w:spacing w:after="0" w:line="282" w:lineRule="auto"/>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principal stockholders and management own a significant percentage of our stock and will be able to exert significant control over matters subject to stockholder approval and their interests may conflict with your interests as an owner of our common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117"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clinical-stage biopharmaceutical company with a limited operating history and no products approved for commercial sale. We have a history of significant losses and we expect to continue to incur significant losses for the foreseeable future, which together with our limited operating history, makes it difficult to assess our future viability.</w:t>
      </w:r>
    </w:p>
    <w:p>
      <w:pPr>
        <w:spacing w:after="0" w:line="67" w:lineRule="exact"/>
        <w:rPr>
          <w:sz w:val="20"/>
          <w:szCs w:val="20"/>
          <w:color w:val="auto"/>
        </w:rPr>
      </w:pPr>
    </w:p>
    <w:p>
      <w:pPr>
        <w:ind w:right="240" w:firstLine="509"/>
        <w:spacing w:after="0" w:line="254" w:lineRule="auto"/>
        <w:rPr>
          <w:sz w:val="20"/>
          <w:szCs w:val="20"/>
          <w:color w:val="auto"/>
        </w:rPr>
      </w:pPr>
      <w:r>
        <w:rPr>
          <w:rFonts w:ascii="Times New Roman" w:cs="Times New Roman" w:eastAsia="Times New Roman" w:hAnsi="Times New Roman"/>
          <w:sz w:val="18"/>
          <w:szCs w:val="18"/>
          <w:color w:val="auto"/>
        </w:rPr>
        <w:t>We are a Phase 2 clinical-stage biopharmaceutical company with a limited operating history upon which you can evaluate our business and prospects. We have no products approved for commercial sale and have not generated any revenue from product sales. Since the commencement of our operations, we have focused substantially all of our resources on conducting research and development activities, including drug discovery, preclinical studies and clinical trials of our product candidates, including the ongoing Phase 2 clinical trials of mecbotamab vedotin (BA3011), ozuriftamab vedotin (BA3021), evalstotug (BA3071), and the</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4" w:name="page25"/>
    <w:bookmarkEnd w:id="24"/>
    <w:p>
      <w:pPr>
        <w:ind w:right="200"/>
        <w:spacing w:after="0" w:line="256" w:lineRule="auto"/>
        <w:rPr>
          <w:sz w:val="20"/>
          <w:szCs w:val="20"/>
          <w:color w:val="auto"/>
        </w:rPr>
      </w:pPr>
      <w:r>
        <w:rPr>
          <w:rFonts w:ascii="Times New Roman" w:cs="Times New Roman" w:eastAsia="Times New Roman" w:hAnsi="Times New Roman"/>
          <w:sz w:val="18"/>
          <w:szCs w:val="18"/>
          <w:color w:val="auto"/>
        </w:rPr>
        <w:t>ongoing Phase 1 clinical trial of BA3182 (CAB-EpCAM x CAB-CD3), establishing and maintaining our intellectual property portfolio, manufacturing clinical and research material through third parties, hiring personnel, establishing product development and commercialization collaborations with third parties, raising capital and providing general and administrative support for these operations. We have not yet demonstrated our ability to successfully obtain marketing approvals, manufacture a commercial-scale product or arrange for a third party to do so on our behalf or conduct sales and marketing activities necessary for successful product commercialization. As a result, it may be more difficult for you to assess our future viability than it could be if we had a longer operating history.</w:t>
      </w:r>
    </w:p>
    <w:p>
      <w:pPr>
        <w:spacing w:after="0" w:line="160"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We have incurred significant losses to date. Our ability to generate product revenue sufficient to achieve profitability will depend on the successful development and eventual commercialization of one or more of our current and future product candidates. Our net losses were $69.8 million and $123.5 million for the years ended December 31, 2024 and 2023, respectively. For the three months ended March 31, 2025 and 2024, our net losses were $15.3 million and $23.2 million, respectively. As of March 31, 2025, we had an accumulated deficit of $501.4 million. These losses have resulted primarily from costs incurred in connection with research and development activities and general and administrative costs associated with our operations. We do not expect to generate meaningful revenue from product sales for the foreseeable future, and we expect to continue to incur significant operating expenses for the foreseeable future due to the cost of research and development, including identifying and designing product candidates and conducting preclinical studies and clinical trials, and the regulatory approval process for our product candidates. In the near term, we expect that these expenses will begin to decrease as we complete enrollment for certain clinical trials, however, these expenses, and the potential for losses, may generally increase as we progress our lead product candidates through the regulatory approval process. We also expect that our expenses will vary as a result of macroeconomic factors, including inflation. For example, recently, several of our vendors have passed along price increases they have experienced in their own business as a result of inflation.</w:t>
      </w:r>
    </w:p>
    <w:p>
      <w:pPr>
        <w:spacing w:after="0" w:line="176"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However, the amount of our future expenses and potential losses is uncertain. Our ability to achieve profitability, if ever, will depend on, among other things, our successfully developing product candidates, obtaining regulatory approvals to market and commercialize product candidates, manufacturing any approved products on commercially reasonable terms and potentially establishing a sales and marketing organization or suitable third-party alternatives to commercialize any approved product. If we, or our existing or future collaborators, are unable to develop and commercialize one or more of our product candidates or if sales revenue from any product candidate that receives approval is insufficient, we will not achieve profitability, which could have a material and adverse effect on our business, financial condition, results of operations and prospects.</w:t>
      </w:r>
    </w:p>
    <w:p>
      <w:pPr>
        <w:spacing w:after="0" w:line="29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capital to finance our operations. If we are unable to raise such capital when needed, or on acceptable terms, we may be forced to delay, reduce or eliminate one or more of our research and drug development programs or future commercialization efforts.</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development of biopharmaceutical products, including conducting preclinical studies and clinical trials, is a very time-consuming, expensive and uncertain process that takes years to complete. Our operations have consumed substantial amounts of cash since inception, and we will continue to incur significant expenses in connection with our ongoing activities, particularly as we conduct clinical trials of, and seek marketing approval for mecbotamab vedotin, ozuriftamab vedotin, evalstotug, and BA3182. Even if one or more of the product candidates that we develop is approved for commercial sale, we anticipate incurring significant costs associated with sales, marketing, manufacturing and distribution activities. Our expenses could increase beyond expectations if we are required by the FDA, the EMA or other comparable foreign regulatory agencies to perform clinical trials or preclinical studies in addition to those that we currently anticipate. Other unanticipated costs may also arise. Because the design and outcome of our planned and anticipated clinical trials are highly uncertain, we cannot reasonably estimate the actual amount of resources and funding that will be necessary to successfully complete the development and commercialization of any product candidate we develop. Accordingly, we will need to obtain substantial additional funding in order to continue our operations.</w:t>
      </w:r>
    </w:p>
    <w:p>
      <w:pPr>
        <w:spacing w:after="0" w:line="16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plan to use our existing cash and cash equivalents to fund the research and development of our product candidates and development programs and to fund working capital and other general corporate purposes. Advancing the development of our product candidates will require a significant amount of capital. Our existing cash and cash equivalents may not be sufficient to fund any of our product candidates through regulatory approval. Because the length of time and activities associated with successful research and development of any individual product candidate are highly uncertain, we are unable to estimate the actual funds we will require for development, marketing approval and commercialization activities. The timing and amount of our operating expenditures will depend largely on:</w:t>
      </w:r>
    </w:p>
    <w:p>
      <w:pPr>
        <w:spacing w:after="0" w:line="79" w:lineRule="exact"/>
        <w:rPr>
          <w:sz w:val="20"/>
          <w:szCs w:val="20"/>
          <w:color w:val="auto"/>
        </w:rPr>
      </w:pPr>
    </w:p>
    <w:p>
      <w:pPr>
        <w:ind w:left="1000" w:hanging="36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our ongoing clinical trials for mecbotamab vedotin, ozuriftamab vedotin, evalstotug, and BA3182;</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117" w:lineRule="exact"/>
        <w:rPr>
          <w:rFonts w:ascii="Times New Roman" w:cs="Times New Roman" w:eastAsia="Times New Roman" w:hAnsi="Times New Roman"/>
          <w:sz w:val="18"/>
          <w:szCs w:val="18"/>
          <w:color w:val="auto"/>
        </w:rPr>
      </w:pPr>
    </w:p>
    <w:p>
      <w:pPr>
        <w:ind w:left="1000" w:right="420" w:hanging="368"/>
        <w:spacing w:after="0" w:line="261"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our collaborators with whom we have entered, or may in the future enter, into collaboration agreements and research and development agreements;</w:t>
      </w: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5" w:name="page26"/>
    <w:bookmarkEnd w:id="25"/>
    <w:p>
      <w:pPr>
        <w:ind w:left="1000" w:hanging="36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milestone payments we may receive under our collaboration agreements;</w:t>
      </w:r>
    </w:p>
    <w:p>
      <w:pPr>
        <w:spacing w:after="0" w:line="117" w:lineRule="exact"/>
        <w:rPr>
          <w:rFonts w:ascii="Times New Roman" w:cs="Times New Roman" w:eastAsia="Times New Roman" w:hAnsi="Times New Roman"/>
          <w:sz w:val="18"/>
          <w:szCs w:val="18"/>
          <w:color w:val="auto"/>
        </w:rPr>
      </w:pPr>
    </w:p>
    <w:p>
      <w:pPr>
        <w:ind w:left="1000" w:right="280" w:hanging="36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licenses, collaboration and research and development programs or possibly establish new collaboration arrangements;</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prosecuting and enforcing patent and other intellectual property claims;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regulatory approvals; and</w:t>
      </w:r>
    </w:p>
    <w:p>
      <w:pPr>
        <w:spacing w:after="0" w:line="117" w:lineRule="exact"/>
        <w:rPr>
          <w:rFonts w:ascii="Times New Roman" w:cs="Times New Roman" w:eastAsia="Times New Roman" w:hAnsi="Times New Roman"/>
          <w:sz w:val="18"/>
          <w:szCs w:val="18"/>
          <w:color w:val="auto"/>
        </w:rPr>
      </w:pPr>
    </w:p>
    <w:p>
      <w:pPr>
        <w:ind w:left="1000" w:right="500" w:hanging="36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enhance operational systems and attract and retain personnel, including personnel to support development of our product candidates and satisfy our obligations as a public company.</w:t>
      </w:r>
    </w:p>
    <w:p>
      <w:pPr>
        <w:spacing w:after="0" w:line="135"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If we are unable to obtain funding on a timely basis, including under our current or future collaborations, or on acceptable terms, we may have to delay, reduce or terminate our research and development programs and preclinical studies or clinical trials, limit strategic opportunities or undergo reductions in our workforce or other corporate restructuring activities. We may seek to raise any necessary additional capital through a combination of public or private equity offerings, debt financings, collaborations, strategic alliances, licensing arrangements and other marketing and distribution arrangements. We cannot assure you that such financing will be available at acceptable terms to us, if at all. Failure to generate sufficient cash flows from operations, raise additional capital, and reduce discretionary spending should additional capital not become available could have a material adverse effect on our ability to achieve our intended business objectives. To the extent that we raise additional capital through collaborations, strategic alliances or licensing arrangements with third parties, we may have to relinquish valuable rights to our product candidates. We may also have to forego future revenue streams of research programs at an earlier stage of development or on less favorable terms than we would otherwise choose or have to grant licenses on terms that may not be favorable to us. Our ability to raise additional funds will depend on financial, economic and other factors, many of which are beyond our control. Our financial condition could be adversely affected by general conditions in the global economy and in the global financial markets. For example, global financial crises have caused extreme volatility and disruptions in the capital and credit markets. If banks and financial institutions enter receivership or become insolvent in the future in response to financial conditions affecting the banking system and financial markets, our ability to access our existing cash, cash equivalents and investments may be threatened and could have a material adverse effect on our business and financial condition. A severe or prolonged economic downturn, such as a global financial crisis, could result in a variety of risks to our business, including our ability to raise additional capital when needed on acceptable terms, if at all. There can be no assurance that further deterioration in credit and financial markets and confidence in economic conditions will not occur. If we do raise additional capital through public or private equity or convertible debt offerings, the ownership interest of our existing stockholders will be diluted, and the terms of these securities may include liquidation or other preferences that adversely affect our stockholders’ rights. If we raise additional capital through debt financings, we may be subject to covenants limiting or restricting our ability to take specific actions, such as incurring additional debt, making capital expenditures, licensing product rights, entering into product development collaborations, acquiring other businesses, products or technology or declaring dividends. If we are unable to obtain additional funding from these or other sources, it may be necessary to significantly reduce our rate of spending through reductions in staff and delay, scale back or stop certain research and development programs.</w:t>
      </w:r>
    </w:p>
    <w:p>
      <w:pPr>
        <w:spacing w:after="0" w:line="309" w:lineRule="exact"/>
        <w:rPr>
          <w:sz w:val="20"/>
          <w:szCs w:val="20"/>
          <w:color w:val="auto"/>
        </w:rPr>
      </w:pPr>
    </w:p>
    <w:p>
      <w:pPr>
        <w:jc w:val="both"/>
        <w:ind w:right="40" w:firstLine="4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and negative cash flows from operations since our inception. We may incur losses over the next several years and may never achieve or maintain profitability. Without taking other actions, these factors raise substantial doubt about our ability to continue as a going concern and we will need additional funding to continue development of our CAB technology platform and our CAB product candidates.</w:t>
      </w:r>
    </w:p>
    <w:p>
      <w:pPr>
        <w:spacing w:after="0" w:line="67"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We have incurred significant operating losses to date and expect to continue to incur significant expenses and operating losses for the foreseeable future as we continue the development of our CAB technology platform and our CAB product candidates. Our recurring losses from operations raise substantial doubt about our ability to continue as a going concern for the 12 months from the date that our financial statements included elsewhere in this Annual Report are issued. As a result, our independent public accounting firm included an explanatory paragraph regarding the same in its report on our Annual Report. Our financial statements as of March 31, 2025 do not include any adjustments that might result from the outcome of this uncertainty.</w:t>
      </w:r>
    </w:p>
    <w:p>
      <w:pPr>
        <w:spacing w:after="0" w:line="183" w:lineRule="exact"/>
        <w:rPr>
          <w:sz w:val="20"/>
          <w:szCs w:val="20"/>
          <w:color w:val="auto"/>
        </w:rPr>
      </w:pPr>
    </w:p>
    <w:p>
      <w:pPr>
        <w:ind w:right="40" w:firstLine="554"/>
        <w:spacing w:after="0" w:line="258" w:lineRule="auto"/>
        <w:rPr>
          <w:sz w:val="20"/>
          <w:szCs w:val="20"/>
          <w:color w:val="auto"/>
        </w:rPr>
      </w:pPr>
      <w:r>
        <w:rPr>
          <w:rFonts w:ascii="Times New Roman" w:cs="Times New Roman" w:eastAsia="Times New Roman" w:hAnsi="Times New Roman"/>
          <w:sz w:val="18"/>
          <w:szCs w:val="18"/>
          <w:color w:val="auto"/>
        </w:rPr>
        <w:t>As of March 31, 2025, we had approximately $32.4 million in cash and cash equivalents. Based upon our current operating plan and assumptions, we estimate that our cash and cash equivalents will enable us to fund our operations into the first half of 2026. Our estimate as to how long we expect our existing cash and cash equivalents to be able to continue to fund our operations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170"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We expect to finance our future cash needs through equity or debt financings, strategic collaborations transactions, or a combination of these approaches. We believe that data from our ongoing clinical trials will enable us to raise additional capital which will address this doubt and enable us to continue as a going concern. However, there can be no assurance that we will be successful in acquiring additional funding at levels sufficient to fund our operations or on terms favorable or acceptable to us, if at all. In addition,</w:t>
      </w:r>
    </w:p>
    <w:p>
      <w:pPr>
        <w:spacing w:after="0" w:line="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26" w:name="page27"/>
    <w:bookmarkEnd w:id="26"/>
    <w:p>
      <w:pPr>
        <w:spacing w:after="0" w:line="254" w:lineRule="auto"/>
        <w:rPr>
          <w:sz w:val="20"/>
          <w:szCs w:val="20"/>
          <w:color w:val="auto"/>
        </w:rPr>
      </w:pPr>
      <w:r>
        <w:rPr>
          <w:rFonts w:ascii="Times New Roman" w:cs="Times New Roman" w:eastAsia="Times New Roman" w:hAnsi="Times New Roman"/>
          <w:sz w:val="18"/>
          <w:szCs w:val="18"/>
          <w:color w:val="auto"/>
        </w:rPr>
        <w:t>our ability to raise additional funds may be adversely impacted by negative global economic conditions and any disruptions to and volatility in the credit and financial markets in the United States and worldwide or other factors. If we are unable to obtain adequate financing when needed or on terms favorable or acceptable to us, we may be forced to delay, reduce the scope of or eliminate one or more of our research and development programs. Moreover, the terms of any financing may adversely affect the holdings or the rights of our stockholders and the issuance of additional securities by us, whether equity or debt, or the market perception that such issuances are likely to occur, could cause the market price of our common stock to decline. If we are unable to raise sufficient capital when needed, our business, financial condition and results of operations will be harmed, and we will need to significantly modify our operational plans to continue as a going concern. If we are unable to continue as a going concern, we might have to liquidate our assets and the values we receive for our assets in liquidation or dissolution could be significantly lower than the values reflected in our financial statements.</w:t>
      </w:r>
    </w:p>
    <w:p>
      <w:pPr>
        <w:spacing w:after="0" w:line="178"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Any additional capital raising efforts may divert our management from their day-to-day activities, which may adversely affect our ability to develop and commercialize our current and future product candidates, if approved. The perception that we might be unable to continue as a going concern may also make it more difficult to obtain financing for the continuation of our operations on terms that are favorable to us, or at all, and could result in the loss of confidence by investors and employees.</w:t>
      </w:r>
    </w:p>
    <w:p>
      <w:pPr>
        <w:spacing w:after="0" w:line="284"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invest a portion of our cash in a money market fund, which is vulnerable to market-specific risks that could adversely affect our business and financial condition.</w:t>
      </w:r>
    </w:p>
    <w:p>
      <w:pPr>
        <w:spacing w:after="0" w:line="37"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We invest a portion of our cash in a money market fund backed by U.S. government securities. All securities are subject to risk, including fluctuations in interest rates, credit risk, market risk and systemic economic risk. Changes or movements in any of these investment-related risk items may result in a loss or impairment to our invested cash and may have a material adverse effect on our business and financial condition.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development and commercialization of our product candidates</w:t>
      </w:r>
    </w:p>
    <w:p>
      <w:pPr>
        <w:spacing w:after="0" w:line="117"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current product candidates are in various stages of development. Our product candidates may fail in development or suffer delays that adversely affect their commercial viability. If we or our existing or future collaborators are unable to complete development of, obtain regulatory approval for or commercialize our product candidates or experience significant delays in doing so, our business will be materially harmed.</w:t>
      </w:r>
    </w:p>
    <w:p>
      <w:pPr>
        <w:spacing w:after="0" w:line="67"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We have no products on the market and our product candidates are in various stages of development. We are currently conducting Phase 2 clinical trials of mecbotamab vedotin, ozuriftamab vedotin, and evalstotug, and a Phase 1 trial of BA3182. Various other product candidates are in earlier stages of development. Our ability to achieve and sustain profitability depends on obtaining regulatory approvals for and, if approved, successfully commercializing our product candidates, either alone or with third parties. Before obtaining regulatory approval for the commercial distribution of our product candidates, we or an existing or future collaborator must conduct extensive preclinical tests and clinical trials to demonstrate the safety, efficacy, purity and potency of our product candidates. Any product candidate can unexpectedly fail at any stage of preclinical or clinical development and the historical failure rate for product candidates is high. The results from preclinical testing of a product candidate may not predict the results that will be obtained in later clinical trials of the product candidate. We or our existing or future collaborators may experience issues that delay or prevent clinical testing and regulatory approval of, or our ability to commercialize, product candidates, including, among others:</w:t>
      </w:r>
    </w:p>
    <w:p>
      <w:pPr>
        <w:spacing w:after="0" w:line="80" w:lineRule="exact"/>
        <w:rPr>
          <w:sz w:val="20"/>
          <w:szCs w:val="20"/>
          <w:color w:val="auto"/>
        </w:rPr>
      </w:pPr>
    </w:p>
    <w:p>
      <w:pPr>
        <w:ind w:left="1000" w:hanging="36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our clinical trials resulting from external factors including global conflicts and health epidemics;</w:t>
      </w:r>
    </w:p>
    <w:p>
      <w:pPr>
        <w:spacing w:after="0" w:line="117" w:lineRule="exact"/>
        <w:rPr>
          <w:rFonts w:ascii="Times New Roman" w:cs="Times New Roman" w:eastAsia="Times New Roman" w:hAnsi="Times New Roman"/>
          <w:sz w:val="18"/>
          <w:szCs w:val="18"/>
          <w:color w:val="auto"/>
        </w:rPr>
      </w:pPr>
    </w:p>
    <w:p>
      <w:pPr>
        <w:ind w:left="1000" w:right="60" w:hanging="36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results from preclinical testing or clinical trials leading to a decision or requirement to conduct additional preclinical testing or clinical trials or abandon a program;</w:t>
      </w:r>
    </w:p>
    <w:p>
      <w:pPr>
        <w:spacing w:after="0" w:line="53" w:lineRule="exact"/>
        <w:rPr>
          <w:rFonts w:ascii="Times New Roman" w:cs="Times New Roman" w:eastAsia="Times New Roman" w:hAnsi="Times New Roman"/>
          <w:sz w:val="18"/>
          <w:szCs w:val="18"/>
          <w:color w:val="auto"/>
        </w:rPr>
      </w:pPr>
    </w:p>
    <w:p>
      <w:pPr>
        <w:ind w:left="1000" w:right="20" w:hanging="36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product-related side effects experienced by participants in clinical trials or by individuals using therapeutic biologics that share characteristics with our product candidates;</w:t>
      </w:r>
    </w:p>
    <w:p>
      <w:pPr>
        <w:spacing w:after="0" w:line="53" w:lineRule="exact"/>
        <w:rPr>
          <w:rFonts w:ascii="Times New Roman" w:cs="Times New Roman" w:eastAsia="Times New Roman" w:hAnsi="Times New Roman"/>
          <w:sz w:val="18"/>
          <w:szCs w:val="18"/>
          <w:color w:val="auto"/>
        </w:rPr>
      </w:pPr>
    </w:p>
    <w:p>
      <w:pPr>
        <w:ind w:left="1000" w:right="360" w:hanging="36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submitting INDs or comparable foreign applications or delays or failure in obtaining the necessary approvals from regulators or institutional review boards (“IRBs”), to commence a clinical trial, or a suspension or termination of a clinical trial once commenced;</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imposed by the FDA or comparable foreign authorities, including the EMA, regarding the scope or design of clinical trials;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enrolling patients in clinical trials;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drop-out rates of patients;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drug materials or other supplies necessary for the conduct of our clinical trials;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27" w:name="page28"/>
    <w:bookmarkEnd w:id="27"/>
    <w:p>
      <w:pPr>
        <w:ind w:left="1000" w:hanging="36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than anticipated clinical trial costs;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effectiveness of our product candidates during clinical trials;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FDA or other regulatory agency inspection and review of a clinical trial site;</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deficiencies in our third-party manufacturers’ manufacturing processes or facilities;</w:t>
      </w:r>
    </w:p>
    <w:p>
      <w:pPr>
        <w:spacing w:after="0" w:line="117" w:lineRule="exact"/>
        <w:rPr>
          <w:rFonts w:ascii="Times New Roman" w:cs="Times New Roman" w:eastAsia="Times New Roman" w:hAnsi="Times New Roman"/>
          <w:sz w:val="18"/>
          <w:szCs w:val="18"/>
          <w:color w:val="auto"/>
        </w:rPr>
      </w:pPr>
    </w:p>
    <w:p>
      <w:pPr>
        <w:ind w:left="1000" w:right="280" w:hanging="368"/>
        <w:spacing w:after="0" w:line="312" w:lineRule="auto"/>
        <w:tabs>
          <w:tab w:leader="none" w:pos="10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 or further approval of competitor products approved in indications in which we undertake development of our product candidates, which may change the standard of care or change the standard for approval of our product candidates in our proposed indications;</w:t>
      </w:r>
    </w:p>
    <w:p>
      <w:pPr>
        <w:spacing w:after="0" w:line="31" w:lineRule="exact"/>
        <w:rPr>
          <w:rFonts w:ascii="Times New Roman" w:cs="Times New Roman" w:eastAsia="Times New Roman" w:hAnsi="Times New Roman"/>
          <w:sz w:val="17"/>
          <w:szCs w:val="17"/>
          <w:color w:val="auto"/>
        </w:rPr>
      </w:pPr>
    </w:p>
    <w:p>
      <w:pPr>
        <w:ind w:left="1000" w:right="200" w:hanging="368"/>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any third-party contractors, investigators or contract research organizations (“CROs”), to comply with regulatory requirements or otherwise meet their contractual obligations in a timely manner, or at all;</w:t>
      </w:r>
    </w:p>
    <w:p>
      <w:pPr>
        <w:spacing w:after="0" w:line="53" w:lineRule="exact"/>
        <w:rPr>
          <w:rFonts w:ascii="Times New Roman" w:cs="Times New Roman" w:eastAsia="Times New Roman" w:hAnsi="Times New Roman"/>
          <w:sz w:val="18"/>
          <w:szCs w:val="18"/>
          <w:color w:val="auto"/>
        </w:rPr>
      </w:pPr>
    </w:p>
    <w:p>
      <w:pPr>
        <w:ind w:left="1000" w:right="380" w:hanging="368"/>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and changes in regulatory requirements, policy and guidelines, including the imposition of additional regulatory oversight around clinical testing generally or with respect to our technology or product candidates in particular; or</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interpretations of data by the FDA and similar foreign regulatory agencies, including the EMA.</w:t>
      </w:r>
    </w:p>
    <w:p>
      <w:pPr>
        <w:spacing w:after="0" w:line="225"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Because CABs represent a new generation of antibodies, a delay or failure in development of any CAB product candidate could represent a major set-back for our patented technology platform and for our company generally.</w:t>
      </w:r>
    </w:p>
    <w:p>
      <w:pPr>
        <w:spacing w:after="0" w:line="26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Results from early-stage clinical trials may not be predictive of results from late-stage or other clinical trials, and the results of our clinical trials may not satisfy the requirements of the FDA, EMA or other comparable foreign regulatory authorities.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Positive and promising results from preclinical studies and early-stage clinical trials may not be predictive of results from late-stage clinical trials or from clinical trials of the same product candidates for the treatment of other indications. Product candidates in later stages of clinical trials may fail to show the desired safety and efficacy traits despite having progressed through preclinical studies and initial clinical trials. Late-stage clinical trials could differ in significant ways from early-stage clinical trials, including changes to inclusion and exclusion criteria, efficacy endpoints, dosing regimen and statistical design. Moreover, success in clinical trials in a particular indication does not guarantee that a product candidate will be successful for the treatment of other indications. Many companies in the biopharmaceutical industry have suffered significant setbacks in late-stage clinical trials after achieving encouraging or positive results in early-stage development. We cannot assure you that we will not face similar setbacks in our ongoing or planned clinical trials or in any subsequent or post-marketing confirmatory clinical trials.</w:t>
      </w:r>
    </w:p>
    <w:p>
      <w:pPr>
        <w:spacing w:after="0" w:line="16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Moreover, preclinical and clinical data are often susceptible to varying interpretations and analyses and many companies that believed their product candidates performed satisfactorily in preclinical studies and clinical trials nonetheless failed to obtain FDA, EMA or comparable foreign regulatory authority approval. We cannot guarantee that the FDA will agree with our clinical trial plans, and we cannot assure you that the FDA will agree that the results from our trials will be sufficient to support approval of any of our product candidates. For example, the objective response rates on our primary endpoints may not be sufficient, we may not demonstrate a sufficient duration of response, or there may be limitations with the total sample size of our studies and dose selection strategy.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 Even if regulatory approval is secured for any of our product candidates, the terms of such approval may limit the scope and use of our product candidate, which may also limit its commercial potential. Furthermore, the approval policies or regulations of the FDA, EMA or comparable foreign regulatory authorities may significantly change in a manner rendering our clinical data insufficient for approval, which may lead to the FDA, EMA or comparable foreign regulatory authorities delaying, limiting or denying approval of our product candidates.</w:t>
      </w:r>
    </w:p>
    <w:p>
      <w:pPr>
        <w:spacing w:after="0" w:line="178"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Furthermore, there have been in the past, and may be in the future, investigator-initiated clinical trials using our investigational products. We do not control the design or administration of these or any other investigator-initiated trials that may be conducted, nor the submission or approval of any IND or foreign equivalent required to conduct any such trials. Any investigator-initiated trials could, depending on the actions of such third parties, jeopardize the validity of the clinical data generated, identify significant concerns with respect to our product candidates that could impact our findings or clinical trials, and adversely affect our ability to obtain marketing approval from the FDA or other applicable regulatory authorities. To the extent the results of these or other investigator-initiated trials are inconsistent with, or different from, the results of our ongoing or planned company-sponsored trials or raise concerns regarding our product candidates, the FDA or a foreign regulatory authority may question the results of the company-sponsored trial, or subject such results to greater scrutiny than it otherwise would. In these circumstances, the FDA or such foreign regulatory authorities may require us to obtain and submit additional clinical data, which could delay clinical development or marketing approval of our product candidates. In addition, while investigator-initiated trials could be useful to inform our own clinical development efforts, there is no guarantee that we will be able to use the data from these trials to form the basis for regulatory approval of our product candidates.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8" w:name="page29"/>
    <w:bookmarkEnd w:id="28"/>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the success of our patented CAB technology platform, and our future success depends heavily on the successful development of this platform.</w:t>
      </w:r>
    </w:p>
    <w:p>
      <w:pPr>
        <w:spacing w:after="0" w:line="5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We use our CAB technology platform to develop product candidates for cancer therapies. Any failures or setbacks involving our CAB technology platform, including adverse events, could have a detrimental impact on all of our product candidates and our research pipeline. For example, we may uncover a previously unknown risk associated with CABs or other issues that may be more problematic than we currently believe, which may prolong the period of observation required for obtaining, necessitate additional clinical testing or result in the failure to obtain, regulatory approval. If our CAB technology is not safe in certain product candidates, we could be required to abandon or redesign all of our current product candidates, which could have a material adverse effect on our business, financial condition, results of operations and prospects.</w:t>
      </w:r>
    </w:p>
    <w:p>
      <w:pPr>
        <w:spacing w:after="0" w:line="29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use and expand our patented CAB technology platform to continue to build a pipeline of product candidates and develop marketable products.</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have used our patented technology platform to develop CABs in oncology indications with our lead product candidates mecbotamab vedotin, ozuriftamab vedotin, evalstotug, BA3182, and other preclinical product candidates. We may also in the future continue to build our pipeline of CAB product candidates. Our business depends not only on our ability to successfully develop, obtain regulatory approval for, and commercialize the product candidates we currently have in clinical and preclinical development, but to continue to generate new product candidates through our platform. Even if we are successful in continuing to build our pipeline and further progress the clinical development of our current product candidates, any additional product candidates may not be suitable for clinical development, including as a result of harmful side effects, manufacturing issues, limited efficacy or other characteristics that indicate that they are unlikely to be products that will succeed in clinical development, receive marketing approval or achieve market acceptance. If we cannot validate our technology platform by successfully commercializing CAB product candidates, we may not be able to obtain product, licensing or collaboration revenue in future periods, which would adversely affect our business, financial condition, results of operations and prospects.</w:t>
      </w:r>
    </w:p>
    <w:p>
      <w:pPr>
        <w:spacing w:after="0" w:line="292"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resources to pursue particular product candidates and fail to capitalize on product candidates that may be more profitable or for which there is a greater likelihood of success.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As a result of our limited financial and managerial resources, we must make strategic decisions as to which targets and product candidates to pursue and may forego or delay pursuit of opportunities with other targets or product candidates or for other indications that later prove to have greater commercial potential. For example, we are exploring potential strategic collaboration with third parties to accelerate development of certain assets. In addition, we may decide to further prioritize development of certain programs and certain indications. Our resource allocation decisions may cause us to fail to capitalize on viable commercial products or profitable market opportunities. Failure to properly assess potential product candidates could result in our focus on product candidates with low market potential, which would harm our business, financial condition, results of operations and prospects. Our spending on current and future research and development programs and product candidates for specific targets or indications may not yield any commercially viable products. Our understanding and evaluation of biological targets for the discovery and development of new CAB product candidates may fail to identify challenges encountered in subsequent preclinical and clinical development. If we do not accurately evaluate the likelihood of clinical trial success,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296"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any product that we develop are smaller than we believe they are, our revenue may be adversely affected and our business may suffer.</w:t>
      </w:r>
    </w:p>
    <w:p>
      <w:pPr>
        <w:spacing w:after="0" w:line="51" w:lineRule="exact"/>
        <w:rPr>
          <w:sz w:val="20"/>
          <w:szCs w:val="20"/>
          <w:color w:val="auto"/>
        </w:rPr>
      </w:pPr>
    </w:p>
    <w:p>
      <w:pPr>
        <w:ind w:right="160" w:firstLine="509"/>
        <w:spacing w:after="0" w:line="253" w:lineRule="auto"/>
        <w:rPr>
          <w:sz w:val="20"/>
          <w:szCs w:val="20"/>
          <w:color w:val="auto"/>
        </w:rPr>
      </w:pPr>
      <w:r>
        <w:rPr>
          <w:rFonts w:ascii="Times New Roman" w:cs="Times New Roman" w:eastAsia="Times New Roman" w:hAnsi="Times New Roman"/>
          <w:sz w:val="18"/>
          <w:szCs w:val="18"/>
          <w:color w:val="auto"/>
        </w:rPr>
        <w:t>We focus our product candidate development on therapeutic CAB antibodies for the treatment of various oncology indications, such as sarcoma, NSCLC, melanoma, and head and neck cancer among others. Our projections of addressable patient populations that may benefit from treatment with our product candidates are based on our estimates. These estimates, which have been derived from a variety of sources, including scientific literature, surveys of clinics, physician interviews, patient foundations and market research, may prove to be incorrect. Further, new studies may change the estimated incidence or prevalence of these cancers. Additionally, the potentially addressable patient population for our product candidates may not ultimately be amenable to treatment with our product candidates. Our market opportunity may also be limited by future competitor treatments that enter the market. If any of our estimates prove to be inaccurate, the market opportunity for any product candidate that we or our strategic partners develop could be significantly diminished and have an adverse material impact on our business.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9" w:name="page30"/>
    <w:bookmarkEnd w:id="29"/>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may not be receptive to our product candidates because they are based on our novel therapeutic modality, and we may not generate any future revenue from the sale or licensing of product candidates.</w:t>
      </w:r>
    </w:p>
    <w:p>
      <w:pPr>
        <w:spacing w:after="0" w:line="5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product candidates that we are developing are primarily based on our patented CAB technology platform, which uses new technologies to create our novel therapeutic approach. Market participants with significant influence over acceptance of new treatments, such as physicians and third-party payors, may not adopt a product or treatment based on our patented technology platform, and we may not be able to convince patients, the medical community and third-party payors to accept and use, or to provide favorable reimbursement for, any product candidates developed by us or our existing or future collaborators. Market acceptance of our product candidates will depend on, among other factors:</w:t>
      </w:r>
    </w:p>
    <w:p>
      <w:pPr>
        <w:spacing w:after="0" w:line="75" w:lineRule="exact"/>
        <w:rPr>
          <w:sz w:val="20"/>
          <w:szCs w:val="20"/>
          <w:color w:val="auto"/>
        </w:rPr>
      </w:pPr>
    </w:p>
    <w:p>
      <w:pPr>
        <w:ind w:left="1000" w:hanging="36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receipt of any marketing and commercialization approvals;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approvals and the countries in which approvals are obtained;</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and efficacy of our product candidates;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adverse side effects associated with our product candidates;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any labeling approved by the FDA or other regulatory authority, including the EMA;</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obtain new biopsies or consent to provide existing tumor tissue specimens;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 of our product candidates;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accept any new methods of administration;</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any physician education programs;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government and third-party payor reimbursement;</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of our products, particularly as compared to alternative treatments; and</w:t>
      </w:r>
    </w:p>
    <w:p>
      <w:pPr>
        <w:spacing w:after="0" w:line="117" w:lineRule="exact"/>
        <w:rPr>
          <w:rFonts w:ascii="Times New Roman" w:cs="Times New Roman" w:eastAsia="Times New Roman" w:hAnsi="Times New Roman"/>
          <w:sz w:val="18"/>
          <w:szCs w:val="18"/>
          <w:color w:val="auto"/>
        </w:rPr>
      </w:pPr>
    </w:p>
    <w:p>
      <w:pPr>
        <w:ind w:left="1000" w:right="300" w:hanging="36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alternative effective treatments for the disease indications our product candidates are intended to treat and the relative risks, benefits and costs of those treatments.</w:t>
      </w:r>
    </w:p>
    <w:p>
      <w:pPr>
        <w:spacing w:after="0" w:line="162"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If any product candidate we commercialize fails to achieve market acceptance, it could have a material and adverse effect on our business, financial condition, results of operations and prospects.</w:t>
      </w:r>
    </w:p>
    <w:p>
      <w:pPr>
        <w:spacing w:after="0" w:line="26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Preliminary, preplanned interim and topline data from our clinical trials that we announce or publish from time to time may change as more patient data become available and/or are subject to audit and verification procedures that could result in material changes in the final data.</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From time to time, we may publicly disclose preliminary, preplanned interim or topline data from our clinical trials. These data and related findings and conclusions may only reflect certain endpoints rather than all endpoints and are subject to change. For example, we may report tumor responses in certain patients that are unconfirmed at the time and which do not ultimately result in confirmed responses to treatment after follow-up evaluations. We also make assumptions, estimations, calculations and conclusions as part of our analyses of data, and we may not have received or had the opportunity to fully and carefully evaluate all data. As a result, the preliminary results that we report may differ from future results of the same studies, or different conclusions or considerations may qualify such results, once additional data have been received and fully evaluated. Topline data remain subject to audit and verification procedures that may result in the final data being materially different from the preliminary data we previously published. As a result, topline data should be viewed with caution until the final data are available. In addition, we may report preplanned interim analyses of the clinical trials we may complete, which are subject to the risk that one or more of the clinical outcomes may materially change as patient enrollment continues and more patient data become available. Adverse changes between interim data and final data could significantly harm our business and prospects. Further, additional disclosure of interim data by us or by our competitors in the future could result in volatility in the price of our common stock.</w:t>
      </w:r>
    </w:p>
    <w:p>
      <w:pPr>
        <w:spacing w:after="0" w:line="16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addition, the information we choose to publicly disclose regarding a particular study or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preplanned interim or topline data that we report differ from later, final or actual results, or if others, including regulatory authorities, disagree with the conclusions reached, our ability to obtain approval for, and commercialize our product candidates may be harmed, which could harm our business, financial condition, results of operations and prospects.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0" w:name="page31"/>
    <w:bookmarkEnd w:id="30"/>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Delays in the commencement and completion of clinical trials could increase costs and delay or prevent regulatory approval and commercialization of our product candidates.</w:t>
      </w:r>
    </w:p>
    <w:p>
      <w:pPr>
        <w:spacing w:after="0" w:line="51"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We cannot guarantee that clinical trials of our product candidates will be conducted as planned or completed on schedule, if at all. A failure of one or more clinical trials can occur at any stage of the clinical trial process, and other events may cause us to temporarily or permanently stop a clinical trial. Events that may prevent successful or timely commencement and completion of clinical development include:</w:t>
      </w:r>
    </w:p>
    <w:p>
      <w:pPr>
        <w:spacing w:after="0" w:line="68" w:lineRule="exact"/>
        <w:rPr>
          <w:sz w:val="20"/>
          <w:szCs w:val="20"/>
          <w:color w:val="auto"/>
        </w:rPr>
      </w:pPr>
    </w:p>
    <w:p>
      <w:pPr>
        <w:ind w:left="1000" w:hanging="36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preclinical data;</w:t>
      </w:r>
    </w:p>
    <w:p>
      <w:pPr>
        <w:spacing w:after="0" w:line="117" w:lineRule="exact"/>
        <w:rPr>
          <w:rFonts w:ascii="Times New Roman" w:cs="Times New Roman" w:eastAsia="Times New Roman" w:hAnsi="Times New Roman"/>
          <w:sz w:val="18"/>
          <w:szCs w:val="18"/>
          <w:color w:val="auto"/>
        </w:rPr>
      </w:pPr>
    </w:p>
    <w:p>
      <w:pPr>
        <w:ind w:left="1000" w:hanging="368"/>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receiving the required regulatory clearance from the appropriate regulatory authorities to commence clinical trials or amend clinical trial protocols, including any objections to our INDs or protocol amendments from the FDA;</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or a failure to reach, a consensus with regulatory authorities on study design;</w:t>
      </w:r>
    </w:p>
    <w:p>
      <w:pPr>
        <w:spacing w:after="0" w:line="117" w:lineRule="exact"/>
        <w:rPr>
          <w:rFonts w:ascii="Times New Roman" w:cs="Times New Roman" w:eastAsia="Times New Roman" w:hAnsi="Times New Roman"/>
          <w:sz w:val="18"/>
          <w:szCs w:val="18"/>
          <w:color w:val="auto"/>
        </w:rPr>
      </w:pPr>
    </w:p>
    <w:p>
      <w:pPr>
        <w:ind w:left="1000" w:right="140" w:hanging="368"/>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or failure to reach, agreement on acceptable terms with prospective CROs and clinical trial sites, the terms of which can be subject to extensive negotiation and may vary significantly among different CROs and trial sites;</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obtaining IRB approval at each site;</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recruiting suitable patients to participate in a trial;</w:t>
      </w:r>
    </w:p>
    <w:p>
      <w:pPr>
        <w:spacing w:after="0" w:line="117" w:lineRule="exact"/>
        <w:rPr>
          <w:rFonts w:ascii="Times New Roman" w:cs="Times New Roman" w:eastAsia="Times New Roman" w:hAnsi="Times New Roman"/>
          <w:sz w:val="18"/>
          <w:szCs w:val="18"/>
          <w:color w:val="auto"/>
        </w:rPr>
      </w:pPr>
    </w:p>
    <w:p>
      <w:pPr>
        <w:ind w:left="1000" w:right="320" w:hanging="368"/>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enroll a sufficient number of patients in clinical trials to ensure adequate statistical power to detect statistically significant treatment effects;</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having patients complete a trial or return for post-treatment follow-up;</w:t>
      </w:r>
    </w:p>
    <w:p>
      <w:pPr>
        <w:spacing w:after="0" w:line="117" w:lineRule="exact"/>
        <w:rPr>
          <w:rFonts w:ascii="Times New Roman" w:cs="Times New Roman" w:eastAsia="Times New Roman" w:hAnsi="Times New Roman"/>
          <w:sz w:val="18"/>
          <w:szCs w:val="18"/>
          <w:color w:val="auto"/>
        </w:rPr>
      </w:pPr>
    </w:p>
    <w:p>
      <w:pPr>
        <w:ind w:left="1000" w:right="80" w:hanging="368"/>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CROs or clinical trial sites failing to comply with regulatory requirements or meet their contractual obligations to us in a timely manner, or at all, deviating from the protocol or dropping out of a clinical trial;</w:t>
      </w:r>
    </w:p>
    <w:p>
      <w:pPr>
        <w:spacing w:after="0" w:line="53" w:lineRule="exact"/>
        <w:rPr>
          <w:rFonts w:ascii="Times New Roman" w:cs="Times New Roman" w:eastAsia="Times New Roman" w:hAnsi="Times New Roman"/>
          <w:sz w:val="18"/>
          <w:szCs w:val="18"/>
          <w:color w:val="auto"/>
        </w:rPr>
      </w:pPr>
    </w:p>
    <w:p>
      <w:pPr>
        <w:ind w:left="1000" w:right="180" w:hanging="368"/>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 including occurrence of treatment emergent adverse events (“TEAEs”) associated with the product candidate that are viewed to outweigh the product candidate’s potential benefits;</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adding new clinical trial sites;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ambiguous or negative interim results;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the clinical trial;</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manufacturing sufficient quantities of product candidate acceptable for use in clinical trials in a timely manner, or at all; or</w:t>
      </w:r>
    </w:p>
    <w:p>
      <w:pPr>
        <w:spacing w:after="0" w:line="117" w:lineRule="exact"/>
        <w:rPr>
          <w:rFonts w:ascii="Times New Roman" w:cs="Times New Roman" w:eastAsia="Times New Roman" w:hAnsi="Times New Roman"/>
          <w:sz w:val="18"/>
          <w:szCs w:val="18"/>
          <w:color w:val="auto"/>
        </w:rPr>
      </w:pPr>
    </w:p>
    <w:p>
      <w:pPr>
        <w:ind w:left="1000" w:right="520" w:hanging="368"/>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epidemics and outbreaks, which in the past has resulted in, and in the future may result in, delays to patient enrollment, patients discontinuing their treatment or follow up visits or changes to trial protocols.</w:t>
      </w:r>
    </w:p>
    <w:p>
      <w:pPr>
        <w:spacing w:after="0" w:line="13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could encounter delays if a clinical trial is suspended or terminated by us, by the IRBs of the institutions in which such trials are being conducted, by a Data Safety Monitoring Board (“DSMB”), for such trial or by the FDA or other regulatory authorities. Such authorities may impose such a suspension or termination due to several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If we experience delays in the completion of, or termination of, any clinical trial of our product candidates, the commercial prospects of our product candidates will be harmed, and our ability to generate product revenues from any of these product candidates will be delayed or lost. In addition, any delays in completing our clinical trials will increase our costs, slow down our product candidate development and approval process and jeopardize our ability to commence product sales and generate revenues. Any of these occurrences may harm our business, financial condition, results of operations and prospects significantly. In addition, many of the factors that cause, or lead to, a delay in the commencement or completion of clinical trials may also ultimately lead to the denial of regulatory approval of our product candidates.</w:t>
      </w:r>
    </w:p>
    <w:p>
      <w:pPr>
        <w:spacing w:after="0" w:line="178" w:lineRule="exact"/>
        <w:rPr>
          <w:sz w:val="20"/>
          <w:szCs w:val="20"/>
          <w:color w:val="auto"/>
        </w:rPr>
      </w:pPr>
    </w:p>
    <w:p>
      <w:pPr>
        <w:ind w:right="60" w:firstLine="509"/>
        <w:spacing w:after="0" w:line="257" w:lineRule="auto"/>
        <w:rPr>
          <w:sz w:val="20"/>
          <w:szCs w:val="20"/>
          <w:color w:val="auto"/>
        </w:rPr>
      </w:pPr>
      <w:r>
        <w:rPr>
          <w:rFonts w:ascii="Times New Roman" w:cs="Times New Roman" w:eastAsia="Times New Roman" w:hAnsi="Times New Roman"/>
          <w:sz w:val="18"/>
          <w:szCs w:val="18"/>
          <w:color w:val="auto"/>
        </w:rPr>
        <w:t>In addition, data obtained from trials and studies are susceptible to varying interpretations, and regulators may not interpret our data as favorably as we do, which may delay, limit or prevent regulatory approval. Our clinical trial results may not be successful, or even if successful, may not lead to regulatory approval.</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5" w:right="399" w:bottom="1440" w:gutter="0" w:footer="0" w:header="0"/>
        </w:sectPr>
      </w:pPr>
    </w:p>
    <w:bookmarkStart w:id="31" w:name="page32"/>
    <w:bookmarkEnd w:id="31"/>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Enrollment and retention of patients in clinical trials is an expensive and time-consuming process and could be made more difficult or rendered impossible by multiple factors outside our control.</w:t>
      </w:r>
    </w:p>
    <w:p>
      <w:pPr>
        <w:spacing w:after="0" w:line="51"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We may encounter delays or difficulties in enrolling, or be unable to enroll, a sufficient number of patients to complete any of our clinical trials on our current timelines, or at all, and even once enrolled, we may be unable to retain a sufficient number of patients to complete any of our trials. Enrollment in our clinical trials may be slower than we anticipate, leading to delays in our development timelines.</w:t>
      </w:r>
    </w:p>
    <w:p>
      <w:pPr>
        <w:spacing w:after="0" w:line="14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Patient enrollment and retention in clinical trials depends on many factors, including the size and nature of the patient population, the nature of the trial protocol, our ability to recruit clinical trial investigators with the appropriate competencies and experience, delays in enrollment due to travel or quarantine policies, or other factors related to health epidemics or pandemics, the existing body of safety and efficacy data with respect to the study drug, the number and nature of competing treatments and ongoing clinical trials of competing drugs for the same indication, the proximity of patients to clinical sites, the eligibility criteria for the trial and the proportion of patients screened that meets those criteria, including criteria related to biomarkers, our ability to obtain and maintain patient consents, including any additional consents necessary for enrollment of adolescent patients, and our ability to successfully complete prerequisite studies before enrolling certain patient populations. Furthermore, any negative results or new safety signals we may report in clinical trials of our product candidates may make it difficult or impossible to recruit and retain patients in other clinical trials we are conducting. Similarly, results reported by our competitors about their drug candidates may negatively affect patient recruitment in our clinical trials. Also, marketing authorization of competitors in this same class of drugs may impair our ability to enroll patients into our clinical trials, delaying or potentially preventing us from completing recruitment of one or more of our trials.</w:t>
      </w:r>
    </w:p>
    <w:p>
      <w:pPr>
        <w:spacing w:after="0" w:line="17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Delays or failures in planned patient enrollment or retention may result in increased costs, program delays or both, which could have a harmful effect on our ability to develop our product candidates or could render further development impossible. In addition, we rely on clinical trial sites to ensure timely conduct of our clinical trials and, while we have entered into agreements governing their services, we are limited in our ability to compel their actual performance.</w:t>
      </w:r>
    </w:p>
    <w:p>
      <w:pPr>
        <w:spacing w:after="0" w:line="284"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and unforeseen side effects or have other properties impacting safety that could halt their clinical development, delay or prevent their regulatory approval, limit their commercial potential or result in significant negative consequences.</w:t>
      </w:r>
    </w:p>
    <w:p>
      <w:pPr>
        <w:spacing w:after="0" w:line="5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Undesirable side effects caused by our product candidates could cause us or regulatory authorities to interrupt, delay or halt clinical trials and could result in a more restrictive label or the delay or denial of regulatory approval by the FDA or other regulatory authorities and potential product liability claims. Such side effects could also affect patient recruitment or the ability of enrolled patients to complete the trial. Many compounds developed in the biopharmaceutical industry that initially showed promise in early-stage testing for treating cancer have later been found to cause side effects that prevented their further development. Any of these occurrences may materially and adversely affect our business, financial condition, results of operations and prospects.</w:t>
      </w:r>
    </w:p>
    <w:p>
      <w:pPr>
        <w:spacing w:after="0" w:line="160"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our clinical trials for our antibody-drug conjugates mecbotamab vedotin and ozuriftamab vedotin, we have observed adverse events such as reversible myelosuppression, transient liver enzyme elevations, pyrexia, or fever, metabolic disturbances and peripheral neuropathy. In our clinical trial for evalstotug, we have observed infusion-related reactions, cytokine release syndrome, and immune-related adverse events. We may also observe undesirable side effects in clinical trials for our other product candidates.</w:t>
      </w:r>
    </w:p>
    <w:p>
      <w:pPr>
        <w:spacing w:after="0" w:line="166"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For our current and future clinical trials, we have contracted with and expect to continue to contract with CROs experienced in the assessment and management of toxicities arising during clinical trials. Nonetheless, they may have difficulty observing patients and treating toxicities, which may be more challenging due to personnel changes, shift changes, house staff coverage or related issues. This could lead to more severe or prolonged toxicities or even patient deaths, which could result in us or the FDA delaying, suspending or terminating one or more of our clinical trials and which could jeopardize regulatory approval.</w:t>
      </w:r>
    </w:p>
    <w:p>
      <w:pPr>
        <w:spacing w:after="0" w:line="156"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Further, clinical trials by their nature test product candidates in only samples of the potential patient populations. With a limited number of patients and limited duration of exposure in such trials, rare and severe side effects of our product candidates may not be uncovered until a significantly larger number of patients are exposed to the product candidate. For example, while we believe that mecbotamab vedotin, ozuriftamab vedotin, and evalstotug have demonstrated manageable tolerability profiles thus far, we cannot assure you that these and our other product candidates will not cause more severe side effects in a greater proportion of patients.</w:t>
      </w:r>
    </w:p>
    <w:p>
      <w:pPr>
        <w:spacing w:after="0" w:line="156"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In addition, mecbotamab vedotin, ozuriftamab vedotin, and evalstotug are being studied in combination with other therapies, which may exacerbate adverse events associated with the therapy. Patients treated with these or our other product candidates may have recently received surgical, radiation or chemotherapy treatments, which can cause side effects or adverse events that are unrelated to our product candidate but may still impact the success of our clinical trials.</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32" w:name="page33"/>
    <w:bookmarkEnd w:id="32"/>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inclusion of critically ill patients in our clinical trials may result in deaths or other adverse medical events due to other therapies or medications that such patients may be using or due to the gravity of such patients’ illnesses. For example, some of the late-stage patients enrolled in the clinical trials may die or experience major clinical events either during the course of our clinical trials or after participating in such trials due mainly to the gravity of their illness, which has occurred in the past.</w:t>
      </w:r>
    </w:p>
    <w:p>
      <w:pPr>
        <w:spacing w:after="0" w:line="166"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In the event that any of our product candidates receive regulatory approval, and we or others later identify undesirable and unforeseen side effects caused by such product, negative consequences, including any of the following, could occur:</w:t>
      </w:r>
    </w:p>
    <w:p>
      <w:pPr>
        <w:spacing w:after="0" w:line="54" w:lineRule="exact"/>
        <w:rPr>
          <w:sz w:val="20"/>
          <w:szCs w:val="20"/>
          <w:color w:val="auto"/>
        </w:rPr>
      </w:pPr>
    </w:p>
    <w:p>
      <w:pPr>
        <w:ind w:left="1000" w:right="600" w:hanging="36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suspend, limit or withdraw their approval of such product, or seek an injunction against its manufacture or distribution;</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conduct additional clinical trials or post-approval studies;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requested or required to recall a product or change the way such product is administered to patients;</w:t>
      </w:r>
    </w:p>
    <w:p>
      <w:pPr>
        <w:spacing w:after="0" w:line="117" w:lineRule="exact"/>
        <w:rPr>
          <w:rFonts w:ascii="Times New Roman" w:cs="Times New Roman" w:eastAsia="Times New Roman" w:hAnsi="Times New Roman"/>
          <w:sz w:val="18"/>
          <w:szCs w:val="18"/>
          <w:color w:val="auto"/>
        </w:rPr>
      </w:pPr>
    </w:p>
    <w:p>
      <w:pPr>
        <w:ind w:left="1000" w:right="460" w:hanging="36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of the particular product or the manufacturing processes for the product or any component thereof;</w:t>
      </w:r>
    </w:p>
    <w:p>
      <w:pPr>
        <w:spacing w:after="0" w:line="53" w:lineRule="exact"/>
        <w:rPr>
          <w:rFonts w:ascii="Times New Roman" w:cs="Times New Roman" w:eastAsia="Times New Roman" w:hAnsi="Times New Roman"/>
          <w:sz w:val="18"/>
          <w:szCs w:val="18"/>
          <w:color w:val="auto"/>
        </w:rPr>
      </w:pPr>
    </w:p>
    <w:p>
      <w:pPr>
        <w:ind w:left="1000" w:right="120" w:hanging="368"/>
        <w:spacing w:after="0" w:line="312" w:lineRule="auto"/>
        <w:tabs>
          <w:tab w:leader="none" w:pos="10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authorities may require the addition of labeling statements, such as a boxed warning or a contraindication, or issue safety alerts, Dear Healthcare Provider letters, press releases or other communications containing warnings or other safety information about the product;</w:t>
      </w:r>
    </w:p>
    <w:p>
      <w:pPr>
        <w:spacing w:after="0" w:line="31" w:lineRule="exact"/>
        <w:rPr>
          <w:rFonts w:ascii="Times New Roman" w:cs="Times New Roman" w:eastAsia="Times New Roman" w:hAnsi="Times New Roman"/>
          <w:sz w:val="17"/>
          <w:szCs w:val="17"/>
          <w:color w:val="auto"/>
        </w:rPr>
      </w:pPr>
    </w:p>
    <w:p>
      <w:pPr>
        <w:ind w:left="1000" w:right="80" w:hanging="36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implement a Risk Evaluation and Mitigation Strategy (“REMS”) and/or create a Medication Guide outlining the risks of such side effects for distribution to patients, a communication plan for healthcare providers and/or other elements to assure safe use;</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fines, injunctions or the imposition of civil or criminal penalties;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 and</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9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particular product candidate, if approved, and result in the loss of significant revenues to us, which would materially and adversely affect our results of operations and business. In addition, if one or more of our product candidates prove to be unsafe, our business, financial condition, results of operations and prospects may be materially and adversely affected.</w:t>
      </w:r>
    </w:p>
    <w:p>
      <w:pPr>
        <w:spacing w:after="0" w:line="280"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developing certain of our product candidates in combination with other therapies, and regulatory approval, safety or supply issues with these other therapies may delay or prevent the development and approval of our product candidates.</w:t>
      </w:r>
    </w:p>
    <w:p>
      <w:pPr>
        <w:spacing w:after="0" w:line="5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have investigated the use of each of mecbotamab vedotin, ozuriftamab vedotin, and evalstotug in combination with an anti-PD-1 antibody. In the future, we may explore the use of these or our other product candidates in combination with other therapies. If we choose to develop a product candidate for use in combination with an approved therapy, we are subject to the risk that the FDA, EMA or comparable foreign regulatory authorities in other jurisdictions could revoke approval of, or that safety, efficacy, manufacturing or supply issues could arise with, the therapy used in combination with our product candidate. If the therapies we use in combination with our product candidates are replaced as the standard of care, the FDA, EMA or comparable foreign regulatory authorities in other jurisdictions may require us to conduct additional clinical trials. The occurrence of any of these risks could result in our product candidates, if approved, being removed from the market or being less successful commercially.</w:t>
      </w:r>
    </w:p>
    <w:p>
      <w:pPr>
        <w:spacing w:after="0" w:line="175"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Where we develop a product candidate for use in combination with a therapy that has not been approved by the FDA, EMA or comparable foreign regulatory authorities in other jurisdictions, we will not be able to market our product candidate for use in combination with such an unapproved therapy, unless and until the unapproved therapy receives regulatory approval. In addition, other companies may also develop their products or product candidates in combination with the unapproved therapies with which we are developing our product candidates for use in combination. Any setbacks in these companies’ clinical trials, including the emergence of serious adverse effects, may delay or prevent the development and approval of our product candidates.</w:t>
      </w:r>
    </w:p>
    <w:p>
      <w:pPr>
        <w:spacing w:after="0" w:line="160"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8"/>
          <w:szCs w:val="18"/>
          <w:color w:val="auto"/>
        </w:rPr>
        <w:t>If the FDA, EMA or comparable foreign regulatory authorities in other jurisdictions do not approve or revoke their approval of, or if safety, efficacy, manufacturing, or supply issues arise with, therapies we choose to evaluate in combination with any of our product candidates, we may be unable to obtain regulatory approval of or to commercialize such product candidates in combination with these therapies.</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4" w:right="379" w:bottom="1440" w:gutter="0" w:footer="0" w:header="0"/>
        </w:sectPr>
      </w:pPr>
    </w:p>
    <w:bookmarkStart w:id="33" w:name="page34"/>
    <w:bookmarkEnd w:id="33"/>
    <w:p>
      <w:pPr>
        <w:ind w:right="1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If safe and effective use of any of our product candidates, such as mecbotamab vedotin and ozuriftamab vedotin, depends on a companion diagnostic test, then the FDA generally will require approval or clearance of that companion diagnostic before or at the same time that the FDA approves our product candidates, if at all. If we are unable to successfully develop companion diagnostic tests for our product candidates, experience significant delays in doing so, rely on third parties in the development of such companion diagnostic tests, or do not obtain or face delays in obtaining FDA approval of a companion diagnostic test, the full commercial potential of our product candidates and our ability to generate revenue will be materially impaired.</w:t>
      </w:r>
    </w:p>
    <w:p>
      <w:pPr>
        <w:spacing w:after="0" w:line="78"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If use of a companion diagnostic test is determined to be essential for the safe and effective use of any of our product candidates, such as mecbotamab vedotin and ozuriftamab vedotin, then the FDA generally will require approval or clearance of that companion diagnostic before or at the same time that the FDA approves our product candidates, if at all. The FDA has generally required in vitro companion diagnostics intended to select the patients who will respond to cancer treatment to obtain a PMA for that diagnostic simultaneously with approval of the therapeutic. The process of obtaining or creating such diagnostic and obtaining PMA approval is time-consuming and costly and a delay in diagnostic approval could delay drug approval. 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for that indication. If a satisfactory companion diagnostic is not commercially available, we may be required to create or obtain one that would be subject to regulatory approval requirements. For example, we have in the past explored predictive biomarkers, such as the Tumor Membrane Percent Score (“TmPS”), which measures AXL and ROR2 expression levels on the tumor membrane, to help inform which patients may be most suitable for treatment with mecbotamab vedotin and ozuriftamab vedotin. Currently, patients with negative or only 1% TmPS scores appear to have experienced clinical benefit in our ongoing clinical trials. However, if the AXL and/or ROR2 TmPS scores predict those most likely to experience clinical benefit, we may be required to pursue the further use of a companion diagnostic in our mecbotamab vedotin or ozuriftamab vedotin clinical trials, and the available market for mecbotamab vedotin or ozuriftamab vedotin, both in patient numbers and patient acceptance of the protocol, could be limited. In addition, we expect to rely on third parties for the design, development and manufacture of companion diagnostic tests for any of our product candidates that require such tests.</w:t>
      </w:r>
    </w:p>
    <w:p>
      <w:pPr>
        <w:spacing w:after="0" w:line="168"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On April 13, 2020, the FDA issued new guidance on developing and labeling companion diagnostics for a specific group of oncology therapeutic products, including recommendations to support a broader labeling claim rather than individual therapeutic products. We will continue to evaluate the impact of this guidance on our companion diagnostic development and strategy. This guidance and future policies from the FDA and other regulatory authorities may impact our development of a companion diagnostic for our product candidates and result in delays in regulatory approval. We may be required to conduct additional studies to support a broader claim. Also, to the extent other approved diagnostics are able to broaden their labeling claims to include our approved drug products, we may be forced to abandon our companion diagnostic development plans or we may not be able to compete effectively upon approval, which could adversely impact our ability to generate revenue from the sale of our approved products and adversely affect our business, financial condition, results of operations and prospects.</w:t>
      </w:r>
    </w:p>
    <w:p>
      <w:pPr>
        <w:spacing w:after="0" w:line="178"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If the FDA, EMA or a comparable foreign regulatory authority requires approval of a companion diagnostic for any of our product candidates, whether before or after it obtains marketing approval, we, and/or future collaborators, may encounter difficulties in developing and obtaining approval for such product candidate. If we or our third-party collaborators experience any delay in developing or obtaining regulatory approval of a companion diagnostic, we may be unable to enroll enough patients for our current and planned clinical trials, the development of our product candidates may be adversely affected or we may not obtain marketing approval, and we may not realize the full commercial potential of our product candidates, including mecbotamab vedotin and ozuriftamab vedotin.</w:t>
      </w:r>
    </w:p>
    <w:p>
      <w:pPr>
        <w:spacing w:after="0" w:line="291"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competition from entities that have developed or may develop product candidates for cancer, including companies developing novel treatments and technology platforms. If these companies develop technologies or product candidates more rapidly than we do or their technologies are more effective, our ability to develop and successfully commercialize product candidates may be adversely affected.</w:t>
      </w:r>
    </w:p>
    <w:p>
      <w:pPr>
        <w:spacing w:after="0" w:line="67"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The development and commercialization of drugs and therapeutic biologics is highly competitive. We compete with a variety of multinational biopharmaceutical companies and specialized biotechnology companies, as well as technology being developed at universities and other research institutions. Our competitors have developed, are developing and will develop product candidates and processes competitive with our product candidates. We believe that a significant number of products are currently under development, and may become commercially available in the future, for the treatment of conditions for which we are developing product candidates. We believe that while our patented CAB technology platform, its associated intellectual property and our scientific and technical know-how give us a competitive advantage in this space, competition from many sources remains. Our success will partially depend on our ability to develop and protect therapeutics that are safer and more effective than competing products. Our commercial opportunity and success will be reduced or eliminated if competing products are safer, more effective or less expensive than the therapeutics we develop.</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4" w:name="page35"/>
    <w:bookmarkEnd w:id="34"/>
    <w:p>
      <w:pPr>
        <w:ind w:firstLine="509"/>
        <w:spacing w:after="0" w:line="253" w:lineRule="auto"/>
        <w:rPr>
          <w:sz w:val="20"/>
          <w:szCs w:val="20"/>
          <w:color w:val="auto"/>
        </w:rPr>
      </w:pPr>
      <w:r>
        <w:rPr>
          <w:rFonts w:ascii="Times New Roman" w:cs="Times New Roman" w:eastAsia="Times New Roman" w:hAnsi="Times New Roman"/>
          <w:sz w:val="18"/>
          <w:szCs w:val="18"/>
          <w:color w:val="auto"/>
        </w:rPr>
        <w:t>Although we do not believe competing companies have selective CAB technology, there is a wide array of activity in several areas of immune-based cellular therapies for oncology including CAR-T and T-cell receptor therapies. Certain companies are also pursuing antibody therapies in immuno-oncology, ADCs and various prodrug biologic products designed to be preferentially activated at tumor sites. There are several FDA approved ADC products and several companies in various stages of clinical development of ADCs mostly directed at oncology indications, a key feature of our product candidates mecbotamab vedotin and ozuriftamab vedotin. There are also companies developing technologies designed to deliver biologics and chemotherapeutic agents with some targeting capabilities. In addition, if any of our product candidates are approved in oncology indications, they may compete with existing biologics and small molecule therapies, or may be used in combination with existing therapies. There are also many other therapies under development that are intended to treat the same cancers that we are targeting or may target with our CAB platform, including through approaches that could prove to be more effective, have fewer side effects, be cheaper to manufacture, be more convenient to administer or have other advantages over any products resulting from our technologies.</w:t>
      </w:r>
    </w:p>
    <w:p>
      <w:pPr>
        <w:spacing w:after="0" w:line="18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Many of our competitors, either alone or with strategic partners, have significantly greater financial, technical, manufacturing, marketing, sales and supply resources or experience than we do. Accordingly, our competitors may be more successful than us in obtaining approval for treatments and achieving widespread market acceptance, rendering our treatments obsolete or non-competitive. Accelerated merger and acquisition activity in the biotechnology and biopharmaceutical industries may result in even more resources being concentrated among a smaller number of our competitors. These companies also compete with us in recruiting and retaining qualified scientific and management personnel, establishing clinical trial sites and patient registration for clinical trials and acquiring technologies complementary to, or necessary for, our programs. Smaller or early-stage companies may also prove to be significant competitors, particularly through collaborative arrangements with large and established companies. The level of generic competition and the availability of reimbursement from government and other third-party payors will also significantly affect the pricing and competitiveness of our products. In addition,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67" w:lineRule="exact"/>
        <w:rPr>
          <w:sz w:val="20"/>
          <w:szCs w:val="20"/>
          <w:color w:val="auto"/>
        </w:rPr>
      </w:pPr>
    </w:p>
    <w:p>
      <w:pPr>
        <w:ind w:right="260" w:firstLine="509"/>
        <w:spacing w:after="0" w:line="256" w:lineRule="auto"/>
        <w:rPr>
          <w:sz w:val="20"/>
          <w:szCs w:val="20"/>
          <w:color w:val="auto"/>
        </w:rPr>
      </w:pPr>
      <w:r>
        <w:rPr>
          <w:rFonts w:ascii="Times New Roman" w:cs="Times New Roman" w:eastAsia="Times New Roman" w:hAnsi="Times New Roman"/>
          <w:sz w:val="18"/>
          <w:szCs w:val="18"/>
          <w:color w:val="auto"/>
        </w:rPr>
        <w:t>There are also requirements governing the reporting of ongoing clinical trials and completed clinical trial results to public registries. Sponsors of clinical trials of FDA-regulated products, including biologics, are required to register and disclose certain clinical trial information, which is publicly available at www.clinicaltrials.gov. Information related to the product, patient population, phase of investigation, study sites and investigators, and other aspects of the clinical trial is then made public as part of the registration. Sponsors are also obligated to discuss the results of their clinical trials after completion. Disclosure of the results of these trials can be delayed in certain circumstances for up to two years after the date of completion of the trial. Competitors may use this publicly available information to gain knowledge regarding the progress of development of our programs.</w:t>
      </w:r>
    </w:p>
    <w:p>
      <w:pPr>
        <w:spacing w:after="0" w:line="174"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Our commercial opportunity could be substantially limited in the event that our competitors develop and commercialize products that are more effective, safer, less toxic or more convenient than products we may develop. In geographies that are critical to our commercial success, competitors may also obtain regulatory approvals before us, resulting in our competitors building a strong market position in advance of our products’ entry. Such competitors could also recruit our employees, which could negatively impact our level of expertise and our ability to execute our business plan.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biologic product candidates for which we intend to seek approval may face competition through an abbreviated pathway.</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Biologics Price Competition and Innovation Act of 2009 (the “BPCIA”), enacted as part of the Affordable Care Act (the “ACA”), which created an abbreviated approval pathway for biological products that are biosimilar to or interchangeable with an FDA-licensed reference biological product. Under the BPCIA, an application for a biosimilar product referencing an exclusivity-protected product may not be submitted to the FDA until four years following the date that the reference product was first licensed by the FDA. In addition, the approval of a biosimilar product referencing an exclusivity-protected biological product may not be made effective by the FDA until 12 years from the date on which the reference product was first licensed. During this 12-year period of exclusivity, another company may still market a competing version of the reference product if the FDA approves a full Biologics License Application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an adverse effect on the future commercial prospects for our product candidates.</w:t>
      </w:r>
    </w:p>
    <w:p>
      <w:pPr>
        <w:spacing w:after="0" w:line="165" w:lineRule="exact"/>
        <w:rPr>
          <w:sz w:val="20"/>
          <w:szCs w:val="20"/>
          <w:color w:val="auto"/>
        </w:rPr>
      </w:pPr>
    </w:p>
    <w:p>
      <w:pPr>
        <w:ind w:right="60" w:firstLine="509"/>
        <w:spacing w:after="0" w:line="257" w:lineRule="auto"/>
        <w:rPr>
          <w:sz w:val="20"/>
          <w:szCs w:val="20"/>
          <w:color w:val="auto"/>
        </w:rPr>
      </w:pPr>
      <w:r>
        <w:rPr>
          <w:rFonts w:ascii="Times New Roman" w:cs="Times New Roman" w:eastAsia="Times New Roman" w:hAnsi="Times New Roman"/>
          <w:sz w:val="18"/>
          <w:szCs w:val="18"/>
          <w:color w:val="auto"/>
        </w:rPr>
        <w:t>There is a risk that any product candidates we may develop that are approved as a biological product under a BLA would not qualify for the 12-year period of exclusivity or that this exclusivity could be shortened due to congressional action or otherwise, potentially creating the opportunity for generic competition sooner than anticipated.</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35" w:name="page36"/>
    <w:bookmarkEnd w:id="35"/>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entails a significant risk of product liability, and if we are unable to obtain sufficient insurance coverage, such failure could have a material and adverse effect on our business, financial condition, results of operations and prospects.</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expect to be exposed to significant product liability risks inherent in the development, testing and manufacturing of our product candidates and products, if approved. Product liability claims could delay or prevent completion of our development programs. If we succeed in marketing products, such claims could result in an FDA investigation of the safety and effectiveness of our products, our third-party manufacturer’s manufacturing processes and facilities or our marketing programs and potentially a recall of our products or more serious enforcement action, including limitations on the approved indications for which our product candidates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product liability insurance that we believe is appropriate for our stage of development and may need to obtain higher levels prior to marketing any of our product candidates. Any insurance we have or may obtain may not provide sufficient coverage against potential liabilities. In addition, we may be subject to liability based on the actions of our existing or future collaborators in connection with their development of products using our CAB technology. Furthermore, clinical trial and product liability insurance is becoming increasingly expensive. As a result, we may be unable to maintain sufficient insurance at a reasonable cost to protect us against losses caused by product liability claims that could have a material and adverse effect on our business, financial condition, results of operations and prospects.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other legal compliance matters and taxation</w:t>
      </w:r>
    </w:p>
    <w:p>
      <w:pPr>
        <w:spacing w:after="0" w:line="117" w:lineRule="exact"/>
        <w:rPr>
          <w:sz w:val="20"/>
          <w:szCs w:val="20"/>
          <w:color w:val="auto"/>
        </w:rPr>
      </w:pPr>
    </w:p>
    <w:p>
      <w:pPr>
        <w:ind w:right="5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currently not in compliance with Nasdaq’s continued listing requirements. If we are unable to comply with Nasdaq’s continued listing requirements, our common stock could be delisted, which could affect the price of our common stock and liquidity and reduce our ability to raise capital.</w:t>
      </w:r>
    </w:p>
    <w:p>
      <w:pPr>
        <w:spacing w:after="0" w:line="67"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Our common stock is currently listed on The Nasdaq Global Market. The Nasdaq Global Market has established certain quantitative criteria and qualitative standards that companies must meet to remain listed for trading on this market.</w:t>
      </w:r>
    </w:p>
    <w:p>
      <w:pPr>
        <w:spacing w:after="0" w:line="13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February 6, 2025, the Company received written notice (the “Notice”) from the Listing Qualifications Department of The Nasdaq Stock Market LLC (“Nasdaq”) stating that the Company is not in compliance with Nasdaq Listing Rule 5550(a)(2) (the “Rule”) because the Company has not maintained a minimum closing bid price of the Company’s common stock of at least $1.00 per share for the last 30 consecutive business days. The Notice has no immediate effect on the listing or trading of the Company’s securities.</w:t>
      </w:r>
    </w:p>
    <w:p>
      <w:pPr>
        <w:spacing w:after="0" w:line="166"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Company has 180 calendar days from the date of the Notice, or until August 5, 2025, to regain compliance. If the Company is not deemed in compliance before the expiration of the 180 day compliance period, it will be afforded an additional 180 day compliance period, provided that the Company transfers to The Nasdaq Capital Market and it meets the applicable market value of publicly held shares requirement for continued listing and all other applicable standards for initial listing on The Nasdaq Capital Market (except for the Rule) based on the Company’s most recent public filings and market information and provides written notice to Nasdaq of its intention to cure this deficiency during the second compliance period.</w:t>
      </w:r>
    </w:p>
    <w:p>
      <w:pPr>
        <w:spacing w:after="0" w:line="156"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The Company intends to monitor the bid price of the Company’s listed securities and may, if appropriate, consider available options to regain compliance with the Rule. There can be no assurance that the Company will be able to regain compliance with the Rule.</w:t>
      </w:r>
    </w:p>
    <w:p>
      <w:pPr>
        <w:spacing w:after="0" w:line="14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Any delisting of our common stock could adversely affect the market liquidity of our common stock and the market price of our common stock could decrease. In addition, delisting of our common stock could result in the loss of confidence by investors and adversely affect our ability to raise capital on terms acceptable to us, or at all.</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obtain U.S. or foreign regulatory approval and, as a result, unable to commercialize our product candidates.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product candidates are subject to extensive governmental regulations relating to, among other things, the research, development, testing, manufacture, quality control, import, export, safety, effectiveness, labeling, packaging, storage, distribution, record keeping, approval, advertising, promotion, marketing, post-approval monitoring and post-approval reporting of drugs and therapeutic biologics. Rigorous preclinical testing and clinical trials and an extensive regulatory approval process are required to be successfully completed in the United States and in many foreign jurisdictions before a new drug or therapeutic biologic can be marketed. Satisfaction of these and other regulatory requirements is costly, lengthy, time-consuming, uncertain and subject to unanticipated delays. We have not previously submitted a BLA to the FDA, or similar drug approval filings to comparable foreign regulatory authorities, for any product candidate, and it is possible that none of the product candidates we may develop will obtain the regulatory approvals necessary for us or our existing or future collaborators to begin selling them.</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36" w:name="page37"/>
    <w:bookmarkEnd w:id="36"/>
    <w:p>
      <w:pPr>
        <w:ind w:firstLine="509"/>
        <w:spacing w:after="0" w:line="251" w:lineRule="auto"/>
        <w:rPr>
          <w:sz w:val="20"/>
          <w:szCs w:val="20"/>
          <w:color w:val="auto"/>
        </w:rPr>
      </w:pPr>
      <w:r>
        <w:rPr>
          <w:rFonts w:ascii="Times New Roman" w:cs="Times New Roman" w:eastAsia="Times New Roman" w:hAnsi="Times New Roman"/>
          <w:sz w:val="18"/>
          <w:szCs w:val="18"/>
          <w:color w:val="auto"/>
        </w:rPr>
        <w:t>We have not completed any large-scale or pivotal clinical trials nor managed the regulatory approval process with the FDA or any other regulatory authority. The time required to obtain FDA and other approvals is unpredictable but typically takes many years following the commencement of clinical trials, depending upon the type, complexity and novelty of the product candidate, and numerous other factors including the substantial discretion of regulatory authorities. The standards that the FDA and its foreign counterparts, including the EMA, use when regulating us and our existing or future collaborators require judgment and can change, which makes it difficult to predict with certainty how they will be applied. Any analysis we perform of data from preclinical and clinical activities is subject to confirmation and interpretation by regulatory authorities, which could delay, limit or prevent regulatory approval. We may also encounter unexpected delays or increased costs due to new government regulations, for example, from future legislation or administrative action, or from changes in FDA policy during the period of product development, clinical trials and FDA regulatory review. It is impossible to predict whether legislative changes will be enacted, or whether FDA or foreign regulations, guidance or interpretations will be changed, or what the impact of such changes, if any, may be. For example, the Oncology Center of Excellence within the FDA has advanced Project Optimus, which is an initiative to reform the dose optimization and dose selection paradigm in oncology drug development to emphasize selection of an optimal dose, which is a dose or doses that maximizes not only the efficacy of a drug but the safety and tolerability as well. This shift from the prior approach, which generally determined the maximum tolerated dose, may require sponsors to spend additional time and resources to further explore a product candidate’s dose-response relationship to facilitate optimum dose selection in a target population. Other Oncology Center of Excellence initiatives have included Project FrontRunner, an initiative with a goal of developing a framework for identifying candidate drugs for initial clinical development in the earlier advanced setting rather than for treatment of patients who have received numerous prior lines of therapies or have exhausted available treatment options, and Project Equity, which is an initiative to ensure that the data submitted to the FDA for approval of oncology medical products adequately reflects the demographic representation of patients for whom the medical products are intended. More recently, as part of the Food and Drug Omnibus Reform Act (FDORA), sponsors will be required to submit Diversity Action Plans (DAPs) for Phase 3 studies or other pivotal studies of new drugs. DAPs must include the sponsor’s goals for enrollment for such studies, disaggregated by age group, sex, and racial and ethnic demographic characteristics of clinically relevant study populations; the sponsor’s rationale for such goals; and an explanation of how the sponsor intends to meet such goals. Actions taken in the early days of the new presidential administration have created significant uncertainty as to whether Project Equity will continue and whether the statutory requirements related to DAPs will be implemented by FDA in the near future. We are considering these and other policy changes as they relate to our programs.</w:t>
      </w:r>
    </w:p>
    <w:p>
      <w:pPr>
        <w:spacing w:after="0" w:line="1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addition, our product candidates could fail to receive regulatory approval for many reasons including the following:</w:t>
      </w:r>
    </w:p>
    <w:p>
      <w:pPr>
        <w:spacing w:after="0" w:line="117" w:lineRule="exact"/>
        <w:rPr>
          <w:sz w:val="20"/>
          <w:szCs w:val="20"/>
          <w:color w:val="auto"/>
        </w:rPr>
      </w:pPr>
    </w:p>
    <w:p>
      <w:pPr>
        <w:ind w:left="1000" w:hanging="36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117" w:lineRule="exact"/>
        <w:rPr>
          <w:rFonts w:ascii="Times New Roman" w:cs="Times New Roman" w:eastAsia="Times New Roman" w:hAnsi="Times New Roman"/>
          <w:sz w:val="18"/>
          <w:szCs w:val="18"/>
          <w:color w:val="auto"/>
        </w:rPr>
      </w:pPr>
    </w:p>
    <w:p>
      <w:pPr>
        <w:ind w:left="1000" w:right="80" w:hanging="36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safe, pure and potent for its proposed indication;</w:t>
      </w:r>
    </w:p>
    <w:p>
      <w:pPr>
        <w:spacing w:after="0" w:line="53" w:lineRule="exact"/>
        <w:rPr>
          <w:rFonts w:ascii="Times New Roman" w:cs="Times New Roman" w:eastAsia="Times New Roman" w:hAnsi="Times New Roman"/>
          <w:sz w:val="18"/>
          <w:szCs w:val="18"/>
          <w:color w:val="auto"/>
        </w:rPr>
      </w:pPr>
    </w:p>
    <w:p>
      <w:pPr>
        <w:ind w:left="1000" w:right="420" w:hanging="36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fail to achieve the level of statistical significance required by the FDA or comparable foreign regulatory authorities for approval;</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the dose for the product candidate has been optimized;</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a sufficient response rate or duration of response for a product candidate;</w:t>
      </w:r>
    </w:p>
    <w:p>
      <w:pPr>
        <w:spacing w:after="0" w:line="117" w:lineRule="exact"/>
        <w:rPr>
          <w:rFonts w:ascii="Times New Roman" w:cs="Times New Roman" w:eastAsia="Times New Roman" w:hAnsi="Times New Roman"/>
          <w:sz w:val="18"/>
          <w:szCs w:val="18"/>
          <w:color w:val="auto"/>
        </w:rPr>
      </w:pPr>
    </w:p>
    <w:p>
      <w:pPr>
        <w:ind w:left="1000" w:right="660" w:hanging="36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submitted in support of regulatory approval;</w:t>
      </w:r>
    </w:p>
    <w:p>
      <w:pPr>
        <w:spacing w:after="0" w:line="53" w:lineRule="exact"/>
        <w:rPr>
          <w:rFonts w:ascii="Times New Roman" w:cs="Times New Roman" w:eastAsia="Times New Roman" w:hAnsi="Times New Roman"/>
          <w:sz w:val="18"/>
          <w:szCs w:val="18"/>
          <w:color w:val="auto"/>
        </w:rPr>
      </w:pPr>
    </w:p>
    <w:p>
      <w:pPr>
        <w:ind w:left="1000" w:right="280" w:hanging="36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preclinical studies and clinical trials of our product candidates may not be sufficient to support the submission of a BLA or other regulatory submission necessary to obtain regulatory approval in the United States or elsewhere; and</w:t>
      </w:r>
    </w:p>
    <w:p>
      <w:pPr>
        <w:spacing w:after="0" w:line="53" w:lineRule="exact"/>
        <w:rPr>
          <w:rFonts w:ascii="Times New Roman" w:cs="Times New Roman" w:eastAsia="Times New Roman" w:hAnsi="Times New Roman"/>
          <w:sz w:val="18"/>
          <w:szCs w:val="18"/>
          <w:color w:val="auto"/>
        </w:rPr>
      </w:pPr>
    </w:p>
    <w:p>
      <w:pPr>
        <w:ind w:left="1000" w:right="420" w:hanging="368"/>
        <w:spacing w:after="0" w:line="266"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contractors may not meet the current Good Manufacturing Practices (“cGMPs”) and other applicable requirements for manufacturing processes, procedures, documentation and facilities necessary for approval by the FDA or comparable foreign regulatory authorities.</w:t>
      </w:r>
    </w:p>
    <w:p>
      <w:pPr>
        <w:spacing w:after="0" w:line="14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Any delay or failure in obtaining required approvals could have a material and adverse effect on our ability to generate revenues from the particular product candidate for which we are seeking approval. Furthermore, any regulatory approval to market a drug may be subject to significant limitations on the approved uses or indications for which we may market the drug or the labeling or other restrictions. In addition, the FDA has the authority to require a REMS as part of approving a BLA,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37" w:name="page38"/>
    <w:bookmarkEnd w:id="37"/>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are also subject to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FDA approval described above as well as risks attributable to the satisfaction of local regulations in foreign jurisdictions. Moreover, the time required to obtain approval may differ from that required to obtain FDA approval. Approval by the FDA does not ensure approval by regulatory authorities outside the United States and vice versa.</w:t>
      </w:r>
    </w:p>
    <w:p>
      <w:pPr>
        <w:spacing w:after="0" w:line="287"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intend to seek approval from the FDA or comparable foreign regulatory authorities through the use of accelerated approval pathways, if available. If we are unable to obtain such approval, we may be required to conduct additional preclinical studies or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p>
    <w:p>
      <w:pPr>
        <w:spacing w:after="0" w:line="75"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We intend to seek accelerated approval for one or more of our product candidates. Under the accelerated approval program, the FDA may grant accelerated approval to a product candidate designed to treat a serious or life-threatening condition that provides meaningful advantage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We intend to seek accelerated approval for some of our product candidates on the basis of objective response rate, a surrogate endpoint that we believe is reasonably likely to predict clinical benefit. For products granted accelerated approval, sponsors are required to verify and describe the product’s clinical benefit generally in the form of confirmatory trials. These confirmatory trials must be completed with due diligence, and the FDA may require that the trial be designed, initiated, and/or fully enrolled prior to approval. If we were to pursue accelerated approval for a product candidate for a disease or condition, we would likely do so on the basis that there is no available therapy for that disease or condition. If any of our competitors were to receive full approval on the basis of a confirmatory trial for a drug for a disease or condition for which we are seeking accelerated approval before we receive accelerated approval, the disease or condition would no longer qualify as one for which there is no available therapy, and accelerated approval of our product candidate would not occur, unless we were able to demonstrate a meaningful advantage over the approved product. Many cancer therapies rely on accelerated approval, and the treatment landscape can change quickly as the FDA converts accelerated approvals to full approvals on the basis of successful confirmatory trials. Failure to conduct required post-approval studies, or to confirm a clinical benefit during post-marketing studies, would allow the FDA to withdraw the product from the market on an expedited basis. All promotional materials for product candidates approved under accelerated regulations are subject to prior review by the FDA.</w:t>
      </w:r>
    </w:p>
    <w:p>
      <w:pPr>
        <w:spacing w:after="0" w:line="174"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Prior to seeking accelerated approval for any of our product candidates, we intend to seek feedback from the FDA and will otherwise evaluate our ability to seek and receive accelerated approval. We cannot assure you that after our evaluation of the feedback and other factors we will decide to pursue or submit a BLA for accelerated approval or any other form of expedited development, review or approval. Similarly, we cannot assure you that after subsequent FDA feedback we will continue to pursue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our product candidates, we cannot assure you that such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w:t>
      </w:r>
    </w:p>
    <w:p>
      <w:pPr>
        <w:spacing w:after="0" w:line="16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Recently, the accelerated approval pathway has come under scrutiny within the FDA and by Congress. The FDA has put increased focus on ensuring that confirmatory studies are conducted with diligence and, ultimately, that such studies confirm the benefit. For example, the FDA has convened its Oncologic Drugs Advisory Committee to review what the FDA has called dangling or delinquent accelerated approvals where confirmatory studies have not been completed or where results did not confirm benefit.</w:t>
      </w:r>
    </w:p>
    <w:p>
      <w:pPr>
        <w:spacing w:after="0" w:line="166"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The enactment of FDORA included provisions related to the accelerated approval pathway. Pursuant to FDORA, the FDA is authorized to require a post-approval study to be underway prior to approval or within a specified time period following approval. FDORA also requires the FDA to specify conditions of any required post-approval study and requires sponsors to submit progress reports for required post-approval studies and any conditions required by the FDA. FDORA enables the FDA to initiate enforcement action for the failure to conduct with due diligence a required post-approval study, including a failure to meet any required conditions specified by the FDA or to submit timely reports. In addition, the Oncology Center of Excellence has announced Project Confirm, which is an initiative to promote the transparency of outcomes related to accelerated approvals for oncology indications and provide a</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38" w:name="page39"/>
    <w:bookmarkEnd w:id="38"/>
    <w:p>
      <w:pPr>
        <w:ind w:right="440"/>
        <w:spacing w:after="0" w:line="282" w:lineRule="auto"/>
        <w:rPr>
          <w:sz w:val="20"/>
          <w:szCs w:val="20"/>
          <w:color w:val="auto"/>
        </w:rPr>
      </w:pPr>
      <w:r>
        <w:rPr>
          <w:rFonts w:ascii="Times New Roman" w:cs="Times New Roman" w:eastAsia="Times New Roman" w:hAnsi="Times New Roman"/>
          <w:sz w:val="18"/>
          <w:szCs w:val="18"/>
          <w:color w:val="auto"/>
        </w:rPr>
        <w:t>framework to foster discussion, research and innovation in approval and post-marketing processes, with the goal to enhance the balance of access and verification of benefit for therapies available to patients with cancer and hematologic malignancies.</w:t>
      </w:r>
    </w:p>
    <w:p>
      <w:pPr>
        <w:spacing w:after="0" w:line="266"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Fast Track designation granted for ozuriftamab vedotin in recurrent or metastatic squamous cell carcinoma of the head and neck (SCCHN) and potential future Fast Track designation for any of our other product candidates by the FDA may not lead to a faster development or regulatory review or approval process and does not increase the likelihood that our product candidates will receive regulatory approval.</w:t>
      </w:r>
    </w:p>
    <w:p>
      <w:pPr>
        <w:spacing w:after="0" w:line="6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July 2024, the FDA granted Fast Track designation for ozuriftamab vedotin in recurrent or metastatic SCCHN, and we may seek Fast Track designation in the future for other product candidates. If a drug is intended for the treatment of a serious or life-threatening disease and the drug demonstrates the potential to address unmet medical needs for this disease, the drug may qualify for Fast Track designation. The FDA has broad discretion whether or not to grant this designation. Even if we believe a particular product candidate is eligible for this designation, we cannot assure you that the FDA would decide to grant it. Even if product candidates do receive Fast Track designation, as ozuriftamab vedotin has in recurrent or metastatic SCCHN, we may not experience a faster development process, review or approval compared to conventional FDA procedures. The FDA may withdraw Fast Track designation if it believes that the designation is no longer supported by data from its clinical development programs. Many drugs that have received Fast Track designation have failed to obtain approval, and there can be no assurance that such Fast Track designation would lead to a faster development or regulatory review or approval process, or to regulatory approval.</w:t>
      </w:r>
    </w:p>
    <w:p>
      <w:pPr>
        <w:spacing w:after="0" w:line="29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72"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Any regulatory approvals that we or our existing or future collaborators obtain for our product candidates may also be subject to limitations on the approved indicated uses for which a product may be marketed or to conditions of approval, or contain requirements for potentially costly post-marketing testing, including “Phase 4” clinical trials, and surveillance to monitor the safety and efficacy of the product candidate. Furthermore, any regulatory approval to market a product may be subject to limitations on the labeling of the product or may require safety warnings or other restrictions. In addition, the FDA has the authority to require a REMS plan as part of a BLA or after approval, which may impose further requirements or restrictions on the distribution or use of an approved biologic, such as limiting prescribing to certain physicians or medical centers that have undergone specialized training, limiting treatment to patients who meet certain safe-use criteria and requiring treated patients to enroll in a registry. These limitations and restrictions may limit the size of the market for the product and affect reimbursement by third-party payors.</w:t>
      </w:r>
    </w:p>
    <w:p>
      <w:pPr>
        <w:spacing w:after="0" w:line="178"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addition, if the FDA or a comparable foreign regulatory authority approves any of our product candidates, the manufacturing processes, labeling, packaging, distribution, adverse event reporting, storage, import, export, advertising, promotion and recordkeeping for the product will be subject to extensive and ongoing regulatory requirements. These requirements include submissions of safety and other post-marketing information and reports, registration, as well as continued compliance with cGMPs and GCPs for any clinical trials that we conduct post-approval. The manufacturer and manufacturing facilities we use to make a future product, if any, will also be subject to periodic review and inspection by the FDA and other regulatory agencies, including for continued compliance with cGMP requirements. Any product promotion and advertising will also be subject to regulatory requirements and continuing regulatory review.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80" w:lineRule="exact"/>
        <w:rPr>
          <w:sz w:val="20"/>
          <w:szCs w:val="20"/>
          <w:color w:val="auto"/>
        </w:rPr>
      </w:pPr>
    </w:p>
    <w:p>
      <w:pPr>
        <w:ind w:left="1000" w:hanging="36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 from the market or voluntary or mandatory product recalls;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or untitled letters or holds on clinical trials;</w:t>
      </w:r>
    </w:p>
    <w:p>
      <w:pPr>
        <w:spacing w:after="0" w:line="117" w:lineRule="exact"/>
        <w:rPr>
          <w:rFonts w:ascii="Times New Roman" w:cs="Times New Roman" w:eastAsia="Times New Roman" w:hAnsi="Times New Roman"/>
          <w:sz w:val="18"/>
          <w:szCs w:val="18"/>
          <w:color w:val="auto"/>
        </w:rPr>
      </w:pPr>
    </w:p>
    <w:p>
      <w:pPr>
        <w:ind w:left="1000" w:right="580" w:hanging="36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of approval or refusal by the FDA or comparable regulatory authorities in other jurisdictions to approve pending applications or supplements to approved applications filed by us, our current collaborator or any future strategic partners;</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revocation of product license approvals;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and</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98"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The FDA’s policies may change and additional government regulations may be enacted that could prevent, limit or delay regulatory approval of our product candidates. We also cannot predict the likelihood, nature or extent of government regulation that may arise from future legislation or administrative action, either in the United States or abroad. If these regulations impose constraints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39" w:name="page40"/>
    <w:bookmarkEnd w:id="39"/>
    <w:p>
      <w:pPr>
        <w:ind w:right="20"/>
        <w:spacing w:after="0" w:line="261" w:lineRule="auto"/>
        <w:rPr>
          <w:sz w:val="20"/>
          <w:szCs w:val="20"/>
          <w:color w:val="auto"/>
        </w:rPr>
      </w:pPr>
      <w:r>
        <w:rPr>
          <w:rFonts w:ascii="Times New Roman" w:cs="Times New Roman" w:eastAsia="Times New Roman" w:hAnsi="Times New Roman"/>
          <w:sz w:val="18"/>
          <w:szCs w:val="18"/>
          <w:color w:val="auto"/>
        </w:rPr>
        <w:t>on the FDA’s ability to engage in oversight and implementation activities in the normal course, our business may be negatively impacted.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financial condition, results of operations and prospects.</w:t>
      </w:r>
    </w:p>
    <w:p>
      <w:pPr>
        <w:spacing w:after="0" w:line="284"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product candidate, such product candidate may become subject to unfavorable pricing regulations or third-party coverage and reimbursement policies, which would harm our business.</w:t>
      </w:r>
    </w:p>
    <w:p>
      <w:pPr>
        <w:spacing w:after="0" w:line="5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regulations that govern regulatory approvals, pricing and reimbursement for new drugs and therapeutic biologics vary widely from country to country. Some countries require approval of the sale price of a drug or therapeutic biologic before it can be marketed. In many countries, the pricing review period begins after marketing approval is granted. In some foreign markets, prescription biopharmaceutical pricing remains subject to continuing governmental control even after initial approval is granted. As a result, we might obtain regulatory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regulatory approval.</w:t>
      </w:r>
    </w:p>
    <w:p>
      <w:pPr>
        <w:spacing w:after="0" w:line="175"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Our ability to commercialize any products successfully also will depend in part on the extent to which reimbursement for these products and related treatments will be available from government authorities, private health insurers and other organizations. Even if we succeed in bringing one or more products to the market, these products may not be considered cost-effective, and the amount reimbursed for any products may be insufficient to allow us to sell our products on a competitive basis. At our programs’ current stages of development, we are unable at this time to determine their cost effectiveness or the likely level or method of reimbursement. Increasingly, the third-party payors who reimburse patients or healthcare providers, such as government and private insurance plans, are requiring that drug companies provide them with predetermined discounts from list prices and are seeking to reduce the prices charged or the amounts reimbursed for biopharmaceutical products. If the price we are able to charge for any products we develop, or the reimbursement provided for such products, is inadequate in light of our development and other costs, our return on investment could be adversely affected.</w:t>
      </w:r>
    </w:p>
    <w:p>
      <w:pPr>
        <w:spacing w:after="0" w:line="165"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There is significant uncertainty related to third-party payor coverage and reimbursement of newly approved products. For example, in the United States, principal decisions about reimbursement for new products are typically made by the Centers for Medicare &amp; Medicaid Services (“CMS”) an agency within the U.S. Department of Health and Human Services (“HHS”).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spacing w:after="0" w:line="178"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6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some countries, particularly member states of the European Union (EU), the pricing of prescription drugs is subject to governmental control.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 member states and parallel distribution, or arbitrage between low-priced and high-priced member states, can further reduce prices. In some countries, we or our existing or future collaborators may be required to conduct a clinical trial or other studies that compare the cost-effectiveness of our product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w:t>
      </w:r>
    </w:p>
    <w:p>
      <w:pPr>
        <w:spacing w:after="0" w:line="16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There may be significant delays in obtaining reimbursement for newly approved drugs or therapeutic biologics, and coverage may be more limited than the purposes for which the drug or therapeutic biologic is approved by the FDA or similar regulatory</w:t>
      </w: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40" w:name="page41"/>
    <w:bookmarkEnd w:id="40"/>
    <w:p>
      <w:pPr>
        <w:spacing w:after="0" w:line="253" w:lineRule="auto"/>
        <w:rPr>
          <w:sz w:val="20"/>
          <w:szCs w:val="20"/>
          <w:color w:val="auto"/>
        </w:rPr>
      </w:pPr>
      <w:r>
        <w:rPr>
          <w:rFonts w:ascii="Times New Roman" w:cs="Times New Roman" w:eastAsia="Times New Roman" w:hAnsi="Times New Roman"/>
          <w:sz w:val="18"/>
          <w:szCs w:val="18"/>
          <w:color w:val="auto"/>
        </w:rPr>
        <w:t>authorities outside of the United States. Moreover, eligibility for reimbursement does not imply that any drug or therapeutic biologic will be reimbursed in all cases or at a rate that covers our costs, including research, development, manufacture, sale and distribution. Interim reimbursement levels for new drugs or therapeutic biologics, if applicable, may also be insufficient to cover our costs and may not be made permanent. Reimbursement rates may be based on payments allowed for lower-cost drugs or therapeutic biologics that are already reimbursed, may be incorporated into existing payments for other services and may reflect budgetary constraints or imperfections in Medicare data. Net prices for drugs or therapeutic biologics may be reduced by mandatory discounts or rebates required by government healthcare programs or private payors and by any future relaxation of laws that presently restrict imports of drugs or therapeutic biologics from countries where they may be sold at lower prices than in the United States. Third-party payors often rely upon Medicare coverage policy and payment limitations in setting their own reimbursement rates. If reimbursement of any product candidate approved for marketing is unavailable or limited in scope or amount, or if pricing is set at unsatisfactory levels, our business, financial condition, results of operations or prospects could be materially and adversely affected, and our ability to commercialize such products, once approved, could be materially impaired.</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FDA and other regulatory agencies actively enforce the laws and regulations prohibiting the promotion of off-label uses.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such as our product candidates, if approved. In particular, a product may not be promoted for uses that are not approved by the FDA or such other regulatory agencies as reflected in the product’s approved labeling. For example, if we receive marketing approval for mecbotamab vedotin as a treatment for mKRAS NSCLC, and we are found to have promoted off-label uses, we may become subject to significant liability. Physicians may nevertheless use our product for their patients in a manner that is inconsistent with the approved labeling. Moreover, although we believe that our product candidates may be safer or more effective than other therapies, unless we conduct head-to-head comparative studies, we will not be able to make any claims of superiority.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financial condition, results of operations and prospects.</w:t>
      </w:r>
    </w:p>
    <w:p>
      <w:pPr>
        <w:spacing w:after="0" w:line="294"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the SEC and other government agencies caused by, among other factors,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p>
    <w:p>
      <w:pPr>
        <w:spacing w:after="0" w:line="7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statutory, regulatory and policy changes and other events that may otherwise affect the FDA’s ability to perform routine functions. In addition, government funding of the Securities and Exchange Commission (“SEC”) and other government agencies on which our operations may rely, including those that fund research and development activities, is subject to the political process, which is inherently fluid and unpredictable.</w:t>
      </w:r>
    </w:p>
    <w:p>
      <w:pPr>
        <w:spacing w:after="0" w:line="17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drugs to be reviewed or approved by necessary government agencies, which would adversely affect our business. Furthermore, the application of newly developed artificial intelligence (“AI”) and other technologies may have the impact of reducing the development time to bring new products to market, which may materially increase the volume of applications for product approval to the FDA compared to historical application levels. If this increased application volume materializes and funding for additional staff and resources are not allocated to the FDA, the FDA may not be able to continue its current pace of application reviews and review timelines could be extended. Regulatory authorities outside the U.S. facing similar increases in application volume may also experience delays in their regulatory activities.</w:t>
      </w:r>
    </w:p>
    <w:p>
      <w:pPr>
        <w:spacing w:after="0" w:line="160"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If a prolonged government shutdown occurs, if global health concerns prevent the FDA or other regulatory authorities from conducting their regular inspections, reviews, or other regulatory activities, or if the volume of applications to the FDA for new product candidates increases materially, it could significantly impact the ability of the FDA to timely review and process our regulatory submissions, which could have a material adverse effect on our business. Further, future government shutdowns or delays could impact our ability to access the public markets and obtain necessary capital in order to properly capitalize and continue our operations.</w:t>
      </w:r>
    </w:p>
    <w:p>
      <w:pPr>
        <w:spacing w:after="0" w:line="287" w:lineRule="exact"/>
        <w:rPr>
          <w:sz w:val="20"/>
          <w:szCs w:val="20"/>
          <w:color w:val="auto"/>
        </w:rPr>
      </w:pPr>
    </w:p>
    <w:p>
      <w:pPr>
        <w:ind w:right="52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There is substantial uncertainty regarding the new Administration’s initiatives and how these might impact the FDA, its implementation of laws, regulations, policies and guidance and its personnel. Similar initiatives may also be directed toward other</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41" w:name="page42"/>
    <w:bookmarkEnd w:id="41"/>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 agencies. These initiatives could prevent, limit or delay development and regulatory approval of our product candidates, which would impact our business.</w:t>
      </w:r>
    </w:p>
    <w:p>
      <w:pPr>
        <w:spacing w:after="0" w:line="3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FDA-regulated industries, such as ours, face substantial uncertainty in regard to the regulatory environment we will face as we proceed with research and development, and possibly in the future commercialization, efforts following the inauguration of President Trump in January 2025. Some of these efforts have manifested to date as efforts to reduce the size of the federal government, including large-scale reductions in force at FDA. The loss of key personnel at the FDA, including those in leadership positions, is likely to impact operations at the FDA, which could result in, among other things, delays or limitations on our ability to obtain guidance from the FDA on our product candidates in development, longer review times, and delays in obtaining regulatory approvals for our product candidates. Moreover, the new Administration has proposed action to freeze or reduce the budget of the National Institutes of Health (“NIH”) as related to its funding for medical research, which could decrease the ability of facilities that rely on NIH funding to enroll and conduct clinical trials. There remains general uncertainty regarding future activities. The new Administration could issue or promulgate executive orders, regulations, policies or guidance that adversely affects us or create a more challenging or costly environment to pursue the development of new therapeutic products. Alternatively, state governments may attempt to address or react to changes at the federal level with changes to their own regulatory frameworks in a manner that is adverse to our operations. If we or our collaborators become negatively impacted by future governmental orders, regulations, policies or guidance as a result of the new Administration, there could be a material adverse effect on us and our business.</w:t>
      </w:r>
    </w:p>
    <w:p>
      <w:pPr>
        <w:spacing w:after="0" w:line="294" w:lineRule="exact"/>
        <w:rPr>
          <w:sz w:val="20"/>
          <w:szCs w:val="20"/>
          <w:color w:val="auto"/>
        </w:rPr>
      </w:pPr>
    </w:p>
    <w:p>
      <w:pPr>
        <w:ind w:right="8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EMA and other comparable foreign regulatory authorities may not accept data from trials conducted in locations outside of their jurisdiction.</w:t>
      </w:r>
    </w:p>
    <w:p>
      <w:pPr>
        <w:spacing w:after="0" w:line="5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We may choose to conduct international clinical trials in the future. The acceptance of study data by the FDA, EMA or other comparable foreign regulatory authority from clinical trials conducted outside of their respective jurisdictions may be subject to certain conditions. In cases where data from foreign clinical trials are intended to serve as the basis for marketing approval in the United States, the FDA will generally not approve the application on the basis of foreign data alone unless (i) the data are applicable to the United States population and United States medical practice; (ii) the trials are performed by clinical investigators of recognized competence and pursuant to current GCP requirements; and (iii) the FDA is able to validate the data through an on-site inspection or other appropriate means. Additionally, the FDA’s clinical trial requirements, including the adequacy of the patient population studied and statistical powering, must be met. In addition, such foreign trials would be subject to the applicable local laws of the foreign jurisdictions where the trials are conducted. We cannot assure you that the FDA, EMA or any applicable foreign regulatory authority will accept data from trials conducted outside of its applicable jurisdiction. If the FDA, EMA or any applicable foreign regulatory authority does not accept such data, it would result in the need for additional trials, which would be costly and time-consuming and delay aspects of our business plan, and which may result in our product candidates not receiving approval for commercialization in the applicable jurisdiction.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reform measures may have a material adverse effect on our business and results of operations.</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70" w:lineRule="exact"/>
        <w:rPr>
          <w:sz w:val="20"/>
          <w:szCs w:val="20"/>
          <w:color w:val="auto"/>
        </w:rPr>
      </w:pPr>
    </w:p>
    <w:p>
      <w:pPr>
        <w:ind w:right="380" w:firstLine="509"/>
        <w:spacing w:after="0" w:line="258" w:lineRule="auto"/>
        <w:rPr>
          <w:sz w:val="20"/>
          <w:szCs w:val="20"/>
          <w:color w:val="auto"/>
        </w:rPr>
      </w:pPr>
      <w:r>
        <w:rPr>
          <w:rFonts w:ascii="Times New Roman" w:cs="Times New Roman" w:eastAsia="Times New Roman" w:hAnsi="Times New Roman"/>
          <w:sz w:val="18"/>
          <w:szCs w:val="18"/>
          <w:color w:val="auto"/>
        </w:rPr>
        <w:t>Legislative and regulatory proposals have been made to expand post-approval requirements and restrict sales and promotional activities for pharmaceutical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56"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In addition, in the United States, there have been and continue to be several legislative initiatives to contain healthcare costs. Previously, in March 2010, the ACA was enacted, which was intended to broaden access to health insurance, reduce or constrain the growth of healthcare spending, enhance remedies against fraud and abuse, add new transparency requirements for healthcare and health insurance industries, impose new taxes and fees on the health industry and impose additional health policy reforms.</w:t>
      </w:r>
    </w:p>
    <w:p>
      <w:pPr>
        <w:spacing w:after="0" w:line="153"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Healthcare reform initiatives culminated in the enactment of the IRA in August 2022, which, among other things, allows HHS to directly negotiate the selling price of a statutorily specified number of drugs and biologics each year that CMS reimburses under Medicare Part B and Part D. The negotiated price may not exceed a statutory ceiling price. Only high-expenditure single-source biologics that have been approved for at least 11 years (7 years for drugs) are eligible to be selected by CMS for negotiation, with the negotiated price taking effect two years after the selection year. For 2026, the first year in which negotiated prices become effective, CMS selected 10 high-cost Medicare Part D products in 2023, negotiations began in 2024, and the negotiated maximum fair price for</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42" w:name="page43"/>
    <w:bookmarkEnd w:id="42"/>
    <w:p>
      <w:pPr>
        <w:spacing w:after="0" w:line="252" w:lineRule="auto"/>
        <w:rPr>
          <w:sz w:val="20"/>
          <w:szCs w:val="20"/>
          <w:color w:val="auto"/>
        </w:rPr>
      </w:pPr>
      <w:r>
        <w:rPr>
          <w:rFonts w:ascii="Times New Roman" w:cs="Times New Roman" w:eastAsia="Times New Roman" w:hAnsi="Times New Roman"/>
          <w:sz w:val="18"/>
          <w:szCs w:val="18"/>
          <w:color w:val="auto"/>
        </w:rPr>
        <w:t>each product has been announced. These negotiations resulted in significant price reductions for the products from their 2023 list prices, ranging from 38 to 79 percent, with an average price reduction of 59.4 percent. CMS has selected 15 additional Medicare Part D drugs for negotiated maximum fair pricing in 2027. For 2028, an additional 15 drugs, which may be covered under either Medicare Part B or Part D, will be selected, and for 2029 and subsequent years, 20 Part B or Part D drugs will be selected. A drug or biological product that has an orphan drug designation for only one rare disease or condition are excluded from the IRA’s price negotiation requirements, but will lose that exclusion if it receives designations for more than one rare disease or condition, or if it is approved for an indication that is not within that single designated rare disease or condition, unless such additional designation or such disqualifying approvals are withdrawn by the time CMS evaluates the drug for selection for negotiation. The negotiated prices have represented, and will continue to represent, a significant discount from average prices to wholesalers and direct purchasers. The law also imposes rebates on Medicare Part D and Part B drugs whose prices have increased at a rate greater than the rate of inflation. The IRA also extends enhanced subsidies for individuals purchasing health insurance coverage in ACA marketplaces through plan year 2025. Manufacturers that fail to comply with the IRA may be subject to various penalties, including civil monetary penalties. The IRA permits the Secretary of HHS to implement many of these provisions through guidance, as opposed to regulation, for the initial years. These provisions may be subject to legal challenges. For example, the provisions related to the negotiation of selling prices of high-expenditure single-source drugs and biologics have been challenged in several lawsuits. Thus, while it is unclear how certain provisions of the IRA will be implemented, the IRA will likely have a significant impact on the pharmaceutical industry. It is unclear to what extent other statutory, regulatory, and administrative initiatives will be enacted and implemented, and to what extent these or any future legislation or regulations by the current administration or subsequent administrations will have on our business, including market acceptance, and sales, of our products and product candidates.</w:t>
      </w:r>
    </w:p>
    <w:p>
      <w:pPr>
        <w:spacing w:after="0" w:line="18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Further, on May 30, 2018, the Trickett Wendler, Frank Mongiello, Jordan McLinn, and Matthew Beilina Right to Try Act of 2017, or the Right to Try Act, was signed into law. The law, among other things, provides a federal framework for certain patients to access certain investigational new product candidates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products available to eligible patients as a result of the Right to Try Act.</w:t>
      </w:r>
    </w:p>
    <w:p>
      <w:pPr>
        <w:spacing w:after="0" w:line="15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the FDA released a final rule in September 2020 providing guidance for states to build and submit plans for importing drugs from Canada, and the FDA authorized the first such plan in Florida in January 2024, which has been extended until July 2025. It is unclear how this program will be implemented, including which drugs will be chosen, and whether it will be subject to legal challenges in the United States or Canada. Other states have also submitted proposals that are pending review by the FDA.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drug products that we successfully commercialize or put pressure on our product pricing.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w:t>
      </w:r>
    </w:p>
    <w:p>
      <w:pPr>
        <w:spacing w:after="0" w:line="176"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current product candidates and any future product candidates or additional pricing pressures.</w:t>
      </w:r>
    </w:p>
    <w:p>
      <w:pPr>
        <w:spacing w:after="0" w:line="280"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professionals, clinical investigators, CROs and third-party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significant losses, including, among other things, criminal sanctions, civil penalties, contractual damages, exclusion from governmental healthcare programs, reputational harm, administrative burdens and diminished profits and future earnings.</w:t>
      </w:r>
    </w:p>
    <w:p>
      <w:pPr>
        <w:spacing w:after="0" w:line="75"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Healthcare providers, physicians and third-party payors will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product candidates for which we obtain marketing approval. Restrictions under applicable federal and state healthcare laws and regulations, include the following:</w:t>
      </w:r>
    </w:p>
    <w:p>
      <w:pPr>
        <w:spacing w:after="0" w:line="75" w:lineRule="exact"/>
        <w:rPr>
          <w:sz w:val="20"/>
          <w:szCs w:val="20"/>
          <w:color w:val="auto"/>
        </w:rPr>
      </w:pPr>
    </w:p>
    <w:p>
      <w:pPr>
        <w:ind w:left="1000" w:right="300" w:hanging="368"/>
        <w:spacing w:after="0" w:line="261"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Anti-Kickback Statute, which prohibits, among other things, persons and entities from knowingly and willfully soliciting, offering, receiving or providing remuneration, directly or indirectly, in cash or in kind to induce or</w:t>
      </w: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43" w:name="page44"/>
    <w:bookmarkEnd w:id="43"/>
    <w:p>
      <w:pPr>
        <w:ind w:left="1000" w:right="40"/>
        <w:spacing w:after="0" w:line="266" w:lineRule="auto"/>
        <w:rPr>
          <w:sz w:val="20"/>
          <w:szCs w:val="20"/>
          <w:color w:val="auto"/>
        </w:rPr>
      </w:pPr>
      <w:r>
        <w:rPr>
          <w:rFonts w:ascii="Times New Roman" w:cs="Times New Roman" w:eastAsia="Times New Roman" w:hAnsi="Times New Roman"/>
          <w:sz w:val="18"/>
          <w:szCs w:val="18"/>
          <w:color w:val="auto"/>
        </w:rPr>
        <w:t>reward, or in return for,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68" w:lineRule="exact"/>
        <w:rPr>
          <w:sz w:val="20"/>
          <w:szCs w:val="20"/>
          <w:color w:val="auto"/>
        </w:rPr>
      </w:pPr>
    </w:p>
    <w:p>
      <w:pPr>
        <w:ind w:left="1000" w:hanging="368"/>
        <w:spacing w:after="0" w:line="258"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false claims and civil monetary penalties laws, including the U.S. federal False Claims Act, which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False Claims Act;</w:t>
      </w:r>
    </w:p>
    <w:p>
      <w:pPr>
        <w:spacing w:after="0" w:line="75" w:lineRule="exact"/>
        <w:rPr>
          <w:rFonts w:ascii="Times New Roman" w:cs="Times New Roman" w:eastAsia="Times New Roman" w:hAnsi="Times New Roman"/>
          <w:sz w:val="18"/>
          <w:szCs w:val="18"/>
          <w:color w:val="auto"/>
        </w:rPr>
      </w:pPr>
    </w:p>
    <w:p>
      <w:pPr>
        <w:ind w:left="1000" w:right="40" w:hanging="368"/>
        <w:spacing w:after="0" w:line="258"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75" w:lineRule="exact"/>
        <w:rPr>
          <w:rFonts w:ascii="Times New Roman" w:cs="Times New Roman" w:eastAsia="Times New Roman" w:hAnsi="Times New Roman"/>
          <w:sz w:val="18"/>
          <w:szCs w:val="18"/>
          <w:color w:val="auto"/>
        </w:rPr>
      </w:pPr>
    </w:p>
    <w:p>
      <w:pPr>
        <w:ind w:left="1020" w:right="180" w:hanging="383"/>
        <w:spacing w:after="0" w:line="258"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HITECH, which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 and require notification to affected individuals and regulatory authorities of certain breaches of security of individually identifiable health information;</w:t>
      </w:r>
    </w:p>
    <w:p>
      <w:pPr>
        <w:spacing w:after="0" w:line="75" w:lineRule="exact"/>
        <w:rPr>
          <w:rFonts w:ascii="Times New Roman" w:cs="Times New Roman" w:eastAsia="Times New Roman" w:hAnsi="Times New Roman"/>
          <w:sz w:val="18"/>
          <w:szCs w:val="18"/>
          <w:color w:val="auto"/>
        </w:rPr>
      </w:pPr>
    </w:p>
    <w:p>
      <w:pPr>
        <w:ind w:left="1000" w:right="780" w:hanging="368"/>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consumer protection and unfair competition laws, which broadly regulate marketplace activities and activities that potentially harm customers;</w:t>
      </w:r>
    </w:p>
    <w:p>
      <w:pPr>
        <w:spacing w:after="0" w:line="53" w:lineRule="exact"/>
        <w:rPr>
          <w:rFonts w:ascii="Times New Roman" w:cs="Times New Roman" w:eastAsia="Times New Roman" w:hAnsi="Times New Roman"/>
          <w:sz w:val="18"/>
          <w:szCs w:val="18"/>
          <w:color w:val="auto"/>
        </w:rPr>
      </w:pPr>
    </w:p>
    <w:p>
      <w:pPr>
        <w:ind w:left="1000" w:right="100" w:hanging="368"/>
        <w:spacing w:after="0" w:line="258"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Physician Payments Sunshine Act created under the ACA, and its implementing regulations, which require that certain manufacturers of drugs, devices, medical supplies and therapeutic biologics that are reimbursable under Medicare, Medicaid, and Children’s Health Insurance Programs report annually to the Department of Health and Human Services information related to certain payments and other transfers of value to physicians, as defined by such law, physician assistants, certain types of advance practice nurses and teaching hospitals, as well as ownership and investment interests held by the physicians described above and their immediate family members; and</w:t>
      </w:r>
    </w:p>
    <w:p>
      <w:pPr>
        <w:spacing w:after="0" w:line="75" w:lineRule="exact"/>
        <w:rPr>
          <w:rFonts w:ascii="Times New Roman" w:cs="Times New Roman" w:eastAsia="Times New Roman" w:hAnsi="Times New Roman"/>
          <w:sz w:val="18"/>
          <w:szCs w:val="18"/>
          <w:color w:val="auto"/>
        </w:rPr>
      </w:pPr>
    </w:p>
    <w:p>
      <w:pPr>
        <w:ind w:left="1000" w:right="20" w:hanging="368"/>
        <w:spacing w:after="0" w:line="256"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regulations, such as state anti-kickback and false claims laws that may apply to sales or marketing arrangements and claims involving healthcare items or services reimbursed by non-governmental third-party payors, including private insurers; some state laws require that pharmaceutical companies to comply with the pharmaceutical industry’s voluntary compliance guidelines and the relevant compliance guidance promulgated by the federal government in addition to requiring drug and therapeutic biologics manufacturers to report information related to payments to physicians and other healthcare providers or marketing expenditures, and information related to drug pricing, including price increases. State and local laws require the registration of pharmaceutical sales representatives.</w:t>
      </w:r>
    </w:p>
    <w:p>
      <w:pPr>
        <w:spacing w:after="0" w:line="160"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Foreign and state laws also govern the privacy and security of health information in some circumstances, many of which differ from each other in significant ways and often are not preempted by HIPAA, thus complicating compliance efforts. For instance, the collection and use of health data in the EU is governed by the General Data Protection Regulation (“GDPR”) which extends the geographical scope of EU data protection law to non-EU entities under certain conditions, tightens existing EU data protection principles and creates new obligations for companies and new rights for individuals. Failure to comply with the GDPR may result in substantial fines and other administrative penalties. The GDPR may increase our responsibility and liability in relation to personal data that we possess and we may be required to put in place additional mechanisms ensuring compliance with the GDPR. We comply with the GDPR and the UK GDPR, which, together with the amended UK Data Protection Act 2018, retains the GDPR in United Kingdom national law, the latter regime having the ability to separately fine and penalize violations. The relationship between the United Kingdom and the EU in relation to certain aspects of data protection law remains unclear, and it is unclear how United Kingdom data protection laws and regulations will develop in the medium to longer term, and how data transfers to and from the United Kingdom will be regulated in the long term. Ongoing developments in the United Kingdom have created additional uncertainty regarding personal data transfers from the European Economic Area (EEA) to the United Kingdom following the termination of the personal data transfer grace period set out in the EU and United Kingdom Trade and Cooperation Agreement, which ended on June 30, 2021. It is not clear whether (and when) an adequacy decision may be granted by the European Commission enabling data transfers from EU member states to the United Kingdom long term without additional measures. Moreover, in July 2020 the Court of Justice of the European Union (CJEU) invalidated the EU-US Privacy Shield Framework (Privacy Shield) under which personal data could be transferred from the EEA and the United Kingdom to entities in the United States who had self-certified under the Privacy Shield scheme. This has led to uncertainty about the adequate transfer mechanisms for other personal data transfers from the EEA and the United Kingdom to the United States or interruption of such transfers. In the event that any court of law orders the suspension of</w:t>
      </w:r>
    </w:p>
    <w:p>
      <w:pPr>
        <w:spacing w:after="0" w:line="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4" w:name="page45"/>
    <w:bookmarkEnd w:id="44"/>
    <w:p>
      <w:pPr>
        <w:ind w:right="480"/>
        <w:spacing w:after="0" w:line="282" w:lineRule="auto"/>
        <w:rPr>
          <w:sz w:val="20"/>
          <w:szCs w:val="20"/>
          <w:color w:val="auto"/>
        </w:rPr>
      </w:pPr>
      <w:r>
        <w:rPr>
          <w:rFonts w:ascii="Times New Roman" w:cs="Times New Roman" w:eastAsia="Times New Roman" w:hAnsi="Times New Roman"/>
          <w:sz w:val="18"/>
          <w:szCs w:val="18"/>
          <w:color w:val="auto"/>
        </w:rPr>
        <w:t>personal data transfers to or from a particular jurisdiction this could give rise to operational interruption in the performance of services for customers, greater costs to implement alternative data transfer mechanisms that are still permitted, regulatory liabilities or reputational harm.</w:t>
      </w:r>
    </w:p>
    <w:p>
      <w:pPr>
        <w:spacing w:after="0" w:line="148"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In addition, state laws govern the privacy and security of health information in specified circumstances, many of which differ from each other in significant ways and may not have the same effect, thus complicating compliance efforts. Certain state laws may be more stringent or broader in scope, or offer greater individual rights, with respect to personal information, and such laws may differ from each other, all of which may complicate compliance efforts. For example, the CCPA, as modified by the CPRA,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The CCPA and CPRA may increase our compliance costs and potential liability, and similar laws have been proposed at the federal level and in other states. In addition, Virginia’s Consumer Data Protection Act, which took effect on January 1, 2023, requires businesses subject to the legislation to conduct data protection assessments in certain circumstances and requires opt-in consent from consumers to acquire and process their sensitive personal information, which includes information revealing a consumer’s physical and mental health diagnosis and genetic and biometric information that can identify a consumer. Colorado enacted the Colorado Privacy Act, and Connecticut enacted the Connecticut Data Privacy Act, each of which took effect on July 1, 2023, and Utah enacted the Consumer Privacy Act, which became effective on December 31, 2023, and each of these laws may increase the complexity, variation in requirements, restrictions, and potential legal risks, and could require increased compliance costs and changes in business practices and policies. Other states have also enacted, proposed, or are considering proposing, data privacy laws, which could further complicate compliance efforts, increase our potential liability and adversely affect our business.</w:t>
      </w:r>
    </w:p>
    <w:p>
      <w:pPr>
        <w:spacing w:after="0" w:line="170"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Ensuring that our internal operations and future business arrangements with third parties comply with applicable healthcare, privacy and securities laws and regulations worldwide will involve substantial costs. If our operations are found to be in violation of any of the laws described above or any other governmental laws and regulations that may apply to us, we may be subject to regulatory investigations and enforcement actions, as well as civil private plaintiff litigation, which could mean significant penalties, including civil, criminal and administrative penalties, damages, fines, exclusion from participation in government-funded healthcare programs such as Medicare and Medicaid or similar programs in other countries or jurisdictions, disgorgement, imprisonment, reputational harm and diminished profits. Responding to regulatory inquiries and defending against any such actions can be costly, time-consuming and may require significant financial and personnel resources. Therefore, even if we are successful in defending against any such actions that may be brought against us, our business may be impaired.</w:t>
      </w:r>
    </w:p>
    <w:p>
      <w:pPr>
        <w:spacing w:after="0" w:line="29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U.S. and foreign regulatory requirements, regulatory authorities could limit or withdraw any marketing or commercialization approvals we may receive and subject us to other penalties that could materially harm our business.</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Even if we receive marketing and commercialization approval of a product candidate, we will be subject to continuing regulatory requirements, including in relation to adverse patient experiences with the product and clinical results that are reported after a product is made commercially available, both in the United States and any foreign jurisdiction in which we seek regulatory approval. The FDA has significant post-market authority, including the authority to require labeling changes based on new safety information and to require post-market studies or clinical trials to evaluate safety risks related to the use of a product or to require withdrawal of the product from the market. The FDA also has the authority to require a REMS plan after approval, which may impose further requirements or restrictions on the distribution or use of an approved drug or therapeutic biologic. The manufacturer and manufacturing facilities we use to make a future product, if any, will also be subject to periodic review and inspection by the FDA and other regulatory agencies, including for continued compliance with cGMP requirements. The discovery of any new or previously unknown problems with our third-party manufacturers, manufacturing processes or facilities may result in restrictions on the product, manufacturer or facility, including withdrawal of the product from the market. We rely, and expect we will continue to rely, on third-party manufacturers, and we will not have control over compliance with applicable rules and regulations by such manufacturers. Any product promotion and advertising will also be subject to regulatory requirements and continuing regulatory review. If we or our existing or future collaborators, manufacturers or service providers fail to comply with applicable continuing regulatory requirements in the United States or foreign jurisdictions in which we seek to market our products, we or they may be subject to, among other things, fines, warning or untitled letters, holds on clinical trials, delay of approval or refusal by the FDA to approve pending applications or supplements to approved applications, suspension or withdrawal of regulatory approval, product recalls and seizures, administrative detention of products, refusal to permit the import or export of products, operating restrictions, injunctions, civil penalties and criminal prosecution.</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research and development activities could be affected or delayed as a result of possible restrictions on animal testing.</w:t>
      </w:r>
    </w:p>
    <w:p>
      <w:pPr>
        <w:spacing w:after="0" w:line="121" w:lineRule="exact"/>
        <w:rPr>
          <w:sz w:val="20"/>
          <w:szCs w:val="20"/>
          <w:color w:val="auto"/>
        </w:rPr>
      </w:pPr>
    </w:p>
    <w:p>
      <w:pPr>
        <w:ind w:right="160" w:firstLine="509"/>
        <w:spacing w:after="0" w:line="257" w:lineRule="auto"/>
        <w:rPr>
          <w:sz w:val="20"/>
          <w:szCs w:val="20"/>
          <w:color w:val="auto"/>
        </w:rPr>
      </w:pPr>
      <w:r>
        <w:rPr>
          <w:rFonts w:ascii="Times New Roman" w:cs="Times New Roman" w:eastAsia="Times New Roman" w:hAnsi="Times New Roman"/>
          <w:sz w:val="18"/>
          <w:szCs w:val="18"/>
          <w:color w:val="auto"/>
        </w:rPr>
        <w:t>Certain laws and regulations may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45" w:name="page46"/>
    <w:bookmarkEnd w:id="45"/>
    <w:p>
      <w:pPr>
        <w:ind w:right="940"/>
        <w:spacing w:after="0" w:line="282" w:lineRule="auto"/>
        <w:rPr>
          <w:sz w:val="20"/>
          <w:szCs w:val="20"/>
          <w:color w:val="auto"/>
        </w:rPr>
      </w:pPr>
      <w:r>
        <w:rPr>
          <w:rFonts w:ascii="Times New Roman" w:cs="Times New Roman" w:eastAsia="Times New Roman" w:hAnsi="Times New Roman"/>
          <w:sz w:val="18"/>
          <w:szCs w:val="18"/>
          <w:color w:val="auto"/>
        </w:rPr>
        <w:t>and by disrupting these activities through protests and other means. To the extent the activities of these groups are successful, our research and development activities may be interrupted, delayed or become more expensive.</w:t>
      </w:r>
    </w:p>
    <w:p>
      <w:pPr>
        <w:spacing w:after="0" w:line="266"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or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to sell our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94"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third-party contractors must comply with environmental, health and safety laws and regulations. A failure to comply with these laws and regulations could expose us to significant costs or liabilities.</w:t>
      </w:r>
    </w:p>
    <w:p>
      <w:pPr>
        <w:spacing w:after="0" w:line="5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and our third-party contractors are subject to numerous environmental, health and safety laws and regulations, including those governing laboratory procedures and the use, generation, manufacture, distribution, storage, handling, treatment, remediation and disposal of hazardous materials and wastes. Hazardous chemicals, including flammable and biological materials, are involved in certain aspects of our business, and we cannot eliminate the risk of injury or contamination from the use, generation, manufacture, distribution, storage, handling, treatment or disposal of hazardous materials and wastes. In the event of contamination or injury, or failure to comply with environmental, health and safety laws and regulations, we could be held liable for any resulting damages, fines and penalties associated with such liability which could exceed our assets and resources.</w:t>
      </w:r>
    </w:p>
    <w:p>
      <w:pPr>
        <w:spacing w:after="0" w:line="160"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biological or hazardous materials or wastes arising out of and in the course of employment, this insurance may not provide adequate coverage against potential liabilities. We do not maintain insurance for environmental liability that may be asserted against us in connection with our storage or disposal of biological, hazardous or radioactive materials.</w:t>
      </w:r>
    </w:p>
    <w:p>
      <w:pPr>
        <w:spacing w:after="0" w:line="166"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Environmental, health and safety laws and regulations are becoming increasingly more stringent.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in their implementation or interpretation may adversely affect us or our investors.</w:t>
      </w:r>
    </w:p>
    <w:p>
      <w:pPr>
        <w:spacing w:after="0" w:line="202"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The rules dealing with the U.S. federal, state and local income taxation are constantly under review by persons involved in the legislative process and by the Internal Revenue Service (“IRS”) and the U.S. Treasury Department. Changes to tax laws (which changes may have retroactive application) could adversely affect us or holders of our common stock. In recent years, many changes have been made and changes are likely to continue to occur in the future. For example, on January 1, 2022, a provision of the Tax Cuts and Jobs Act of 2017 went into effect that eliminates the option to deduct domestic research and development costs in the year incurred and instead requires taxpayers to amortize such costs over five years. 2022 also saw the enactment of the IRA, which imposes, among others, a 1% excise tax on certain repurchases of stock and a 15% alternative minimum income tax on “adjusted financial statement income” of certain corporations. It cannot be predicted whether, when, in what form, or with what effective dates, new tax laws may be enacted, or regulations and rulings may be enacted, promulgated or issued under existing or new tax laws, which could result in an increase in our or our stockholders’ tax liability or require changes in the manner in which we operate in order to minimize or mitigate any adverse effects of changes in tax law or in the interpretation thereof.</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managing our growth and other risks related to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the anticipated benefits of our workforce reductions, and our restructuring may adversely affect our business.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March 2025, we announced a reduction in our workforce by approximately 30%. This reduction in force, and the attrition that may occur following it, may result in the loss of institutional knowledge and expertise and the reallocation and combination of certain roles and responsibilities across the organization, all of which could adversely affect our operations. These restructurings and other additional measures we might take to reduce costs could strain our workforce, divert management attention, yield attrition beyond our intended reduction in force, reduce employee morale, cause us to delay, limit, reduce or eliminate certain development plans or otherwise interfere with our ability to operate and grow our business effectively, each of which could have an adverse impact on our business, operating results, and financial condition. Charges and costs incurred in connection with workforce reduction efforts may be significant and higher than estimated. In connection with these actions, we estimate that we will incur cash expenditures of between $0.5 and $0.6 million for employee severance and related benefit costs. The Company expects to pay substantially all of the restructuring and related charges in the second quarter of 2025. The estimates of the charges and expenditures that we expect to incur in connection with the workforce reduction, and the timing thereof, are subject to a number of assumptions, and actual amounts may differ materially from estimates. Even if successfully completed, we may not achieve the anticipated cost savings, operating efficiencies or other benefits of such activities.</w:t>
      </w:r>
    </w:p>
    <w:p>
      <w:pPr>
        <w:spacing w:after="0" w:line="80"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attract and retain qualified senior management and key clinical and scientific personnel, our business may be materially and adversely affected.</w:t>
      </w:r>
    </w:p>
    <w:p>
      <w:pPr>
        <w:spacing w:after="0" w:line="5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Our success depends in part on our continued ability to attract, retain and motivate highly qualified management and clinical and scientific personnel. We are highly dependent upon members of our senior management, including Jay M. Short, Ph.D., our Chairman and Chief Executive Officer, as well as our clinical development leaders, senior scientists, and other members of our senior management team. The loss of services of any of these individuals could delay or prevent the successful development of our product pipeline, the initiation and completion of our planned clinical trials or the commercialization of product candidates or any future product candidates.</w:t>
      </w:r>
    </w:p>
    <w:p>
      <w:pPr>
        <w:spacing w:after="0" w:line="156"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There is competition for qualified personnel in the pharmaceutical, biopharmaceutical and biotechnology field due to the limited number of individuals who possess the skills and experience required by our industry. We will need to hire additional personnel as we expand our clinical development and if we initiate commercial activities. We may not be able to attract and retain quality personnel on acceptable terms, or at all. In addition, to the extent we hire personnel from competitors, we may be subject to allegations that they have been improperly solicited or that they have divulged proprietary or other confidential information, or that their former employers own their research output.</w:t>
      </w:r>
    </w:p>
    <w:p>
      <w:pPr>
        <w:spacing w:after="0" w:line="287"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have no sales organization. If we are unable to establish sales, marketing and distribution capabilities on our own or through third parties, we may not be able to market and sell our product candidates, if approved, effectively in the United States and foreign jurisdictions or generate product revenue.</w:t>
      </w:r>
    </w:p>
    <w:p>
      <w:pPr>
        <w:spacing w:after="0" w:line="67"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currently do not have a marketing or sales organization. In order to commercialize our product candidates in the United States and foreign jurisdictions on our own, we must build our marketing, sales, distribution, managerial and other non-technical capabilities or make arrangements with third parties to perform these services, and we may not be successful in doing so. If any of our product candidates receives regulatory approval, we will need to develop internal sales, marketing and distribution capabilities to commercialize such products, which would be expensive and time-consuming, or make arrangements with third parties to perform these services. If we decide to market our products directly, we will need to commit significant financial and managerial resources to develop a marketing and sales force with technical expertise and supporting distribution, administration and compliance capabilities. If we rely on third parties with such capabilities to market our products or decide to co-promote products with existing or future collaborators, we will need to establish and maintain marketing and distribution arrangements with third parties, and we cannot assure you that we will be able to enter into such arrangements on acceptable terms, or at all. In entering into third-party marketing or distribution arrangements, any revenue we receive will depend upon the efforts of the third parties, and we cannot assure you that such third parties will establish adequate sales and distribution capabilities or be successful in gaining market acceptance of any approved product. If we are not successful in commercializing any product approved in the future, either on our own or through arrangements with one or more third parties, we may not be able to generate any future product revenue and we would incur significant additional losses.</w:t>
      </w:r>
    </w:p>
    <w:p>
      <w:pPr>
        <w:spacing w:after="0" w:line="29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order to successfully implement our plans and strategies, we will need to grow the size of our organization, and we may experience difficulties in managing this growth.</w:t>
      </w:r>
    </w:p>
    <w:p>
      <w:pPr>
        <w:spacing w:after="0" w:line="51" w:lineRule="exact"/>
        <w:rPr>
          <w:sz w:val="20"/>
          <w:szCs w:val="20"/>
          <w:color w:val="auto"/>
        </w:rPr>
      </w:pPr>
    </w:p>
    <w:p>
      <w:pPr>
        <w:jc w:val="both"/>
        <w:ind w:right="380" w:firstLine="509"/>
        <w:spacing w:after="0" w:line="257" w:lineRule="auto"/>
        <w:rPr>
          <w:sz w:val="20"/>
          <w:szCs w:val="20"/>
          <w:color w:val="auto"/>
        </w:rPr>
      </w:pPr>
      <w:r>
        <w:rPr>
          <w:rFonts w:ascii="Times New Roman" w:cs="Times New Roman" w:eastAsia="Times New Roman" w:hAnsi="Times New Roman"/>
          <w:sz w:val="18"/>
          <w:szCs w:val="18"/>
          <w:color w:val="auto"/>
        </w:rPr>
        <w:t>In order to successfully implement our development and commercialization plans and strategies, and operate as a public company, we expect to need additional development, managerial, operational, financial, sales, marketing and other personnel. Future growth would impose significant added responsibilities on members of management, including, among others: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7" w:name="page48"/>
    <w:bookmarkEnd w:id="47"/>
    <w:p>
      <w:pPr>
        <w:ind w:left="1000" w:hanging="36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integrating, maintaining and motivating additional employees;</w:t>
      </w:r>
    </w:p>
    <w:p>
      <w:pPr>
        <w:spacing w:after="0" w:line="117" w:lineRule="exact"/>
        <w:rPr>
          <w:rFonts w:ascii="Times New Roman" w:cs="Times New Roman" w:eastAsia="Times New Roman" w:hAnsi="Times New Roman"/>
          <w:sz w:val="18"/>
          <w:szCs w:val="18"/>
          <w:color w:val="auto"/>
        </w:rPr>
      </w:pPr>
    </w:p>
    <w:p>
      <w:pPr>
        <w:ind w:left="1020" w:right="140" w:hanging="38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internal development efforts effectively, including the clinical and regulatory review process for mecbotamab vedotin, ozuriftamab vedotin, evalstotug, BA3182 and any other product candidates, while complying with our contractual obligations to contractors and other third parties; and</w:t>
      </w:r>
    </w:p>
    <w:p>
      <w:pPr>
        <w:spacing w:after="0" w:line="6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our operational, financial and management controls, reporting systems and procedures.</w:t>
      </w:r>
    </w:p>
    <w:p>
      <w:pPr>
        <w:spacing w:after="0" w:line="22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future financial performance and our ability to successfully develop and, if approved, commercialize mecbotamab vedotin, ozuriftamab vedotin, evalstotug, BA3182, and any future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53"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To date, we have used the services of outside vendors to augment our capabilities in performing certain tasks, including preclinical and clinical trial management, manufacturing, statistics and analysis and research and development functions. Our growth strategy may also entail expanding our group of such contractors or consultants to assist in implementing these tasks going forward. Because we rely on numerous consultants,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mecbotamab vedotin, ozuriftamab vedotin, evalstotug, BA3182, and any future product candidates or otherwise advance our business. We may not be able to manage our existing outside contractors or find other competent outside contractors and consultants on economically reasonable terms, or at all. If we are not able to effectively expand our organization by hiring new employees and expanding our groups of consultants and contractors, we may not be able to successfully implement the tasks necessary to further develop and commercialize mecbotamab vedotin, ozuriftamab vedotin, evalstotug, BA3182, and any future product candidates and, accordingly, may not achieve our research, development and commercialization goals.</w:t>
      </w:r>
    </w:p>
    <w:p>
      <w:pPr>
        <w:spacing w:after="0" w:line="296"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and independent contractors, including principal investigators, CROs, consultants and vendors, may engage in misconduct or other improper activities, including noncompliance with regulatory standards and requirements.</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and independent contractors, including principal investigators, CROs, consultants and vendors may violate (intentionally or unintentionally) our internal processes and procedures, or engage in misconduct or other illegal activity. Such actions could include intentional, reckless and/or negligent conduct or disclosure of unauthorized activities to us that violate: (1) the laws and regulations of the FDA and other similar regulatory requirements, including those laws that require the reporting of true, complete and accurate information to such authorities, (2) manufacturing standards, including cGMP requirements, (3) data privacy, security, fraud and abuse and other healthcare laws and regulations in the United States and abroad or (4) laws that require the true, complete and accurate reporting of financial information or data. Activities subject to these laws also involve the improper use or misrepresentation of information obtained in the course of clinical trials, the creation of fraudulent data in our preclinical studies or clinical trials, or illegal misappropriation of drug product, which could result in regulatory sanctions and cause serious harm to our reputation. It is not always possible to identify, prevent and deter these activities and/or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actions, including fraud or other misconduct, even if none occurred. If any such actions are instituted against us, we may incur significant costs to respond, and if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federal healthcare programs, individual imprisonment,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 any of which could adversely affect our ability to operate our business and our results of operations.</w:t>
      </w:r>
    </w:p>
    <w:p>
      <w:pPr>
        <w:spacing w:after="0" w:line="296"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depend on our information technology systems and those of our CROs, manufacturers, contractors and consultants. Our internal computer systems, such as our enterprise resource planning (“ERP”) system, or those of any of our CROs, manufacturers, other contractors, consultants, existing or future collaborators, may fail or suffer security or data privacy breaches or other unauthorized or improper access to, use or acquisition of or destruction of our proprietary and confidential data, employee data or personal data, which could result in additional costs, loss of revenue, significant liabilities, harm to our reputation and material disruption of our operations.</w:t>
      </w:r>
    </w:p>
    <w:p>
      <w:pPr>
        <w:spacing w:after="0" w:line="75" w:lineRule="exact"/>
        <w:rPr>
          <w:sz w:val="20"/>
          <w:szCs w:val="20"/>
          <w:color w:val="auto"/>
        </w:rPr>
      </w:pPr>
    </w:p>
    <w:p>
      <w:pPr>
        <w:ind w:right="420" w:firstLine="509"/>
        <w:spacing w:after="0" w:line="261" w:lineRule="auto"/>
        <w:rPr>
          <w:sz w:val="20"/>
          <w:szCs w:val="20"/>
          <w:color w:val="auto"/>
        </w:rPr>
      </w:pPr>
      <w:r>
        <w:rPr>
          <w:rFonts w:ascii="Times New Roman" w:cs="Times New Roman" w:eastAsia="Times New Roman" w:hAnsi="Times New Roman"/>
          <w:sz w:val="18"/>
          <w:szCs w:val="18"/>
          <w:color w:val="auto"/>
        </w:rPr>
        <w:t>In the ordinary course of our business, we collect, store and transmit large amounts of confidential information, including intellectual property, proprietary business information and personal information. Despite the implementation of security measures, our</w:t>
      </w: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8" w:name="page49"/>
    <w:bookmarkEnd w:id="48"/>
    <w:p>
      <w:pPr>
        <w:ind w:right="20"/>
        <w:spacing w:after="0" w:line="251" w:lineRule="auto"/>
        <w:rPr>
          <w:sz w:val="20"/>
          <w:szCs w:val="20"/>
          <w:color w:val="auto"/>
        </w:rPr>
      </w:pPr>
      <w:r>
        <w:rPr>
          <w:rFonts w:ascii="Times New Roman" w:cs="Times New Roman" w:eastAsia="Times New Roman" w:hAnsi="Times New Roman"/>
          <w:sz w:val="18"/>
          <w:szCs w:val="18"/>
          <w:color w:val="auto"/>
        </w:rPr>
        <w:t>internal computer systems and infrastructure and those of our current and any future CROs, manufacturers, other contractors, consultants, existing or future collaborators and other third-party service providers are vulnerable to unauthorized access, impairment, or damage from various methods, including cybersecurity attacks, ransomware attacks, breaches, intentional or accidental mistakes or errors, or other technological failures, which can include, among other things, computer viruses, malware, exploit of unpatched product or service vulnerabilities, unauthorized access attempts (including third parties gaining access to systems using stolen or inferred credentials), denial-of-service attacks, phishing attempts, service disruptions, natural disasters, fire, terrorism, war, telecommunication and electrical failures, and attacks enhanced or facilitated by AI. As the cyber-threat landscape evolves, these attacks are growing in frequency, levels of persistence, sophistication and intensity, are becoming increasingly difficult to detect, and are being conducted by sophisticated groups and individuals with a wide range of motives and expertise.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If such an event were to occur and cause interruptions in our operations, impact to critical data or systems, or result in the unauthorized acquisition of or access to personally identifiable information or individually identifiable health information (violating certain privacy, cybersecurity or data protection laws such as HIPAA, HITECH, the CCPA and GDPR), it could result in a material disruption of our product candidate development programs and our business operations and we could incur significant liabilities. There also could be requirements that we notify individuals and regulators in the event of unauthorized access to, acquisition, destruction, alteration, or misuse of, personal or health information, which could result from breaches experienced by us or by our vendors, contractors or organizations with which we have formed strategic relationships. Notifications and follow-up actions related to a security breach could impact our reputation and cause us to incur significant costs, including legal expenses and remediation costs, and result in the loss of confidence by our partners, customers, and stakeholders, and thereby have longer term adverse impact on our business operations and revenue. For example, the loss of clinical trial data from completed, ongoing or future clinical trials involving our product candidates could result in delays in our regulatory approval efforts and significantly increase our costs to recover or reproduce the lost data. In addition, because of our approach of running multiple clinical trials in parallel, any breach of our computer systems may result in a loss of data or compromised data integrity across many of our programs in various stages of development.</w:t>
      </w:r>
    </w:p>
    <w:p>
      <w:pPr>
        <w:spacing w:after="0" w:line="178"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also rely on third parties to manufacture our product candidates,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be exposed to litigation and governmental investigations, the further development and commercialization of our product candidates could be delayed and we could be subject to significant fines or penalties for any noncompliance with certain state, federal or international privacy and security laws.</w:t>
      </w:r>
    </w:p>
    <w:p>
      <w:pPr>
        <w:spacing w:after="0" w:line="170" w:lineRule="exact"/>
        <w:rPr>
          <w:sz w:val="20"/>
          <w:szCs w:val="20"/>
          <w:color w:val="auto"/>
        </w:rPr>
      </w:pPr>
    </w:p>
    <w:p>
      <w:pPr>
        <w:ind w:right="360" w:firstLine="509"/>
        <w:spacing w:after="0" w:line="261" w:lineRule="auto"/>
        <w:rPr>
          <w:sz w:val="20"/>
          <w:szCs w:val="20"/>
          <w:color w:val="auto"/>
        </w:rPr>
      </w:pPr>
      <w:r>
        <w:rPr>
          <w:rFonts w:ascii="Times New Roman" w:cs="Times New Roman" w:eastAsia="Times New Roman" w:hAnsi="Times New Roman"/>
          <w:sz w:val="18"/>
          <w:szCs w:val="18"/>
          <w:color w:val="auto"/>
        </w:rPr>
        <w:t>We operate our ERP system and other key business systems on SaaS platforms. Accordingly, we depend on these systems, and the third-party providers of these services, for several aspects of our operations. If these service providers or these systems fail, or if we are unable to continue to have access to these systems on commercially reasonable terms, or at all, operations could be severely disrupted until an equivalent system(s) could be identified, licensed or developed, and integrated into our operations. This disruption could have a material adverse effect on our business.</w:t>
      </w:r>
    </w:p>
    <w:p>
      <w:pPr>
        <w:spacing w:after="0" w:line="153"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insurance policies may not be adequate to compensate us for the potential losses arising from any such disruption, failure or security breach.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166"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addition to experiencing a security incident, third parties may gather, collect, or infer sensitive data about us from public sources, data brokers, or other means that reveal competitively sensitive details about our organization and could be used to undermine our competitive advantage or market position. Additionally, sensitive data of the Company could be leaked, disclosed, or revealed as a result of or in connection with our employees’, personnel’s, or vendors’ use of generative AI technologies.</w:t>
      </w:r>
    </w:p>
    <w:p>
      <w:pPr>
        <w:spacing w:after="0" w:line="284"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portion of our research and development activities take place in China. Uncertainties regarding the interpretation and enforcement of Chinese laws, rules and regulations, a trade war, deterioration of international relations, or political unrest in China could materially adversely affect our business, financial condition and results of operations.</w:t>
      </w:r>
    </w:p>
    <w:p>
      <w:pPr>
        <w:spacing w:after="0" w:line="6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conduct preclinical research and development activities in China through BioDuro-Sundia, which is U.S. owned, but governed by Chinese laws, rules and regulations. Additionally, our agreement with Himalaya Therapeutics Limited Company is for the initiation of clinical trials of evalstotug in the People’s Republic of China. The Chinese legal system is a civil law system based on written statutes. Unlike the common law system, prior court decisions may be cited for reference but have limited precedential value. In addition, the Chinese legal system is based in part on government policies and internal rules, some of which are not published on a</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9" w:name="page50"/>
    <w:bookmarkEnd w:id="49"/>
    <w:p>
      <w:pPr>
        <w:spacing w:after="0" w:line="258" w:lineRule="auto"/>
        <w:rPr>
          <w:sz w:val="20"/>
          <w:szCs w:val="20"/>
          <w:color w:val="auto"/>
        </w:rPr>
      </w:pPr>
      <w:r>
        <w:rPr>
          <w:rFonts w:ascii="Times New Roman" w:cs="Times New Roman" w:eastAsia="Times New Roman" w:hAnsi="Times New Roman"/>
          <w:sz w:val="18"/>
          <w:szCs w:val="18"/>
          <w:color w:val="auto"/>
        </w:rPr>
        <w:t>timely basis or not published at all, and which may have a retroactive effect. As a result, we may not be aware of our violation of these policies and rules until after the occurrence of the violation. Any administrative and court proceedings in China may be protracted, resulting in substantial costs and diversion of resources and management attention. Since Chinese administrative and court authorities have significant discretion in interpreting and implementing statutory and contractual terms, it may be more difficult to evaluate the outcome of administrative and court proceedings and the level of legal protection we enjoy than in U.S. or EU legal systems.</w:t>
      </w:r>
    </w:p>
    <w:p>
      <w:pPr>
        <w:spacing w:after="0" w:line="156"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We do some business with companies in China and it is possible some of our contractual counterparties could be impacted by the legislation targeting China. One particular executive order titled Advancing Biotechnology and Biomanufacturing Innovation for a Sustainable, Safe, and Secure American Bioeconomy signed on September 12, 2022 will likely impact the pharmaceutical industry to encourage U.S. domestic manufacturing of pharmaceutical products. Moreover, there have been Congressional legislative proposals, such as the bill titled the BIOSECURE Act, a version of which was introduced in Congress in 2024 and passed by the House of Representatives but was not passed by the Senate. A substantially similar bill could be reintroduced in Congress in the future, which could, among other things, prohibit U.S. federal procurement of biotechnology equipment or services produced or provided by certain named Chinese “biotechnology companies of concern” and loans and grants to, and federal contracts with any entity that uses biotechnology equipment or services from one of these entities in performance of the government contract, grant, or loan. There is significant uncertainty regarding the ultimate form and impact of such initiatives.</w:t>
      </w:r>
    </w:p>
    <w:p>
      <w:pPr>
        <w:spacing w:after="0" w:line="175"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Furthermore, we are exposed to the possibility of disruption of our research and development activities in the event of changes in the policies of the United States or Chinese governments, political unrest or unstable economic conditions in China, including the escalation of tensions between China and Taiwan. In addition, disagreements between the United States and China with respect to their political, military or economic policies toward Taiwan may contribute to further controversies. For example, a trade war could lead to increased costs for clinical materials that are manufactured in China. These interruptions or failures and any restrictive measures resulting from a deterioration of U.S.- China relations could also result in impeding the commercialization of our product candidates and impair our competitive position. Further, we may be exposed to fluctuations in the value of the local currency in China. Future appreciation of the local currency could increase our costs. These uncertainties may impede our ability to enforce the contracts we have entered into and our ability to continue our research and development activities and could materially and adversely affect our business, financial condition and results of operations.</w:t>
      </w:r>
    </w:p>
    <w:p>
      <w:pPr>
        <w:spacing w:after="0" w:line="292" w:lineRule="exact"/>
        <w:rPr>
          <w:sz w:val="20"/>
          <w:szCs w:val="20"/>
          <w:color w:val="auto"/>
        </w:rPr>
      </w:pPr>
    </w:p>
    <w:p>
      <w:pPr>
        <w:ind w:right="3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current operations are concentrated in two locations. We or the third parties upon whom we depend may be adversely affected by earthquakes, wildfires or other natural disasters, and our business continuity and disaster recovery plans may not adequately protect us from a serious disaster.</w:t>
      </w:r>
    </w:p>
    <w:p>
      <w:pPr>
        <w:spacing w:after="0" w:line="28"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A portion of our current operations are located in our facilities in San Diego, California, and we conduct a portion of our research and development activities in China through our arrangement with BioDuro-Sundia. Any unplanned event, such as flood, fire, explosion, earthquake, extreme weather condition, medical epidemics or pandemics,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Earthquakes, wildfires or other natural disasters could further disrupt our operations and have a material and adverse effect on our business, financial condition, results of operations and prospects. If a natural disaster, power outage or other event prevented us from using all or a significant portion of our headquarters, damaged critical infrastructure, such as our research facilities or the manufacturing facilities of our third-party contract manufacturers, or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 In addition, all of our therapeutic antibodies are manufactured by starting with cells from a master cell bank which are stored in multiple locations to reduce the risk of loss. While we believe we will have adequate backup should any cell bank be lost in a catastrophic event, and we take precautions when transporting our cell banks, it is possible that we could lose several cell banks and have our manufacturing severely impacted by the need to replace the cell banks.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economic, political, regulatory and other risks associated with conducting business internationally.</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We, our collaborators or licensees may seek regulatory approval of our product candidates outside of the United States including in China, the EU, Australia, New Zealand, and Japan. Additionally, pursuant to our agreement with Himalaya Therapeutics Limited</w:t>
      </w: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0" w:name="page51"/>
    <w:bookmarkEnd w:id="50"/>
    <w:p>
      <w:pPr>
        <w:ind w:right="640"/>
        <w:spacing w:after="0" w:line="282" w:lineRule="auto"/>
        <w:rPr>
          <w:sz w:val="20"/>
          <w:szCs w:val="20"/>
          <w:color w:val="auto"/>
        </w:rPr>
      </w:pPr>
      <w:r>
        <w:rPr>
          <w:rFonts w:ascii="Times New Roman" w:cs="Times New Roman" w:eastAsia="Times New Roman" w:hAnsi="Times New Roman"/>
          <w:sz w:val="18"/>
          <w:szCs w:val="18"/>
          <w:color w:val="auto"/>
        </w:rPr>
        <w:t>Company, we conduct clinical trials in the People’s Republic of China. Accordingly, we expect that we will be subject to additional risks related to operating in foreign countries if we obtain the necessary approvals, including, among others:</w:t>
      </w:r>
    </w:p>
    <w:p>
      <w:pPr>
        <w:spacing w:after="0" w:line="54" w:lineRule="exact"/>
        <w:rPr>
          <w:sz w:val="20"/>
          <w:szCs w:val="20"/>
          <w:color w:val="auto"/>
        </w:rPr>
      </w:pPr>
    </w:p>
    <w:p>
      <w:pPr>
        <w:ind w:left="1000" w:hanging="36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regulatory requirements and reimbursement regimes in foreign countries;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price and exchange controls and other regulatory requirements;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w:t>
      </w:r>
    </w:p>
    <w:p>
      <w:pPr>
        <w:spacing w:after="0" w:line="117" w:lineRule="exact"/>
        <w:rPr>
          <w:rFonts w:ascii="Times New Roman" w:cs="Times New Roman" w:eastAsia="Times New Roman" w:hAnsi="Times New Roman"/>
          <w:sz w:val="18"/>
          <w:szCs w:val="18"/>
          <w:color w:val="auto"/>
        </w:rPr>
      </w:pPr>
    </w:p>
    <w:p>
      <w:pPr>
        <w:ind w:left="1000" w:right="440" w:hanging="36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 and other obligations incident to doing business in another country;</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staffing and managing foreign operations;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under the FCPA or comparable foreign regulations;</w:t>
      </w:r>
    </w:p>
    <w:p>
      <w:pPr>
        <w:spacing w:after="0" w:line="117" w:lineRule="exact"/>
        <w:rPr>
          <w:rFonts w:ascii="Times New Roman" w:cs="Times New Roman" w:eastAsia="Times New Roman" w:hAnsi="Times New Roman"/>
          <w:sz w:val="18"/>
          <w:szCs w:val="18"/>
          <w:color w:val="auto"/>
        </w:rPr>
      </w:pPr>
    </w:p>
    <w:p>
      <w:pPr>
        <w:ind w:left="1000" w:right="440" w:hanging="36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w:t>
      </w:r>
    </w:p>
    <w:p>
      <w:pPr>
        <w:spacing w:after="0" w:line="19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Furthermore, governments have, and may continue to, turn to trade barriers to protect their domestic industries against foreign imports. Under the current U.S. administration, there is significant and increasing uncertainty about the future relationship between the United States, China, and other exporting countries, including with respect to trade policies, treaties, government regulations, and tariffs. On April 9, 2025, President Trump announced a pause to previously announced tariffs on most countries for 90 days. Countries subject to the pause on the tariffs are still to be subject to the baseline 10% tariff. This consequently lowers the tariff rate for the E.U., Japan, and South Korea, among other countries. However, President Trump further increased the tariff rate against Chinese imports to 125%. Canada and Mexico are still to be subject to tariffs as high as 25%, with goods that comply with the United States-Mexico-Canada Agreement.</w:t>
      </w:r>
    </w:p>
    <w:p>
      <w:pPr>
        <w:spacing w:after="0" w:line="175"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Changes in laws or policies governing the terms of trade, and in particular increased trade restrictions, tariffs or taxes on imports from countries where we manufacture products, such as China, could have a material adverse effect on our business and financial results. The impact of these tariffs is subject to several factors, including the effective date and duration of such tariffs, changes in the amount, scope and nature of the tariffs in the future, any retaliatory responses to such actions that the target countries may take and any mitigating actions that may become available. Despite recent trade negotiations between the U.S. and the Mexican, Canadian and Chinese governments, given the uncertainty regarding the scope and duration of any new tariffs, as well as the potential for additional tariffs or trade barriers by the U.S., Mexico, Canada, China or other countries, we can provide no assurance that any strategies we implement to mitigate the impact of such tariffs or other trade actions will be successful.</w:t>
      </w:r>
    </w:p>
    <w:p>
      <w:pPr>
        <w:spacing w:after="0" w:line="16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Additionally, in February 2022, armed conflict escalated between Russia and Ukraine, and disputes remain unsettled in early 2025. In October 2023, armed conflict escalated between Israel and Hamas, including in the Gaza Strip. It is not possible to predict the broader consequences of these conflicts, which could include further sanctions, embargoes, greater regional instability, geopolitical shifts and other adverse effects on macroeconomic conditions, such as tariffs and trade disputes with other countries, inflation, rising interest rates, currency exchange rates, supply chain challenges and financial market conditions. These and other risks associated with our international operations may materially adversely affect our ability to attain or maintain profitable operations.</w:t>
      </w:r>
    </w:p>
    <w:p>
      <w:pPr>
        <w:spacing w:after="0" w:line="291"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related to health epidemics and outbreaks, which could significantly disrupt our preclinical studies, affect enrollment of patients in our clinical trials or delay or prevent our receipt of necessary regulatory approvals.</w:t>
      </w:r>
    </w:p>
    <w:p>
      <w:pPr>
        <w:spacing w:after="0" w:line="5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face risks related to health epidemics or outbreaks of communicable diseases. The outbreak of communicable diseases could result in a widespread health crisis that could adversely affect general commercial activity and the economies and financial markets of many countries. Health pandemics in the past have resulted in, and in the future may result in, governments implementing numerous containment measures, such as travel bans and restrictions, particularly quarantines, shelter-in-place or total lock-down orders and business limitations and shutdowns.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1" w:name="page52"/>
    <w:bookmarkEnd w:id="51"/>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We are following, and plan to continue to follow, recommendations from federal, state and local governments regarding workplace policies, practices and procedures. We are complying with all applicable guidelines for our clinical trials, including remote clinical monitoring.</w:t>
      </w:r>
    </w:p>
    <w:p>
      <w:pPr>
        <w:spacing w:after="0" w:line="148"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In addition, health epidemics in the past have had, and in the future may have, a severe effect on the clinical trials of many drug candidates of several sponsors. The extent to which any future health epidemics may impact our preclinical and clinical trial operations is uncertain and will depend on future developments. Disruptions or restrictions on our ability to travel to monitor data from our clinical trials, or to conduct clinical trials, or the ability of patients enrolled in our studies to travel, or the ability of staff at study sites to travel, as well as temporary closures of our facilities or the facilities of our clinical trial partners and their contract manufacturers, would negatively impact our clinical trial activities. In addition, we rely on independent clinical investigators, CROs and other third-party service providers to assist us in managing, monitoring and otherwise carrying out our preclinical studies and clinical trials, including the collection of data from our clinical trials, and an outbreak may affect their ability to devote sufficient time and resources to our programs or to travel to sites to perform work for us. Similarly, the expected timeline for data readouts of our preclinical studies and clinical trials and certain regulatory filings may be negatively impacted, which would adversely affect our ability to obtain regulatory approval for and to commercialize our product candidates, increase our operating expenses and have a material adverse effect on our business, financial condition, results of operations and prospects.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1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entered, and may in the future seek to enter, into collaborations with third parties for the development and commercialization of certain of our product candidates. If we fail to enter into such collaborations, or such collaborations are not successful, we may not be able to capitalize on the market potential of our patented technology platform and resulting product candidates.</w:t>
      </w:r>
    </w:p>
    <w:p>
      <w:pPr>
        <w:spacing w:after="0" w:line="67"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We have entered, and may in the future seek to enter, into collaborations with third parties for the development and commercialization of certain of our product candidates. For example, in September 2024 we entered into an agreement to license BA3361, a Nectin-4 x CD3 T cell engaging (TCE) bispecific CAB antibody to Context Therapeutics. In addition, we are currently exploring potential third-party collaborators for development and commercialization of select CAB product candidates. With respect to our collaborations, and what we expect will be the case with any future license or collaboration agreements, we have, and would expect to have, limited control over the amount and timing of resources that our existing or future collaborators dedicate to the development or commercialization of our product candidates. Our ability to generate revenues from these arrangements will depend on our existing or future collaborators’ willingness to select additional product candidates to license and their abilities and willingness to fulfill their payment obligations and successfully perform the functions assigned to them in these arrangements.</w:t>
      </w:r>
    </w:p>
    <w:p>
      <w:pPr>
        <w:spacing w:after="0" w:line="1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existing collaboration arrangements currently pose, and future collaborations involving our product candidates will pose, the following risks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w:t>
      </w:r>
    </w:p>
    <w:p>
      <w:pPr>
        <w:spacing w:after="0" w:line="99" w:lineRule="exact"/>
        <w:rPr>
          <w:sz w:val="20"/>
          <w:szCs w:val="20"/>
          <w:color w:val="auto"/>
        </w:rPr>
      </w:pPr>
    </w:p>
    <w:p>
      <w:pPr>
        <w:ind w:left="1000" w:hanging="36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w:t>
      </w:r>
    </w:p>
    <w:p>
      <w:pPr>
        <w:spacing w:after="0" w:line="117" w:lineRule="exact"/>
        <w:rPr>
          <w:rFonts w:ascii="Times New Roman" w:cs="Times New Roman" w:eastAsia="Times New Roman" w:hAnsi="Times New Roman"/>
          <w:sz w:val="18"/>
          <w:szCs w:val="18"/>
          <w:color w:val="auto"/>
        </w:rPr>
      </w:pPr>
    </w:p>
    <w:p>
      <w:pPr>
        <w:ind w:left="1000" w:right="140" w:hanging="368"/>
        <w:spacing w:after="0" w:line="261"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our product candidates or may elect not to continue or renew development or commercialization programs based on preclinical or clinical trial results, changes in the collaborators’ strategic focus due to their acquisition of competitive products or their internal development of competitive products, available funding or other external factors, such as a business combination that diverts resources or creates competing priorities;</w:t>
      </w:r>
    </w:p>
    <w:p>
      <w:pPr>
        <w:spacing w:after="0" w:line="71" w:lineRule="exact"/>
        <w:rPr>
          <w:rFonts w:ascii="Times New Roman" w:cs="Times New Roman" w:eastAsia="Times New Roman" w:hAnsi="Times New Roman"/>
          <w:sz w:val="18"/>
          <w:szCs w:val="18"/>
          <w:color w:val="auto"/>
        </w:rPr>
      </w:pPr>
    </w:p>
    <w:p>
      <w:pPr>
        <w:ind w:left="1000" w:right="460" w:hanging="368"/>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3" w:lineRule="exact"/>
        <w:rPr>
          <w:rFonts w:ascii="Times New Roman" w:cs="Times New Roman" w:eastAsia="Times New Roman" w:hAnsi="Times New Roman"/>
          <w:sz w:val="18"/>
          <w:szCs w:val="18"/>
          <w:color w:val="auto"/>
        </w:rPr>
      </w:pPr>
    </w:p>
    <w:p>
      <w:pPr>
        <w:ind w:left="1000" w:right="60" w:hanging="368"/>
        <w:spacing w:after="0" w:line="266"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and other alliances could independently develop, or develop with third parties, products that compete directly or indirectly with our product candidate, particularly if the collaborators believe that competitive products are more likely to be successfully developed or can be commercialized under terms that are more economically attractive than ours;</w:t>
      </w:r>
    </w:p>
    <w:p>
      <w:pPr>
        <w:spacing w:after="0" w:line="67" w:lineRule="exact"/>
        <w:rPr>
          <w:rFonts w:ascii="Times New Roman" w:cs="Times New Roman" w:eastAsia="Times New Roman" w:hAnsi="Times New Roman"/>
          <w:sz w:val="18"/>
          <w:szCs w:val="18"/>
          <w:color w:val="auto"/>
        </w:rPr>
      </w:pPr>
    </w:p>
    <w:p>
      <w:pPr>
        <w:ind w:left="1000" w:right="540" w:hanging="368"/>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with marketing, manufacturing and distribution rights to one or more products may not commit sufficient resources to or otherwise not perform satisfactorily in carrying out these activities;</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grant exclusive rights to our collaborators that would prevent us from collaborating with others;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intellectual property or proprietary</w:t>
      </w:r>
    </w:p>
    <w:p>
      <w:pPr>
        <w:spacing w:after="0" w:line="27" w:lineRule="exact"/>
        <w:rPr>
          <w:sz w:val="20"/>
          <w:szCs w:val="20"/>
          <w:color w:val="auto"/>
        </w:rPr>
      </w:pPr>
    </w:p>
    <w:p>
      <w:pPr>
        <w:ind w:left="1000"/>
        <w:spacing w:after="0" w:line="250" w:lineRule="auto"/>
        <w:rPr>
          <w:sz w:val="20"/>
          <w:szCs w:val="20"/>
          <w:color w:val="auto"/>
        </w:rPr>
      </w:pPr>
      <w:r>
        <w:rPr>
          <w:rFonts w:ascii="Times New Roman" w:cs="Times New Roman" w:eastAsia="Times New Roman" w:hAnsi="Times New Roman"/>
          <w:sz w:val="18"/>
          <w:szCs w:val="18"/>
          <w:color w:val="auto"/>
        </w:rPr>
        <w:t>information in a way that gives rise to actual or threatened litigation that could jeopardize or invalidate our intellectual property or proprietary information or expose us to potential liability;</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52" w:name="page53"/>
    <w:bookmarkEnd w:id="52"/>
    <w:p>
      <w:pPr>
        <w:ind w:left="1000" w:hanging="36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w:t>
      </w:r>
    </w:p>
    <w:p>
      <w:pPr>
        <w:spacing w:after="0" w:line="117" w:lineRule="exact"/>
        <w:rPr>
          <w:rFonts w:ascii="Times New Roman" w:cs="Times New Roman" w:eastAsia="Times New Roman" w:hAnsi="Times New Roman"/>
          <w:sz w:val="18"/>
          <w:szCs w:val="18"/>
          <w:color w:val="auto"/>
        </w:rPr>
      </w:pPr>
    </w:p>
    <w:p>
      <w:pPr>
        <w:ind w:left="1000" w:right="80" w:hanging="368"/>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the collaborators and us that result in the delay or termination of the research, development or commercialization of our product candidate or that result in costly litigation or arbitration that diverts management attention and resources;</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with respect to the ownership of any intellectual property developed pursuant to our collaborations;</w:t>
      </w:r>
    </w:p>
    <w:p>
      <w:pPr>
        <w:spacing w:after="0" w:line="117" w:lineRule="exact"/>
        <w:rPr>
          <w:rFonts w:ascii="Times New Roman" w:cs="Times New Roman" w:eastAsia="Times New Roman" w:hAnsi="Times New Roman"/>
          <w:sz w:val="18"/>
          <w:szCs w:val="18"/>
          <w:color w:val="auto"/>
        </w:rPr>
      </w:pPr>
    </w:p>
    <w:p>
      <w:pPr>
        <w:jc w:val="both"/>
        <w:ind w:left="1020" w:right="380" w:hanging="38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provide us with timely and accurate information regarding development, regulatory or commercialization status or results, which could adversely impact our ability to manage our own development efforts, accurately forecast financial results or provide timely information to our stockholders regarding our out-licensed product candidates;</w:t>
      </w:r>
    </w:p>
    <w:p>
      <w:pPr>
        <w:spacing w:after="0" w:line="67" w:lineRule="exact"/>
        <w:rPr>
          <w:rFonts w:ascii="Times New Roman" w:cs="Times New Roman" w:eastAsia="Times New Roman" w:hAnsi="Times New Roman"/>
          <w:sz w:val="18"/>
          <w:szCs w:val="18"/>
          <w:color w:val="auto"/>
        </w:rPr>
      </w:pPr>
    </w:p>
    <w:p>
      <w:pPr>
        <w:ind w:left="1020" w:right="700" w:hanging="38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this may result in a need for additional capital to pursue further development or commercialization of the applicable current or future product candidates; and</w:t>
      </w:r>
    </w:p>
    <w:p>
      <w:pPr>
        <w:spacing w:after="0" w:line="53" w:lineRule="exact"/>
        <w:rPr>
          <w:rFonts w:ascii="Times New Roman" w:cs="Times New Roman" w:eastAsia="Times New Roman" w:hAnsi="Times New Roman"/>
          <w:sz w:val="18"/>
          <w:szCs w:val="18"/>
          <w:color w:val="auto"/>
        </w:rPr>
      </w:pPr>
    </w:p>
    <w:p>
      <w:pPr>
        <w:ind w:left="1000" w:right="180" w:hanging="368"/>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sales and marketing activities or other operations may not be in compliance with applicable laws resulting in civil or criminal proceedings.</w:t>
      </w:r>
    </w:p>
    <w:p>
      <w:pPr>
        <w:spacing w:after="0" w:line="135"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Collaboration agreements may not lead to development or commercialization of our product candidates in the most efficient manner or at all. If a collaborator of ours were to be involved in a business combination, the continued pursuit and emphasis on our product development or commercialization program could be delayed, diminished or terminated.</w:t>
      </w:r>
    </w:p>
    <w:p>
      <w:pPr>
        <w:spacing w:after="0" w:line="280"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existing or future collaborators cease development efforts under our existing or future collaboration agreements, or if any of those agreements are terminated, we may lose committed funding under those agreements and these collaborations may fail to lead to commercial products and the reputation of our patented CAB technology platform may suffer.</w:t>
      </w:r>
    </w:p>
    <w:p>
      <w:pPr>
        <w:spacing w:after="0" w:line="6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Revenue from research and development collaborations depend upon continuation of the collaborations, initiation and expansion of the number of programs subject to the collaborations, the achievement of milestones and royalties, if any, derived from future products developed from our research. If we are unable to successfully advance the development of our product candidates or achieve milestones, revenue and cash resources from milestone payments under our existing or future collaboration agreements will be substantially less than expected.</w:t>
      </w:r>
    </w:p>
    <w:p>
      <w:pPr>
        <w:spacing w:after="0" w:line="166"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ability to advance our product candidates may be limited by third parties on which we rely for certain technologies which we use in certain of our programs. If any third party developing our product candidates or other candidates based on our patented CAB technology platform experiences a delay or failure in development, regulatory approval or commercialization, even if such failure is not due to our CAB technology, it could reflect negatively on us, our other product candidates and our patented CAB technology platform. In addition, if one of our current or future collaborators terminates its agreement with us, we may find it more difficult to attract new collaborators and our perception in the business and financial communities and our stock price could be adversely affected.</w:t>
      </w:r>
    </w:p>
    <w:p>
      <w:pPr>
        <w:spacing w:after="0" w:line="291"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establishing commercialization collaborations, which could adversely affect our ability to commercialize our product candidates, if approved.</w:t>
      </w:r>
    </w:p>
    <w:p>
      <w:pPr>
        <w:spacing w:after="0" w:line="5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From time to time, we may evaluate and, if strategically attractive, seek to enter into additional collaborations, including with major biotechnology or biopharmaceutical companies. The competition for collaborators is intense, and such arrangements are complex and time-consuming to negotiate, document, and implement and they may require substantial resources to maintain. Any new collaboration may be on terms that are not optimal for us, and we may not be able to maintain any new collaboration if, for example, development or approval of a product candidate is delayed, sales of an approved product candidate do not meet expectations or the collaborator terminates the collaboration.</w:t>
      </w:r>
    </w:p>
    <w:p>
      <w:pPr>
        <w:spacing w:after="0" w:line="156" w:lineRule="exact"/>
        <w:rPr>
          <w:sz w:val="20"/>
          <w:szCs w:val="20"/>
          <w:color w:val="auto"/>
        </w:rPr>
      </w:pPr>
    </w:p>
    <w:p>
      <w:pPr>
        <w:ind w:right="320" w:firstLine="509"/>
        <w:spacing w:after="0" w:line="255" w:lineRule="auto"/>
        <w:rPr>
          <w:sz w:val="20"/>
          <w:szCs w:val="20"/>
          <w:color w:val="auto"/>
        </w:rPr>
      </w:pPr>
      <w:r>
        <w:rPr>
          <w:rFonts w:ascii="Times New Roman" w:cs="Times New Roman" w:eastAsia="Times New Roman" w:hAnsi="Times New Roman"/>
          <w:sz w:val="18"/>
          <w:szCs w:val="18"/>
          <w:color w:val="auto"/>
        </w:rPr>
        <w:t>In addition, it is possible that a collaborator may not devote sufficient resources to the commercialization of our product candidates or may otherwise fail in its commercialization efforts, in which event the commercialization of such product candidates could be delayed or terminated and our business could be substantially harmed. In addition, the terms of any collaboration or other arrangement that we establish may not be favorable to us or may not be perceived as favorable, which may negatively impact our business, financial condition, results of operations and prospects.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3" w:name="page54"/>
    <w:bookmarkEnd w:id="53"/>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third parties on which we rely to conduct our preclinical and clinical trials, do not perform as contractually required, fail to satisfy regulatory or legal requirements or miss expected deadlines, our development programs could be delayed with material and adverse effects on our business, financial condition, results of operations and prospects.</w:t>
      </w:r>
    </w:p>
    <w:p>
      <w:pPr>
        <w:spacing w:after="0" w:line="6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rely, and expect we will continue to rely, on third-party investigators, CROs, data management organizations and consultants to conduct, supervise and monitor our ongoing clinical trials and preclinical studies. Because we rely on these third parties and do not have the ability to conduct preclinical studies or clinical trials independently, we have less control over the timing, quality and other aspects of preclinical studies and clinical trials than we would have had we conducted them on our own. These investigators, CROs and consultants are not our employees and we will have limited control over the amount of time and resources that they dedicate to our development programs. These third parties may have contractual relationships with other entities, some of which may be our competitors, which may draw time and resources from our development programs. The third parties with whom we contract might not be diligent, careful or timely in conducting our preclinical studies or clinical trials, resulting in the preclinical studies or clinical trials being delayed or unsuccessful.</w:t>
      </w:r>
    </w:p>
    <w:p>
      <w:pPr>
        <w:spacing w:after="0" w:line="16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If we do 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development programs could be delayed and otherwise adversely affected. Furthermore, we depend on the availability of various animals to conduct certain preclinical studies that we are required to complete prior to submitting an IND and initiating clinical development or to continue clinical development, including pharmacological and toxicology evaluations. There is currently a shortage of animals available for drug development due to an increase in demand from companies conducting research in the U.S., EU, and China. This has caused the cost of obtaining animals for our preclinical studies to increase dramatically, and if the shortage continues, could also result in delays to our development timelines. In all events, we are responsible for ensuring that each of our preclinical studies and clinical trials are conducted in accordance with the general investigational plan, protocols for the trial and regulatory requirements. The FDA requires preclinical studies to be conducted in accordance with GLPs and clinical trials to be conducted in accordance with GCPs, including for designing, conducting, recording and reporting the results of preclinical studies and clinical trials to assure that data and reported results are credible and accurate and that the rights, integrity and confidentiality of clinical trial participants are protected. Our reliance on third parties that we do not control does not relieve us of these responsibilities and requirements. Any adverse development or delay in our preclinical studies and clinical trials could have a material and adverse effect on our business, financial condition, results of operations and prospects.</w:t>
      </w:r>
    </w:p>
    <w:p>
      <w:pPr>
        <w:spacing w:after="0" w:line="291"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for the manufacture of our product candidates for preclinical studies and our ongoing clinical trials, and we expect to continue to do so for additional clinical trials and ultimately commercialization. This reliance on third parties increases the risk that we will not have sufficient quantities of our product candidates or products, if approved, or such quantities at an acceptable cost, which could delay, prevent or impair our development or commercialization efforts.</w:t>
      </w:r>
    </w:p>
    <w:p>
      <w:pPr>
        <w:spacing w:after="0" w:line="7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rely, and expect we will continue to rely, on third-party contract manufacturers to manufacture our preclinical and clinical trial product supplies and the raw materials used to create our product candidates. We do not own manufacturing facilities for producing such supplies, and we do not have long-term manufacturing agreements. Furthermore, the raw materials for our product candidates may be sourced, in some cases, from a single-source supplier. If we were to experience an unexpected loss of supply of any of our product candidates or any of our future product candidates for any reason, whether as a result of manufacturing, supply or storage issues or otherwise, we could experience delays, disruptions, suspensions or terminations of, or be required to restart or repeat, any pending or ongoing clinical trials. We cannot assure you that our preclinical and clinical development product supplies or raw materials will not be limited, interrupted, or be of satisfactory quality or continue to be available at acceptable prices. In particular, any replacement of a manufacturer could require significant effort and expertise because there are a limited number of qualified replacements. The technical skills or technology required to manufacture our product candidates may be unique or proprietary to the original manufacturer and we may have difficulty transferring such skills or technology to another third party and a feasible alternative may not exist. These factors would increase our reliance on such manufacturer or require us to obtain a license from such manufacturer in order to have another third-party manufacture our product candidates.</w:t>
      </w:r>
    </w:p>
    <w:p>
      <w:pPr>
        <w:spacing w:after="0" w:line="192"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If we submit an application for regulatory approval of any of our product candidates, the facilities used by our contract manufacturers to manufacture our product candidates will be subject to inspection by the FDA or other regulatory authorities. If our contract manufacturers cannot successfully manufacture material that conforms to our specifications and the strict regulatory requirements of the FDA or others or if they are unable to maintain a compliance status acceptable to the FDA or other regulatory authorities, approval of our product candidates may be delayed or we may need to find alternative manufacturing facilities, which would significantly impact our ability to develop, obtain regulatory approval for or market our product candidates, if approved.</w:t>
      </w:r>
    </w:p>
    <w:p>
      <w:pPr>
        <w:spacing w:after="0" w:line="174"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expect to continue to rely on third-party manufacturers if we receive regulatory approval for any product candidate. If we are unable to obtain or maintain third-party manufacturing for product candidates, or to do so on commercially reasonable terms, we may not be able to develop and commercialize our product candidates successfully. Even if we are able to establish agreements with third-party manufacturers, reliance on third-party manufacturers entails additional risks, including:</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4" w:name="page55"/>
    <w:bookmarkEnd w:id="54"/>
    <w:p>
      <w:pPr>
        <w:ind w:left="1000" w:right="20" w:hanging="368"/>
        <w:spacing w:after="0" w:line="266"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third party to manufacture our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w:t>
      </w:r>
    </w:p>
    <w:p>
      <w:pPr>
        <w:spacing w:after="0" w:line="6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reduction or termination of production or deliveries by suppliers, or the raising of prices or renegotiation of terms;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or nonrenewal of arrangements or agreements by our third-party contractors at a time that is costly or inconvenient for us;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breach by the third-party contractors of our agreements with them;</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third-party contractors to comply with applicable regulatory requirements;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third party to manufacture our product candidates according to our specifications;</w:t>
      </w:r>
    </w:p>
    <w:p>
      <w:pPr>
        <w:spacing w:after="0" w:line="117" w:lineRule="exact"/>
        <w:rPr>
          <w:rFonts w:ascii="Times New Roman" w:cs="Times New Roman" w:eastAsia="Times New Roman" w:hAnsi="Times New Roman"/>
          <w:sz w:val="18"/>
          <w:szCs w:val="18"/>
          <w:color w:val="auto"/>
        </w:rPr>
      </w:pPr>
    </w:p>
    <w:p>
      <w:pPr>
        <w:ind w:left="1000" w:right="680" w:hanging="368"/>
        <w:spacing w:after="0" w:line="282"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mislabeling of clinical supplies, potentially resulting in the wrong dose amounts being supplied or active drug not being properly identified;</w:t>
      </w:r>
    </w:p>
    <w:p>
      <w:pPr>
        <w:spacing w:after="0" w:line="53" w:lineRule="exact"/>
        <w:rPr>
          <w:rFonts w:ascii="Times New Roman" w:cs="Times New Roman" w:eastAsia="Times New Roman" w:hAnsi="Times New Roman"/>
          <w:sz w:val="18"/>
          <w:szCs w:val="18"/>
          <w:color w:val="auto"/>
        </w:rPr>
      </w:pPr>
    </w:p>
    <w:p>
      <w:pPr>
        <w:ind w:left="1020" w:right="80" w:hanging="38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supplies not being delivered to clinical sites on time, leading to clinical trial interruptions, or of drug supplies not being distributed to commercial vendors in a timely manner, resulting in lost sales; and</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misappropriation of our proprietary information, including our trade secrets and know-how.</w:t>
      </w:r>
    </w:p>
    <w:p>
      <w:pPr>
        <w:spacing w:after="0" w:line="19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we have no material long-term contracts with our suppliers, and we compete with other companies for raw materials and production. We may experience a significant disruption in the supply of raw materials from current sources or, in the event of a disruption, we may be unable to locate alternative materials suppliers of comparable quality at an acceptable price, or at all. In addition, if we experience significant increased demand, or if we need to replace an existing supplier, we may be unable to locate additional supplies of raw materials on terms that are acceptable to us, or at all, or we may be unable to locate any supplier with sufficient capacity to meet our requirements or to fill our orders in a timely manner. Identifying a suitable supplier is an involved process that requires us to become satisfied with their quality control, responsiveness and service, financial stability and labor and other ethical practices. Even if we are able to expand existing sources, we may encounter delays in production and added costs as a result of the time it takes to train suppliers in our methods, products and quality control standards.</w:t>
      </w:r>
    </w:p>
    <w:p>
      <w:pPr>
        <w:spacing w:after="0" w:line="296"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manufacture of biotechnology products is complex, and manufacturers often encounter difficulties in production. If we or any of our third-party manufacturers encounter any loss of materials or if any of our third-party manufacturers encounter other difficulties, or otherwise fail to comply with their contractual or regulatory obligations, our ability to provide product candidates for clinical trials or our products to patients, once approved, the development or commercialization of our product candidates could be delayed or stopped.</w:t>
      </w:r>
    </w:p>
    <w:p>
      <w:pPr>
        <w:spacing w:after="0" w:line="72"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manufacture of biotechnology products is complex and requires significant expertise and capital investment, including the development of advanced manufacturing techniques and process controls. We and our contract manufacturers must comply with cGMPs, regulations and guidelines for the manufacturing of biologics used in clinical trials and, if approved, marketed products. In order to conduct clinical trials of our product candidates, we and existing and future collaborators will need to manufacture them in large quantities and in accordance with cGMPs. Manufacturers of biotechnology products often encounter difficulties in production, particularly in scaling up and validating initial production. In addition, if microbial, viral or other contaminations are discovered in our products or in the manufacturing facilities in which our products are made, such manufacturing facilities may need to be closed for an extended period of time to investigate and remedy the contamination. Delays in raw materials availability and supply may also extend the period of time required to develop our products. Furthermore, changes in our manufacturing methods may require comparability studies, including clinical bridging studies, which may result in delays to the approval process for our product candidates.</w:t>
      </w:r>
    </w:p>
    <w:p>
      <w:pPr>
        <w:spacing w:after="0" w:line="175"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All of our therapeutic antibodies are manufactured by starting with cells from a cell bank. In accordance with cGMPs, we produce one master cell bank for each antibody manufactured, which is then stored in multiple locations to reduce the risk of loss. We have also created a working cell bank for certain manufactured antibodies. While we believe we will have adequate backup should any cell bank be lost in a catastrophic event, and we take precautions when transporting our cell banks, it is possible that we could lose multiple cell banks and have our manufacturing severely impacted by the need to replace the cell banks.</w:t>
      </w:r>
    </w:p>
    <w:p>
      <w:pPr>
        <w:spacing w:after="0" w:line="156" w:lineRule="exact"/>
        <w:rPr>
          <w:sz w:val="20"/>
          <w:szCs w:val="20"/>
          <w:color w:val="auto"/>
        </w:rPr>
      </w:pPr>
    </w:p>
    <w:p>
      <w:pPr>
        <w:ind w:right="100" w:firstLine="509"/>
        <w:spacing w:after="0" w:line="268" w:lineRule="auto"/>
        <w:rPr>
          <w:sz w:val="20"/>
          <w:szCs w:val="20"/>
          <w:color w:val="auto"/>
        </w:rPr>
      </w:pPr>
      <w:r>
        <w:rPr>
          <w:rFonts w:ascii="Times New Roman" w:cs="Times New Roman" w:eastAsia="Times New Roman" w:hAnsi="Times New Roman"/>
          <w:sz w:val="17"/>
          <w:szCs w:val="17"/>
          <w:color w:val="auto"/>
        </w:rPr>
        <w:t>We cannot assure you that any stability or other issues relating to the manufacture of any of our product candidates or products will not occur in the future. Additionally, our manufacturers may experience manufacturing difficulties due to resource constraints or as a result of labor disputes or unstable political environments. If our manufacturers were to encounter any of these difficulties, or otherwise fail to comply with their contractual obligations, our ability to provide any product candidates to patients in planned clinical trials and products to patients, once approved, would be jeopardized. Any delay or interruption in the supply of clinical trial supplies could delay the completion of planned clinical trials, increase the costs associated with maintaining clinical trial programs and, depending upon the period of delay, require us to commence new clinical trials at additional expense or terminate clinical trials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5" w:name="page56"/>
    <w:bookmarkEnd w:id="55"/>
    <w:p>
      <w:pPr>
        <w:spacing w:after="0" w:line="256" w:lineRule="auto"/>
        <w:rPr>
          <w:sz w:val="20"/>
          <w:szCs w:val="20"/>
          <w:color w:val="auto"/>
        </w:rPr>
      </w:pPr>
      <w:r>
        <w:rPr>
          <w:rFonts w:ascii="Times New Roman" w:cs="Times New Roman" w:eastAsia="Times New Roman" w:hAnsi="Times New Roman"/>
          <w:sz w:val="18"/>
          <w:szCs w:val="18"/>
          <w:color w:val="auto"/>
        </w:rPr>
        <w:t>completely. Any adverse developments affecting clinical or commercial manufacturing of our product candidates or products may result in shipment delays, inventory shortages, lot failures, product withdrawals or recalls, or other interruptions in the supply of our product candidates or products or enforcement actions by regulatory authorities. We may also have to take inventory write-offs and incur other charges and expenses for product candidates or products that fail to meet specifications, undertake costly remediation efforts or seek more costly manufacturing alternatives. Accordingly, failures or difficulties faced at any level of our supply chain could adversely affect our business and delay or impede the development and commercialization of any of our product candidates or products and could have an adverse effect on our business, financial condition, results of operations and prospects.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17"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maintain and protect our intellectual property rights in any product candidates or technologies we develop, or if the scope of the intellectual property protection obtained is not sufficiently broad, third parties could develop and commercialize products and technology similar or identical to ours, and we may not be able to compete effectively in our market.</w:t>
      </w:r>
    </w:p>
    <w:p>
      <w:pPr>
        <w:spacing w:after="0" w:line="6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Our success depends in part on our ability to obtain and maintain patents and other forms of intellectual property rights, including in-licenses of intellectual property rights of others, for our product candidates, methods used to develop and manufacture our product candidates and methods for treating patients using our product candidates, as well as our ability to preserve our trade secrets, to prevent third parties from infringing upon our proprietary rights and to operate without infringing upon the proprietary rights of others. The patent process is expensive and time-consuming, and we may not be able to apply for patents on certain aspects of our product candidates in a timely fashion, at a reasonable cost, in all jurisdictions, or at all. Our existing issued and granted patents and any future patents we obtain may not be sufficiently broad to prevent others from using our technology or from developing competing products and technology. There is no guarantee that any of our pending patent applications will result in issued or granted patents, that any of our issued or granted patents will not later be found to be invalid or unenforceable or that any issued or granted patents will include claims that are sufficiently broad to cover our product candidates or to provide meaningful protection from our competitors.</w:t>
      </w:r>
    </w:p>
    <w:p>
      <w:pPr>
        <w:spacing w:after="0" w:line="175" w:lineRule="exact"/>
        <w:rPr>
          <w:sz w:val="20"/>
          <w:szCs w:val="20"/>
          <w:color w:val="auto"/>
        </w:rPr>
      </w:pPr>
    </w:p>
    <w:p>
      <w:pPr>
        <w:ind w:right="240" w:firstLine="509"/>
        <w:spacing w:after="0" w:line="256" w:lineRule="auto"/>
        <w:rPr>
          <w:sz w:val="20"/>
          <w:szCs w:val="20"/>
          <w:color w:val="auto"/>
        </w:rPr>
      </w:pPr>
      <w:r>
        <w:rPr>
          <w:rFonts w:ascii="Times New Roman" w:cs="Times New Roman" w:eastAsia="Times New Roman" w:hAnsi="Times New Roman"/>
          <w:sz w:val="18"/>
          <w:szCs w:val="18"/>
          <w:color w:val="auto"/>
        </w:rPr>
        <w:t>Moreover, the patent position of biotechnology and biopharmaceutical companies can be highly uncertain because it involves complex legal and factual issues. We will be able to protect our proprietary rights from unauthorized use by third parties only to the extent that our current and future proprietary technology and product candidates are covered by valid and enforceable patents or are effectively maintained as trade secrets. If third parties disclose or misappropriate our proprietary rights, it may materially and adversely affect our position in the market. Furthermore, even if they are unchallenged, our patents and patent applications may not adequately protect our intellectual property, provide exclusivity for our product candidates, or prevent others from designing around our patent claims.</w:t>
      </w:r>
    </w:p>
    <w:p>
      <w:pPr>
        <w:spacing w:after="0" w:line="16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Once granted, patents may remain open to opposition, interference, re-examination, post-grant review, inter partes review, nullification or derivation action in court or before patent offices or similar proceedings for a given period after allowance or grant, during which time third parties can raise objections against granted patents. In the course of such proceedings, which may continue for a protracted period of time, the patent owner may be compelled to limit the scope of the allowed or granted patent claims thus attacked, or may lose the allowed or granted claims altogether. In the past we have been party to a patent opposition proceeding at the European Patent Office, or EPO, and we may in the future become party to patent opposition proceedings in the EPO or similar proceedings in other foreign patent offices. In addition, we cannot assure you that:</w:t>
      </w:r>
    </w:p>
    <w:p>
      <w:pPr>
        <w:spacing w:after="0" w:line="79" w:lineRule="exact"/>
        <w:rPr>
          <w:sz w:val="20"/>
          <w:szCs w:val="20"/>
          <w:color w:val="auto"/>
        </w:rPr>
      </w:pPr>
    </w:p>
    <w:p>
      <w:pPr>
        <w:ind w:left="1000" w:hanging="36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obtain, maintain, protect and enforce intellectual property protection for our technologies and product candidates.</w:t>
      </w:r>
    </w:p>
    <w:p>
      <w:pPr>
        <w:spacing w:after="0" w:line="117" w:lineRule="exact"/>
        <w:rPr>
          <w:rFonts w:ascii="Times New Roman" w:cs="Times New Roman" w:eastAsia="Times New Roman" w:hAnsi="Times New Roman"/>
          <w:sz w:val="18"/>
          <w:szCs w:val="18"/>
          <w:color w:val="auto"/>
        </w:rPr>
      </w:pPr>
    </w:p>
    <w:p>
      <w:pPr>
        <w:ind w:left="1000" w:right="260" w:hanging="368"/>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will not or may not be able to make, use or sell compounds that are the same as or similar to our product candidates but that are not covered by the claims of the patents that we own or license.</w:t>
      </w:r>
    </w:p>
    <w:p>
      <w:pPr>
        <w:spacing w:after="0" w:line="53" w:lineRule="exact"/>
        <w:rPr>
          <w:rFonts w:ascii="Times New Roman" w:cs="Times New Roman" w:eastAsia="Times New Roman" w:hAnsi="Times New Roman"/>
          <w:sz w:val="18"/>
          <w:szCs w:val="18"/>
          <w:color w:val="auto"/>
        </w:rPr>
      </w:pPr>
    </w:p>
    <w:p>
      <w:pPr>
        <w:ind w:left="1000" w:right="440" w:hanging="368"/>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our existing or future collaborators are the first to make the inventions covered by each of our issued patents and pending patent applications that we own or license.</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our existing or future collaborators are the first to file patent applications covering certain aspects of our inventions.</w:t>
      </w:r>
    </w:p>
    <w:p>
      <w:pPr>
        <w:spacing w:after="0" w:line="117" w:lineRule="exact"/>
        <w:rPr>
          <w:rFonts w:ascii="Times New Roman" w:cs="Times New Roman" w:eastAsia="Times New Roman" w:hAnsi="Times New Roman"/>
          <w:sz w:val="18"/>
          <w:szCs w:val="18"/>
          <w:color w:val="auto"/>
        </w:rPr>
      </w:pPr>
    </w:p>
    <w:p>
      <w:pPr>
        <w:ind w:left="1000" w:right="700" w:hanging="368"/>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will not independently develop similar or alternative technologies or duplicate any of our technologies without infringing our intellectual property rights.</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 party may not challenge our patents and, if challenged, that a court would hold that our patents are valid, enforceable and infringed.</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issued patents that we own or have licensed will provide us with any competitive advantage, or will not be challenged by third parties.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develop or in-license additional proprietary technologies that are patentable.</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patent applications that we own or may license will lead to issued patents.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56" w:name="page57"/>
    <w:bookmarkEnd w:id="56"/>
    <w:p>
      <w:pPr>
        <w:ind w:left="1000" w:hanging="36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will not have a material or adverse effect on our business, financial condition, results of operations and prospects.</w:t>
      </w:r>
    </w:p>
    <w:p>
      <w:pPr>
        <w:spacing w:after="0" w:line="117" w:lineRule="exact"/>
        <w:rPr>
          <w:rFonts w:ascii="Times New Roman" w:cs="Times New Roman" w:eastAsia="Times New Roman" w:hAnsi="Times New Roman"/>
          <w:sz w:val="18"/>
          <w:szCs w:val="18"/>
          <w:color w:val="auto"/>
        </w:rPr>
      </w:pPr>
    </w:p>
    <w:p>
      <w:pPr>
        <w:ind w:left="1000" w:right="40" w:hanging="368"/>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do not conduct research and development activities in countries where we do not have enforceable patent rights and then use the information learned from such activities to develop competitive products for sale in our commercial markets.</w:t>
      </w:r>
    </w:p>
    <w:p>
      <w:pPr>
        <w:spacing w:after="0" w:line="135"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If the breadth or strength of protection provided by the patents and patent applications we hold, obtain or pursue with respect to our product candidates is challenged, or if they fail to provide meaningful exclusivity for our product candidates, it could threaten our ability to practice our technologies or commercialize our product candidates. We cannot offer any assurances about which, if any, patents will issue, the breadth of any such patent, or whether any issued patents will be found invalid and unenforceable or will be threatened by third parties. Furthermore, an interference or derivation proceeding can be provoked by a third party or instituted by a patent office or in a court proceeding, to determine who was the first to invent any of the subject matter covered by the patent claims of our applications.</w:t>
      </w:r>
    </w:p>
    <w:p>
      <w:pPr>
        <w:spacing w:after="0" w:line="17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Where we obtain licenses from third parties, in some circumstances, we may not have the right to control the preparation, filing and prosecution of patent applications, or to maintain the patents, covering technology that we license from third parties. We may also require the cooperation of our licensors to enforce any licensed patent rights, and such cooperation may not be provided. Therefore, these patents and applications may not be prosecuted and enforced in a manner consistent with the best interests of our business. Moreover, if we do obtain necessary licenses, we will likely have obligations under those licenses, and any failure to satisfy those obligations could give our licensor the right to terminate the license. Termination of a necessary license could have a material adverse impact on our business.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addition to seeking patent protection for certain aspects of our product candidates, we also consider trade secrets, including confidential and unpatented know-how important to the maintenance of our competitive position. We seek to protect trade secrets and confidential and unpatented know-how, in part, by entering into non-disclosure and confidentiality agreements with parties who have access to such knowledge, such as our employees, corporate collaborators, outside scientific collaborators, CROs, contract manufacturers, consultants, advisors and other third parties. We also enter into confidentiality and invention or patent assignment agreements with our employees and consultants that obligate them to maintain confidentiality and assign their inventions to us. We also seek to preserve the integrity and confidentiality of our data, trade secrets and know-how by maintaining physical security of our premises and physical and electronic security of our information technology systems. Monitoring unauthorized uses and disclosures is difficult, and we do not know whether the steps we have taken to protect our proprietary technologies will be effective. We cannot guarantee that our trade secrets and other proprietary and confidential information will not be disclosed or that competitors will not otherwise gain access to our trade secrets.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 the United States and certain foreign jurisdictions are less willing or unwilling to protect trade secrets. If any of our trade secrets were to be lawfully obtained or independently developed by a competitor, we would have no right to prevent them from using that technology or information to compete with us. If any of our trade secrets were to be disclosed to or independently developed by a competitor, our competitive position could be harmed.</w:t>
      </w:r>
    </w:p>
    <w:p>
      <w:pPr>
        <w:spacing w:after="0" w:line="169"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Trade secrets and know-how can be difficult to protect as trade secrets and know-how will over time be disseminated within the industry through independent development, the publication of journal articles, and the movement of personnel skilled in the art from company to company or academic to industry scientific positions. If any of our trade secrets were to be lawfully obtained or independently developed by a competitor, we would have no right to prevent such competitor from using that technology or information to compete with us, which could harm our competitive position. If we are unable to prevent material disclosure of the intellectual property related to our technologies to third parties, we will not be able to establish or maintain a competitive advantage in our market, which could materially adversely affect our business, results of operations and financial condition. Even if we are able to adequately protect our trade secrets and proprietary information, our trade secrets could otherwise become known or could be independently discovered by our competitors. Competitors could willfully infringe our intellectual property rights, design around our protected technology or develop their own competitive technologies that fall outside of our intellectual property rights. If any of our trade secrets were to be lawfully obtained or independently developed by a competitor, in the absence of patent protection, we would have no right to prevent them, or those to whom they communicate, from using that technology or information to compete with us. If our trade secrets are not adequately protected so as to protect our market against competitors’ products, others may be able to exploit our product candidates and discovery technologies to identify and develop competing product candidates, and thus our competitive position could be adversely affected, as could our business.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i w:val="1"/>
          <w:iCs w:val="1"/>
          <w:color w:val="auto"/>
        </w:rPr>
        <w:t>The terms of our patents may not protect our competitive position on our product candidates for an adequate amount of time.</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after its earliest U.S. non-provisional effective filing date. Although various extensions may be available, the life of a patent, and the protection it affords, is limited. Even if patents covering our technologies or product candidates are obtained, once the patent life has expired, we may be open to competition. Our issued patents will expire on dates ranging from 2030 to 2040, subject to any additional patent extensions that may be available for such patents. If patents are issued on our pending patent applications, the resulting patents are projected to expire on dates ranging from 2030 to 2044 plus any potential patent extensions that may be available for such patents. Due to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for our product candidates, our business may be materially harmed.</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FDA marketing approval of our product candidates, one or more of our U.S. patents may be eligible for limited patent term restoration under the Drug Price Competition and Patent Term Restoration Act of 1984, or the Hatch-Waxman Amendments. The Hatch-Waxman Amendments permit a patent restoration term of up to five years as compensation for patent term lost during product development and the FDA regulatory review process. A maximum of one patent may be extended per FDA-approved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or require. If we are unable to obtain patent term extension or restoration or the term of any such extension is less than we request or require,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spacing w:after="0" w:line="29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 patent reform legislation could increase the uncertainties and costs surrounding the prosecution of our patent applications and the enforcement or defense of our issued patents.</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September 2011, the Leahy-Smith America Invents Act, or Leahy-Smith Act, was signed into law. The Leahy-Smith Act includes several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another party was first to invent the claimed invention. A third party that filed or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render our technology to be patentable over the prior art. Since patent applications in the United States and most other countries are confidential for a period of time after filing or until issuance, we cannot be certain that we were the first to either (i) file any patent application related to our product candidates or (ii) invent any of the inventions claimed in our patents or patent applications.</w:t>
      </w:r>
    </w:p>
    <w:p>
      <w:pPr>
        <w:spacing w:after="0" w:line="165"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Leahy-Smith Act also includes several significant changes that affect the way patent applications will be prosecuted and also may affect patent litigation. These include allowing third-party submission of prior art to the USPTO during patent prosecution and the provision of additional procedures to attack the validity of a patent by USPTO 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17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Because of the application of a lower evidentiary standard in USPTO proceedings compared to the evidentiary standard applied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patent claims that would not have been invalidated if first challenged by the third party as a defendant in a district court action. Thus, the Leahy-Smith Act and its implementation could increase the uncertainties and costs surrounding the prosecution and defense of our or our licensors’ patent applications and the enforcement or defense of our issued patents, all of which could have a material adverse effect on our business, financial condition, results of operations and prospects.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8" w:name="page59"/>
    <w:bookmarkEnd w:id="58"/>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patent law or laws in other countries could diminish the value of patents in general, thereby impairing our ability to protect our product candidates.</w:t>
      </w:r>
    </w:p>
    <w:p>
      <w:pPr>
        <w:spacing w:after="0" w:line="5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involves a high degree of technological and legal complexity. Therefore, obtaining and enforcing biopharmaceutical patents is costly, time-consuming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spacing w:after="0" w:line="16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For example, the U.S. Supreme Court has ruled on several patent cases in recent years, sometimes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patents and the patents we might obtain or license in the future.</w:t>
      </w:r>
    </w:p>
    <w:p>
      <w:pPr>
        <w:spacing w:after="0" w:line="291"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Other companies or organizations may challenge our or our licensors’ patent rights or may assert patent rights that prevent us from developing and commercializing our products.</w:t>
      </w:r>
    </w:p>
    <w:p>
      <w:pPr>
        <w:spacing w:after="0" w:line="5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CAB therapeutics are a new scientific field. We have obtained grants and issuances of CAB therapeutic patents and the various technologies used in discovering and producing CAB therapeutic proteins. The issued patents and pending patent applications in the United States and in key markets around the world that we own or license claim many different methods, compositions and processes relating to the discovery, development, manufacture and commercialization of antibody and immunoregulatory therapeutics. Specifically, we own a portfolio of patents, patent applications and other intellectual property covering CAB compositions of matter as well as their development and methods of use.</w:t>
      </w:r>
    </w:p>
    <w:p>
      <w:pPr>
        <w:spacing w:after="0" w:line="170"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As the field of antibody and immunoregulatory therapeutics matures, patent applications are being processed by national patent offices around the world. There is uncertainty about which patents will issue, and, if they do, as to when, to whom, and with what claims. In addition, third parties may attempt to invalidate our intellectual property rights. Even if our rights are not directly challenged, disputes could lead to the weakening of our intellectual property rights. Our defense against any attempt by third parties to circumvent or invalidate our intellectual property rights could be costly to us, could require significant time and attention of our management and could have a material and adverse effect on our business, financial condition, results of operations and prospects or our ability to successfully compete.</w:t>
      </w:r>
    </w:p>
    <w:p>
      <w:pPr>
        <w:spacing w:after="0" w:line="160"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There are many issued and pending patents that claim aspects of our product candidates and modifications that we may need to apply to our product candidates. There are also many issued patents that claim antibodies or portions of antibodies that may be relevant for CAB products we wish to develop. Thus, it is possible that one or more organizations will hold patent rights to which we will need a license. If those organizations refuse to grant us a license to such patent rights on reasonable terms, we may not be able to market products or perform research and development or other activities covered by these patents.</w:t>
      </w:r>
    </w:p>
    <w:p>
      <w:pPr>
        <w:spacing w:after="0" w:line="287"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rights of third parties could prevent or delay our drug discovery and development efforts and could adversely affect our ability to commercialize our product candidates, and we might be required to litigate or obtain licenses from third parties in order to discover, develop or market our product candidates. Such litigation or licenses could be costly or not available on commercially reasonable terms.</w:t>
      </w:r>
    </w:p>
    <w:p>
      <w:pPr>
        <w:spacing w:after="0" w:line="67"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Our commercial success depends in part on our ability to develop, manufacture, market and sell our product candidates and use our proprietary technologies without infringing or otherwise violating the patents and proprietary rights of third parties. There is a substantial amount of litigation involving patent and other intellectual property rights in the biotechnology and pharmaceutical industries, including patent infringement lawsuits, interferences, derivation proceedings, post grant reviews, inter partes reviews, and reexamination proceedings before the USPTO or oppositions and other comparable proceedings in foreign jurisdictions. Given the vast number of patents in our field of technology, we cannot assure you that marketing of our product candidates or practice of our technologies will not infringe existing patents or patents that may be granted in the future. Because the antibody landscape is still evolving and the CAB antibody landscape is a new field, it is difficult to conclusively assess our freedom to operate without infringing on third-party rights. There are numerous companies that have pending patent applications and issued patents broadly covering many aspects of antibodies generally or covering antibodies directed against the same targets as, or targets similar to, those we are pursuing. Our competitive position may suffer if patents issued to third parties or other third-party intellectual property rights cover our products or product candidates or elements thereof, or our manufacture or uses relevant to our development plans. If any third-party patents were held by a court of competent jurisdiction to cover the manufacturing process of any of our product candidates, any molecules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9" w:name="page60"/>
    <w:bookmarkEnd w:id="59"/>
    <w:p>
      <w:pPr>
        <w:spacing w:after="0" w:line="253" w:lineRule="auto"/>
        <w:rPr>
          <w:sz w:val="20"/>
          <w:szCs w:val="20"/>
          <w:color w:val="auto"/>
        </w:rPr>
      </w:pPr>
      <w:r>
        <w:rPr>
          <w:rFonts w:ascii="Times New Roman" w:cs="Times New Roman" w:eastAsia="Times New Roman" w:hAnsi="Times New Roman"/>
          <w:sz w:val="18"/>
          <w:szCs w:val="18"/>
          <w:color w:val="auto"/>
        </w:rPr>
        <w:t>formed during the manufacturing process or any final product or formulation itself, the holders of any such patents may be able to block our ability to commercialize such product candidate. In such cases, we may not be in a position to develop or commercialize products or product candidates unless we successfully pursue litigation to nullify or invalidate the third-party intellectual property right concerned, or enter into a license agreement with the intellectual property right holder, if available on commercially reasonable terms. Parties making claims against us may obtain injunctive or other equitable relief, which could effectively block our ability to further practice our technologies or develop and commercialize one or more of our product candidates. There may be issued patents of which we are not aware, held by third parties that, if found to be valid and enforceable, could be alleged to be infringed by our CAB technologies. There also may be pending patent applications of which we are not aware that may result in issued patents, which could be alleged to be infringed by our CAB technologies. If such an infringement claim should be brought and be successful, we may be required to pay substantial damages, be forced to abandon our product candidates or seek a license from any patent holders, and would most likely be required to pay license fees or royalties or both, each of which could be substantial. No assurances can be given that a license will be available on commercially reasonable terms, if at all. Even if we were able to obtain a license, the rights we obtain may be nonexclusive, which would provide our competitors access to the same intellectual property rights upon which we are forced to rely. As the biotechnology and pharmaceutical industries expand and more patents are issued, the risk increases that our product candidates or technologies may give rise to claims of infringement of the patent rights of others.</w:t>
      </w:r>
    </w:p>
    <w:p>
      <w:pPr>
        <w:spacing w:after="0" w:line="16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or our collaboration partner, or any future strategic partners may be subject to third-party claims for infringement or misappropriation of patent or other proprietary rights. If we or our licensors, or any future strategic partners are found to infringe a third-party patent or other intellectual property rights, we could be required to pay damages, potentially including treble damages, if we are found to have willfully infringed. In addition, we or our licensors, or any future strategic partners may choose to seek, or be required to seek, a license from a third party, which may not be available on acceptable terms, if at all. Even if a license can be obtained on acceptable terms, the rights may be non-exclusive, which could give our competitors access to the same technology or intellectual property rights licensed to us. If we fail to obtain a required license, we or our existing or future collaborators may be unable to effectively market product candidates based on our technology, which could limit our ability to generate revenue or achieve profitability and possibly prevent us from generating revenue sufficient to sustain our operations. In addition, we may find it necessary to pursue claims or initiate lawsuits to protect or enforce our patent or other intellectual property rights. 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w:t>
      </w:r>
    </w:p>
    <w:p>
      <w:pPr>
        <w:spacing w:after="0" w:line="291"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5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 For example, U.S. applications filed before November 29, 2000, and certain U.S. applications filed after that date that will not be filed outside the United States, remain confidential until patents issue. Patent applications in the United States and elsewhere are published approximately 18 months after the earliest filing for which priority is claimed, with such earliest filing date being commonly referred to as the priority date. Therefore, patent applications covering our product candidates or technologies could have been filed by others without our knowledge. Additionally, pending patent applications that have been published can, subject to certain limitations, be later amended in a manner that could cover our platform technologies, our products or the use of our products. Third-party intellectual property right holders may also actively bring infringement claims against us, even if we have received patent protection for our technologies and product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product candidates.</w:t>
      </w:r>
    </w:p>
    <w:p>
      <w:pPr>
        <w:spacing w:after="0" w:line="18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If we fail to identify and correctly interpret relevant patents, we may be subject to infringement claims. We cannot guarantee that we will be able to successfully settle or otherwise resolve such infringement claims. If we are unable to successfully settle future claims on terms acceptable to us, we may be required to engage in or continue costly, unpredictable and time-consuming litigation and may be prevented from or experience substantial delays in marketing our products. If we fail in any such dispute, in addition to being forced to pay damages, we may be temporarily or permanently prohibited from commercializing any of our product candidates that are held to be infringing. We might, if possible, also be forced to redesign product candidates or our technologies so that we no longer</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0" w:name="page61"/>
    <w:bookmarkEnd w:id="60"/>
    <w:p>
      <w:pPr>
        <w:ind w:right="660"/>
        <w:spacing w:after="0" w:line="282" w:lineRule="auto"/>
        <w:rPr>
          <w:sz w:val="20"/>
          <w:szCs w:val="20"/>
          <w:color w:val="auto"/>
        </w:rPr>
      </w:pPr>
      <w:r>
        <w:rPr>
          <w:rFonts w:ascii="Times New Roman" w:cs="Times New Roman" w:eastAsia="Times New Roman" w:hAnsi="Times New Roman"/>
          <w:sz w:val="18"/>
          <w:szCs w:val="18"/>
          <w:color w:val="auto"/>
        </w:rPr>
        <w:t>infringe the third-party intellectual property rights. Any of these events, even if we were ultimately to prevail, could require us to divert substantial financial and management resources that we would otherwise be able to devote to our business.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may also be subject to claims that former employees, collaborators or other third parties have an ownership interest in our patents or other intellectual property. We may have ownership disputes in the future arising, for example, from conflicting obligations of consultants or others who are involved in developing our product candidates.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9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licensors, which could be expensive, time-consuming and unsuccessful, and issued patents covering our product candidates could be found invalid or unenforceable if challenged in court in the United States or abroad.</w:t>
      </w:r>
    </w:p>
    <w:p>
      <w:pPr>
        <w:spacing w:after="0" w:line="67"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Competitors may infringe our patents or the patents of our licensors. If we were to initiate legal proceedings against a third party to enforce a patent covering one of our products or our technology, the defendant could counterclaim that our patent is invalid or unenforceable, or the court may refuse to stop the defendant in such infringement proceeding from using the technology at issue on the grounds that our patents do not cover the technology in question. In patent litigation in the United States, defendant counterclaims alleging invalidity 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one or more of our products or certain aspects of our platform technology. Such a loss of patent protection could have a material and adverse effect on our business, financial condition, results of operations and prospects. Patents and other intellectual property rights also will not protect our technology if competitors design around our protected technology without legally infringing our patents or other intellectual property rights.</w:t>
      </w:r>
    </w:p>
    <w:p>
      <w:pPr>
        <w:spacing w:after="0" w:line="174"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Interference or derivation proceedings provoked by third parties or brought by us, the USPTO or any foreign patent authority may be necessary to determine the priority and/or ownership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if any license is offered at all. Our defense of litigation or interference proceedings may fail and, even if successful, may result in substantial costs and distract our management and other employees.</w:t>
      </w:r>
    </w:p>
    <w:p>
      <w:pPr>
        <w:spacing w:after="0" w:line="156"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may not be able to prevent, alone or with our licensors, misappropriation of our intellectual property, trade secrets or confidential information, particularly in countries where the laws may not protect those rights as fully as in the United States.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21" w:lineRule="exact"/>
        <w:rPr>
          <w:sz w:val="20"/>
          <w:szCs w:val="20"/>
          <w:color w:val="auto"/>
        </w:rPr>
      </w:pPr>
    </w:p>
    <w:p>
      <w:pPr>
        <w:ind w:right="80" w:firstLine="509"/>
        <w:spacing w:after="0" w:line="252" w:lineRule="auto"/>
        <w:rPr>
          <w:sz w:val="20"/>
          <w:szCs w:val="20"/>
          <w:color w:val="auto"/>
        </w:rPr>
      </w:pPr>
      <w:r>
        <w:rPr>
          <w:rFonts w:ascii="Times New Roman" w:cs="Times New Roman" w:eastAsia="Times New Roman" w:hAnsi="Times New Roman"/>
          <w:sz w:val="18"/>
          <w:szCs w:val="18"/>
          <w:color w:val="auto"/>
        </w:rPr>
        <w:t>Obtaining a valid and enforceable issued or granted patent covering our technology in the United States and worldwide can be extremely costly. In jurisdictions where we have not obtained patent protection, competitors may use our technology to develop their own products and further, may export otherwise infringing products to territories where we have patent protection, but where it is more difficult to enforce a patent as compared to the United States. Competitor products may compete with our future products in jurisdictions where we do not have issued or granted patents or where our issued or granted patent claims or other intellectual property rights are not sufficient to prevent competitor activities in these jurisdictions. The legal systems of certain countries, particularly certain developing countries, make it difficult to enforce patents and such countries may not recognize other types of intellectual property protection, particularly that relating to biopharmaceuticals. This could make it difficult for us to prevent the infringement of our patents or marketing of competing products in violation of our proprietary rights in certain jurisdictions. Proceedings to enforce our patent rights in foreign jurisdictions, regardless of whether they are successful, could result in substantial cost and divert our efforts and attention from other aspects of our business. Similarly, if our trade secrets are disclosed in a foreign jurisdiction,</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61" w:name="page62"/>
    <w:bookmarkEnd w:id="61"/>
    <w:p>
      <w:pPr>
        <w:ind w:right="600"/>
        <w:spacing w:after="0" w:line="266" w:lineRule="auto"/>
        <w:rPr>
          <w:sz w:val="20"/>
          <w:szCs w:val="20"/>
          <w:color w:val="auto"/>
        </w:rPr>
      </w:pPr>
      <w:r>
        <w:rPr>
          <w:rFonts w:ascii="Times New Roman" w:cs="Times New Roman" w:eastAsia="Times New Roman" w:hAnsi="Times New Roman"/>
          <w:sz w:val="18"/>
          <w:szCs w:val="18"/>
          <w:color w:val="auto"/>
        </w:rPr>
        <w:t>competitors worldwide could have access to our proprietary information and we may be without satisfactory recourse. Such disclosure could have a material adverse effect on our business. Moreover, our ability to protect and enforce our intellectual property rights may be adversely affected by unforeseen changes in foreign intellectual property laws.</w:t>
      </w:r>
    </w:p>
    <w:p>
      <w:pPr>
        <w:spacing w:after="0" w:line="149"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 xml:space="preserve">We generally file a provisional patent application first (a priority filing) at the USPTO. An international application under the Patent Cooperation Treaty (“PCT”) is usually filed within 12 months after the priority filing. Based on the PCT filing, national and regional patent applications may be filed in the United States, Europe, Japan, Australia and Canada and, depending on the individual case, also in any or all of,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Brazil, China, Hong Kong, India, Israel, Mexico, New Zealand, Russia, South Africa, South Korea and other jurisdictions. We have so far not filed for patent protection in all national and regional jurisdictions where such protection may be available. In addition, we may decide to abandon national and regional patent applications before grant. Finally, the grant proceeding of each national or regional patent is an independent proceeding which may lead to situations in which applications might in some jurisdictions be refused by the relevant registration authorities, while granted in other jurisdictions. It is also quite common that depending on the country, various scopes of patent protection may be granted on the same product candidate or technology. Furthermore, 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 significant foreign markets.</w:t>
      </w:r>
    </w:p>
    <w:p>
      <w:pPr>
        <w:spacing w:after="0" w:line="176"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laws of some jurisdictions do not protect intellectual property rights to the same extent as the laws in the United States, and many companies have encountered significant difficulties in protecting and defending such rights in such jurisdictions. The requirements for patentability differ, in varying degrees, from country to country, and the laws of some foreign countries do not protect intellectual property rights, including trade secrets, to the same extent as federal and state laws of the United States.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in the relevant jurisdiction may be impaired and our business and results of operations may be adversely affected.</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could cause us to spend substantial resources and distract our personnel from their normal responsibilities.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Litigation or other legal proceedings relating to intellectual property claims, with or without merit, is unpredictable and generally expensive and time-consuming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162"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287" w:lineRule="exact"/>
        <w:rPr>
          <w:sz w:val="20"/>
          <w:szCs w:val="20"/>
          <w:color w:val="auto"/>
        </w:rPr>
      </w:pPr>
    </w:p>
    <w:p>
      <w:pPr>
        <w:ind w:right="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we fail to comply with our obligations under any license, collaboration or other agreements, we may be required to pay damages and could lose intellectual property rights that are necessary for developing and protecting our product candidates or we could lose certain rights to grant sublicenses.</w:t>
      </w:r>
    </w:p>
    <w:p>
      <w:pPr>
        <w:spacing w:after="0" w:line="28"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current and any future collaboration agreements or license agreements we enter into are likely to impose various development, commercialization, funding, milestone, royalty, diligence, sublicensing, insurance, patent prosecution and enforcement and/or other obligations on us. If we breach any of these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2" w:name="page63"/>
    <w:bookmarkEnd w:id="62"/>
    <w:p>
      <w:pPr>
        <w:spacing w:after="0" w:line="258" w:lineRule="auto"/>
        <w:rPr>
          <w:sz w:val="20"/>
          <w:szCs w:val="20"/>
          <w:color w:val="auto"/>
        </w:rPr>
      </w:pPr>
      <w:r>
        <w:rPr>
          <w:rFonts w:ascii="Times New Roman" w:cs="Times New Roman" w:eastAsia="Times New Roman" w:hAnsi="Times New Roman"/>
          <w:sz w:val="18"/>
          <w:szCs w:val="18"/>
          <w:color w:val="auto"/>
        </w:rPr>
        <w:t>access to the licensed technology. Moreover, our licensors may own or control intellectual property that has not been licensed to us and, as a result, we may be subject to claims, regardless of their merit, that we are infringing or otherwise violating the licensor’s rights. In addition, while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or maintaining necessary rights to our product candidates through acquisitions and in-licenses.</w:t>
      </w:r>
    </w:p>
    <w:p>
      <w:pPr>
        <w:spacing w:after="0" w:line="12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We may find that our programs require the use of proprietary rights held by third parties, and the growth of our business may depend in part on our ability to acquire, in-license or use these proprietary rights. We may be unable to acquire or in-license compositions, methods of use, processes or other third-party intellectual property rights from third parties that we identify as necessary for our product candidates. The licensing and acquisition of third-party intellectual property rights is a competitive area, and more established companies are also pursuing strategies to license 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Moreover, collaboration arrangements are complex and time-consuming to negotiate, document, implement and maintain. We may not be successful in our efforts to establish and implement collaborations or other alternative arrangements should we choose to enter into such arrangements. We also may be unable to license or acquire third-party intellectual property rights on terms that that would be favorable to us or would allow us to make an appropriate return on our investment. Even if we are able to obtain a license to intellectual property of interest, we may not be able to secure exclusive rights, in which case others could use the same rights and compete with us.</w:t>
      </w:r>
    </w:p>
    <w:p>
      <w:pPr>
        <w:spacing w:after="0" w:line="296" w:lineRule="exact"/>
        <w:rPr>
          <w:sz w:val="20"/>
          <w:szCs w:val="20"/>
          <w:color w:val="auto"/>
        </w:rPr>
      </w:pPr>
    </w:p>
    <w:p>
      <w:pPr>
        <w:ind w:right="5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The USPTO and various foreign governmental patent agencies require compliance with several procedural, documentary, fee payment and other provisions during the patent process. Periodic maintenance fees, renewal fees, annuity fees and various other governmental fees on patents and/or applications will be due to be paid to the USPTO and various governmental patent agencies outside of the United States in several stages over the lifetime of the patents and/or applications. We employ reputable law firms and other professionals and rely on such third parties to help us comply with these requirements and effect payment of these fees with respect to the patents and patent applications that we own, and if we in-license intellectual property we may have to rely upon our licensors to comply with these requirements and effect payment of these fees with respect to any patents and patent applications that we license. In many cases, an inadvertent lapse can be cured by payment of a late fee or by other means in accordance with the applicable rules. However,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 The standards applied by the USPTO and foreign patent offices in granting patents are not always applied uniformly or predictably. For example, there is no uniform worldwide policy regarding patentable subject matter or the scope of claims allowable in biotechnology and biopharmaceutical patents. As such, we do not know the degree of future protection that we will have on our technologies and product candidates. While we will endeavor to try to protect our technologies and product candidates with intellectual property rights such as patents, as appropriate, the process of obtaining patents is time-consuming, expensive and sometimes unpredictable.</w:t>
      </w:r>
    </w:p>
    <w:p>
      <w:pPr>
        <w:spacing w:after="0" w:line="301" w:lineRule="exact"/>
        <w:rPr>
          <w:sz w:val="20"/>
          <w:szCs w:val="20"/>
          <w:color w:val="auto"/>
        </w:rPr>
      </w:pPr>
    </w:p>
    <w:p>
      <w:pPr>
        <w:jc w:val="both"/>
        <w:ind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or our employees or consultants have wrongfully used or disclosed alleged trade secrets of our employees’ or consultants’ former employers or their clients. These claims may be costly to defend and if we do not successfully do so, we may be required to pay monetary damages and may lose valuable intellectual property rights or personnel.</w:t>
      </w:r>
    </w:p>
    <w:p>
      <w:pPr>
        <w:spacing w:after="0" w:line="67"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Many of our employees were previously employed at universities or biotechnology or biopharmaceutical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our ability to commercialize, or prevent us from commercializing, our product candidates, which could severely harm our business. Even if we are successful in defending against these claims, litigation could result in substantial costs and be a distraction to management.</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3" w:name="page64"/>
    <w:bookmarkEnd w:id="63"/>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Our trademarks or trade names may be challenged, infringed, circumvented, declared generic or determined to be infringing on other marks. We only have one currently registered trademark and rely on common law protection for the rest of our trademarks. We may not be able to protect our rights to these trademarks and trade names or may be forced to stop using these names, which we need for name recognition by potential partners or customers in our markets of interest.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name recognition based on our trademarks and trade names, we may not be able to compete effectively and our business may be adversely affected.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or may fall below the expectations of investors or securities analysts, each of which may cause our stock price to fluctuate or decline.</w:t>
      </w:r>
    </w:p>
    <w:p>
      <w:pPr>
        <w:spacing w:after="0" w:line="51"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We expect our operating results to be subject to annual and quarterly fluctuations. Our net loss and other operating results will be affected by numerous factors, including, among others:</w:t>
      </w:r>
    </w:p>
    <w:p>
      <w:pPr>
        <w:spacing w:after="0" w:line="54" w:lineRule="exact"/>
        <w:rPr>
          <w:sz w:val="20"/>
          <w:szCs w:val="20"/>
          <w:color w:val="auto"/>
        </w:rPr>
      </w:pPr>
    </w:p>
    <w:p>
      <w:pPr>
        <w:ind w:left="1000" w:hanging="36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level of expense related to the ongoing development of our product candidates or future development programs;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preclinical studies and clinical trials, or the addition or termination of clinical trials;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existing collaborations and any potential additional collaborations, licensing or similar arrangements;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lawsuit or opposition, interference or cancellation proceeding in which we may become involved;</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117" w:lineRule="exact"/>
        <w:rPr>
          <w:rFonts w:ascii="Times New Roman" w:cs="Times New Roman" w:eastAsia="Times New Roman" w:hAnsi="Times New Roman"/>
          <w:sz w:val="18"/>
          <w:szCs w:val="18"/>
          <w:color w:val="auto"/>
        </w:rPr>
      </w:pPr>
    </w:p>
    <w:p>
      <w:pPr>
        <w:ind w:left="1000" w:right="240" w:hanging="368"/>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decisions by us or our competitors, such as acquisitions, divestitures, spin-offs, joint ventures, strategic investments or changes in business strategy;</w:t>
      </w:r>
    </w:p>
    <w:p>
      <w:pPr>
        <w:spacing w:after="0" w:line="53" w:lineRule="exact"/>
        <w:rPr>
          <w:rFonts w:ascii="Times New Roman" w:cs="Times New Roman" w:eastAsia="Times New Roman" w:hAnsi="Times New Roman"/>
          <w:sz w:val="18"/>
          <w:szCs w:val="18"/>
          <w:color w:val="auto"/>
        </w:rPr>
      </w:pPr>
    </w:p>
    <w:p>
      <w:pPr>
        <w:ind w:left="1000" w:hanging="368"/>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product candidates receives regulatory approval, the terms of such approval and market acceptance and demand for such product candidates;</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our product candidates or those of our competitors; and</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market and economic conditions.</w:t>
      </w:r>
    </w:p>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our operating results fall below the expectations of investors or securities analysts, the price of our common stock could decline substantially.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Furthermore, any fluctuations in our operating results may, in turn, cause the price of our stock to fluctuate substantially.</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you could lose all or part of your investment.</w:t>
      </w:r>
    </w:p>
    <w:p>
      <w:pPr>
        <w:spacing w:after="0" w:line="121"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has been and is likely to continue to be highly volatile. The market price for our common stock may be influenced by many factors, including the other risks described in this section and the following:</w:t>
      </w:r>
    </w:p>
    <w:p>
      <w:pPr>
        <w:spacing w:after="0" w:line="54" w:lineRule="exact"/>
        <w:rPr>
          <w:sz w:val="20"/>
          <w:szCs w:val="20"/>
          <w:color w:val="auto"/>
        </w:rPr>
      </w:pPr>
    </w:p>
    <w:p>
      <w:pPr>
        <w:ind w:left="1000" w:hanging="368"/>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results of our clinical trials or those of our competitors;</w:t>
      </w:r>
    </w:p>
    <w:p>
      <w:pPr>
        <w:spacing w:after="0" w:line="117" w:lineRule="exact"/>
        <w:rPr>
          <w:rFonts w:ascii="Times New Roman" w:cs="Times New Roman" w:eastAsia="Times New Roman" w:hAnsi="Times New Roman"/>
          <w:sz w:val="18"/>
          <w:szCs w:val="18"/>
          <w:color w:val="auto"/>
        </w:rPr>
      </w:pPr>
    </w:p>
    <w:p>
      <w:pPr>
        <w:ind w:left="1000" w:right="680" w:hanging="368"/>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 especially changes in laws or regulations applicable to our products;</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17" w:lineRule="exact"/>
        <w:rPr>
          <w:rFonts w:ascii="Times New Roman" w:cs="Times New Roman" w:eastAsia="Times New Roman" w:hAnsi="Times New Roman"/>
          <w:sz w:val="18"/>
          <w:szCs w:val="18"/>
          <w:color w:val="auto"/>
        </w:rPr>
      </w:pPr>
    </w:p>
    <w:p>
      <w:pPr>
        <w:ind w:left="1000" w:right="500" w:hanging="368"/>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introductions and announcements of new products by us, our current or future collaborators or our competitors, and the timing of these introductions or announcements;</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collaboration agreements, or the restructuring or termination of current collaboration agreements;</w:t>
      </w:r>
    </w:p>
    <w:p>
      <w:pPr>
        <w:spacing w:after="0" w:line="117" w:lineRule="exact"/>
        <w:rPr>
          <w:rFonts w:ascii="Times New Roman" w:cs="Times New Roman" w:eastAsia="Times New Roman" w:hAnsi="Times New Roman"/>
          <w:sz w:val="18"/>
          <w:szCs w:val="18"/>
          <w:color w:val="auto"/>
        </w:rPr>
      </w:pPr>
    </w:p>
    <w:p>
      <w:pPr>
        <w:ind w:left="1000" w:right="500" w:hanging="368"/>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regulatory agencies with respect to our products, preclinical studies, clinical trials, manufacturing process or sales and marketing terms;</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financial results or those of companies that are perceived to be similar to us;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64" w:name="page65"/>
    <w:bookmarkEnd w:id="64"/>
    <w:p>
      <w:pPr>
        <w:ind w:left="1000" w:hanging="36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efforts to acquire or in-license additional technologies, products or product candidates;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any future collaborations, including those regarding manufacturing, supply and commercialization of our products;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collaborations, joint ventures or capital commitments;</w:t>
      </w:r>
    </w:p>
    <w:p>
      <w:pPr>
        <w:spacing w:after="0" w:line="117" w:lineRule="exact"/>
        <w:rPr>
          <w:rFonts w:ascii="Times New Roman" w:cs="Times New Roman" w:eastAsia="Times New Roman" w:hAnsi="Times New Roman"/>
          <w:sz w:val="18"/>
          <w:szCs w:val="18"/>
          <w:color w:val="auto"/>
        </w:rPr>
      </w:pPr>
    </w:p>
    <w:p>
      <w:pPr>
        <w:ind w:left="1000" w:right="200" w:hanging="368"/>
        <w:spacing w:after="0" w:line="282"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patents or other proprietary rights, including patents, litigation matters and our ability to obtain patent protection for our products;</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inability to raise additional capital and the terms on which we raise it;</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1000" w:right="40" w:hanging="368"/>
        <w:spacing w:after="0" w:line="282"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earnings estimates or changes in stock market analysts’ recommendations regarding our common stock, other comparable companies or our industry generally;</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the failure of our competitors to meet analysts’ projections or guidance that we or our competitors may give to the market;</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and expectation of additional financing efforts;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insiders or our other stockholders;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of market stand-off or lock-up agreements;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concentrated ownership of our common stock;</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acts, acts of war or periods of widespread civil unrest;</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natural disasters or public health emergencies; and</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w:t>
      </w:r>
    </w:p>
    <w:p>
      <w:pPr>
        <w:spacing w:after="0" w:line="198" w:lineRule="exact"/>
        <w:rPr>
          <w:sz w:val="20"/>
          <w:szCs w:val="20"/>
          <w:color w:val="auto"/>
        </w:rPr>
      </w:pPr>
    </w:p>
    <w:p>
      <w:pPr>
        <w:jc w:val="both"/>
        <w:ind w:right="540" w:firstLine="509"/>
        <w:spacing w:after="0" w:line="266" w:lineRule="auto"/>
        <w:rPr>
          <w:sz w:val="20"/>
          <w:szCs w:val="20"/>
          <w:color w:val="auto"/>
        </w:rPr>
      </w:pPr>
      <w:r>
        <w:rPr>
          <w:rFonts w:ascii="Times New Roman" w:cs="Times New Roman" w:eastAsia="Times New Roman" w:hAnsi="Times New Roman"/>
          <w:sz w:val="18"/>
          <w:szCs w:val="18"/>
          <w:color w:val="auto"/>
        </w:rPr>
        <w:t>In addition, the stock markets in general, and the markets for pharmaceutical, biopharmaceutical and biotechnology stocks in particular, have experienced extreme volatility that has been often unrelated to the operating performance of the issuer. These broad market and industry factors may seriously harm the market price of our common stock, regardless of our operating performance.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future issuance of equity or of debt securities that are convertible into equity will dilute our share capital.</w:t>
      </w:r>
    </w:p>
    <w:p>
      <w:pPr>
        <w:spacing w:after="0" w:line="121"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We will need to raise additional capital in the future. To the extent we raise additional capital through the issuance of equity or convertible debt securities in the future, there will be further dilution to investors and the terms of these securities may include liquidation or other preferences that adversely affect our stockholders’ rights.</w:t>
      </w:r>
    </w:p>
    <w:p>
      <w:pPr>
        <w:spacing w:after="0" w:line="16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On December 19, 2024, we completed a registered direct offering with certain institutional investors, where we issued an aggregate of (a) 9,679,158 shares of our common stock and (b) Warrants to purchase 9,679,158 shares of our common stock. The Warrants will not become exercisable until June 20, 2025 at an exercise price of $1.19 per share. Once the Warrants are exercised, the issuance of additional shares of our common stock would cause immediate and substantial dilution to our existing shareholders and could cause a significant reduction in the market price of our common stock.</w:t>
      </w:r>
    </w:p>
    <w:p>
      <w:pPr>
        <w:spacing w:after="0" w:line="15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Future issuances of our common stock or other equity securities, or the perception that such sales may occur, could adversely affect the trading price of our common stock and impair our ability to raise capital through future offerings of shares or equity securities. We may choose to raise additional capital through the issuance of equity or convertible debt securities due to market conditions or strategic considerations even if we believe we have sufficient funds for our current or future operating plans. No</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5" w:name="page66"/>
    <w:bookmarkEnd w:id="65"/>
    <w:p>
      <w:pPr>
        <w:ind w:right="500"/>
        <w:spacing w:after="0" w:line="282" w:lineRule="auto"/>
        <w:rPr>
          <w:sz w:val="20"/>
          <w:szCs w:val="20"/>
          <w:color w:val="auto"/>
        </w:rPr>
      </w:pPr>
      <w:r>
        <w:rPr>
          <w:rFonts w:ascii="Times New Roman" w:cs="Times New Roman" w:eastAsia="Times New Roman" w:hAnsi="Times New Roman"/>
          <w:sz w:val="18"/>
          <w:szCs w:val="18"/>
          <w:color w:val="auto"/>
        </w:rPr>
        <w:t>prediction can be made as to the effect, if any, that future sales of common stock or the availability of common stock for future sales will have on the trading price of our common stock.</w:t>
      </w:r>
    </w:p>
    <w:p>
      <w:pPr>
        <w:spacing w:after="0" w:line="266"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issue adverse or misleading research or reports regarding us, our business or our market, our stock price and trading volume could decline.</w:t>
      </w:r>
    </w:p>
    <w:p>
      <w:pPr>
        <w:spacing w:after="0" w:line="5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is influenced by the research and reports that industry or securities analysts publish about us, our business or our market. If no or few securities or industry analysts commence or maintain coverage of us, the trading price for our stock would be negatively impacted. If any of the analysts who cover us issue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29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will be able to exert significant control over matters subject to stockholder approval and their interests may conflict with your interests as an owner of our common stock.</w:t>
      </w:r>
    </w:p>
    <w:p>
      <w:pPr>
        <w:spacing w:after="0" w:line="5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As of March 31, 2025, executive officers and directors, together with holders of 5% or more of our outstanding common stock and their respective affiliates, beneficially own approximately 24.0% of our outstanding common stock. More specifically, Jay M. Short, Ph.D, our Chairman and Chief Executive Officer, together with his spouse, beneficially own approximately 6.7%, of our outstanding common stock, as of March 31, 2025.</w:t>
      </w:r>
    </w:p>
    <w:p>
      <w:pPr>
        <w:spacing w:after="0" w:line="16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As a result, Dr. Short and our other principal stockholders will continue to have significant influence over the outcome of corporate actions requiring stockholder approval, including the election of directors, any merger, consolidation or sale of all or substantially all of our assets and any other significant corporate transaction. The interests of these stockholders may not be the same as or may even conflict with your interests.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spacing w:after="0" w:line="162"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In addition, we have entered into certain related party transactions with Himalaya Therapeutics SEZC, Inversagen, LLC and BioAtla Holdings, LLC, including various licensing arrangements with respect to certain CAB antibodies. Dr. Short and his spouse are each a manager of Inversagen, LLC and BioAtla Holdings, LLC and a director of Himalaya Therapeutics SEZC. In addition, Dr. Short’s spouse is also an officer of Himalaya Therapeutics SEZC. These related party transactions, and any future related party transactions, create the possibility of actual conflicts of interest with regard to Dr. Short.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could cause our stock price to fall.</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Our common stock price could decline as a result of sales of a large number of shares of common stock or the perception that these sales could occur. These sales, or the possibility that these sales may occur, might also make it more difficult for us to sell equity securities in the future at a time and price that we deem appropriate.</w:t>
      </w:r>
    </w:p>
    <w:p>
      <w:pPr>
        <w:spacing w:after="0" w:line="162"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All of our outstanding shares of common stock are freely tradable without restriction or further registration under the Securities Act unless held by our “affiliates” as defined in Rule 144 under the Securities Act, or Rule 144. Shares issued upon the exercise of stock options and warrants outstanding under our equity incentive plans or pursuant to future awards granted under those plans will become available for sale in the public market to the extent permitted by Rules 144 and 701 under the Securities Act.</w:t>
      </w:r>
    </w:p>
    <w:p>
      <w:pPr>
        <w:spacing w:after="0" w:line="153"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We registered the offer and sale of all shares of common stock that we may issue under our equity compensation plans, which shares will be able to be sold in the public market upon issuance, subject to applicable securities laws.</w:t>
      </w:r>
    </w:p>
    <w:p>
      <w:pPr>
        <w:spacing w:after="0" w:line="266"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51"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Provisions in the amended and restated certificate of incorporation and our amended and restated bylaws may delay or prevent an acquisition of us or a change in our management.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color w:val="auto"/>
        </w:rPr>
        <w:t>provisions could in turn affect any attempt by our stockholders to replace current members of our management team. These provisions include:</w:t>
      </w:r>
    </w:p>
    <w:p>
      <w:pPr>
        <w:spacing w:after="0" w:line="117" w:lineRule="exact"/>
        <w:rPr>
          <w:sz w:val="20"/>
          <w:szCs w:val="20"/>
          <w:color w:val="auto"/>
        </w:rPr>
      </w:pPr>
    </w:p>
    <w:p>
      <w:pPr>
        <w:ind w:left="1000" w:hanging="36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actions by our stockholders by written consent;</w:t>
      </w:r>
    </w:p>
    <w:p>
      <w:pPr>
        <w:spacing w:after="0" w:line="117" w:lineRule="exact"/>
        <w:rPr>
          <w:rFonts w:ascii="Times New Roman" w:cs="Times New Roman" w:eastAsia="Times New Roman" w:hAnsi="Times New Roman"/>
          <w:sz w:val="18"/>
          <w:szCs w:val="18"/>
          <w:color w:val="auto"/>
        </w:rPr>
      </w:pPr>
    </w:p>
    <w:p>
      <w:pPr>
        <w:ind w:left="1000" w:right="240" w:hanging="368"/>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special meetings of stockholders be called only by the chairman of our board of directors, our chief executive officer, or our board of directors pursuant to a resolution adopted by a majority of the total number of authorized directors;</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election to our board of directors and for proposing matters that can be acted upon at stockholder meetings;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directors may only be removed “for cause” and only with 66 2/3% voting stock of our stockholders;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only the board of directors may change the number of directors and fill vacancies on the board;</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division of our board of directors into three classes, serving staggered terms of three years each; and</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the board of directors to issue preferred stock with such terms as the board of directors may determine.</w:t>
      </w:r>
    </w:p>
    <w:p>
      <w:pPr>
        <w:spacing w:after="0" w:line="225"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as amended,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 These provisions would apply even if the proposed merger or acquisition could be considered beneficial by some stockholders.</w:t>
      </w:r>
    </w:p>
    <w:p>
      <w:pPr>
        <w:spacing w:after="0" w:line="287"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Company’s ability to attract and retain qualified members of our board of directors may be impacted due to new laws, including recently enacted diversity quotas.</w:t>
      </w:r>
    </w:p>
    <w:p>
      <w:pPr>
        <w:spacing w:after="0" w:line="51" w:lineRule="exact"/>
        <w:rPr>
          <w:sz w:val="20"/>
          <w:szCs w:val="20"/>
          <w:color w:val="auto"/>
        </w:rPr>
      </w:pPr>
    </w:p>
    <w:p>
      <w:pPr>
        <w:ind w:right="120" w:firstLine="509"/>
        <w:spacing w:after="0" w:line="271" w:lineRule="auto"/>
        <w:rPr>
          <w:sz w:val="20"/>
          <w:szCs w:val="20"/>
          <w:color w:val="auto"/>
        </w:rPr>
      </w:pPr>
      <w:r>
        <w:rPr>
          <w:rFonts w:ascii="Times New Roman" w:cs="Times New Roman" w:eastAsia="Times New Roman" w:hAnsi="Times New Roman"/>
          <w:sz w:val="17"/>
          <w:szCs w:val="17"/>
          <w:color w:val="auto"/>
        </w:rPr>
        <w:t>In September 2018, California enacted SB 826 (“SB 826”) requiring public companies headquartered in California with a board of directors having five members to have at least two female directors, and public company boards with six or more members to have at least three female directors. SB 826 has been challenged in legal proceedings and on May 13, 2022, the Superior Court of California for the County of Los Angeles entered an order striking down SB 826, holding that the statute violates the Equal Protection Clause of the California Constitution. The California Secretary of State has appealed the order and such appeal is currently pending. On September 16, 2022, the appellate court ruled to temporarily stay enforcement of the trial court’s order, which prevented the California Secretary of State from collecting diversity data on corporate disclosure forms pursuant to SB 826, pending a further order of the appellate court. On December 1, 2022, the appellate court vacated the temporary stay order and on February 3, 2023, a record on appeal was filed and such appeal is currently pending. To the extent that this ruling of the appellate court permits the Secretary of State of California to collect and report diversity data, we may be required to comply with additional disclosure requirements. However, ultimate enforceability of SB 826 remains uncertain.</w:t>
      </w:r>
    </w:p>
    <w:p>
      <w:pPr>
        <w:spacing w:after="0" w:line="14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September 2020, California enacted AB 979 (“AB 979”), which requires that by the end of 2021 California-headquartered public companies have at least one director on their boards who is from an underrepresented community, defined as “an individual who self-identifies as Black, African American, Hispanic, Latino, Asian, Pacific Islander, Native American, Native Hawaiian, or Alaska Native, or who self-identifies as gay, lesbian, bisexual, or transgender.” On April 1, 2022, the Superior Court of California for the County of Los Angeles entered an order striking down AB 979, holding that the statute violates the Equal Protection Clause of the California Constitution. On June 6, 2022, a notice of appeal was filed. On September 16, 2022, the appellate court ruled to temporarily stay enforcement of the trial court’s order, which prevented the California Secretary of State from collecting diversity data on corporate disclosure forms pursuant to AB 979, pending a further order of the appellate court. On December 1, 2022, the appellate court vacated the temporary stay order and on February 3, 2023, a record on appeal was filed and such appeal is currently pending. To the extent that this ruling of the appellate court permits the Secretary of State of California to collect and report diversity data, we may be required to comply with additional disclosure requirements. In June 2023, the federal district court for the Eastern District of California granted the plaintiffs a summary judgment and determined that AB 979 was unconstitutional on its face. The Eastern District of California’s decision is currently on appeal. Litigation regarding AB 979 will continue.</w:t>
      </w:r>
    </w:p>
    <w:p>
      <w:pPr>
        <w:spacing w:after="0" w:line="178" w:lineRule="exact"/>
        <w:rPr>
          <w:sz w:val="20"/>
          <w:szCs w:val="20"/>
          <w:color w:val="auto"/>
        </w:rPr>
      </w:pPr>
    </w:p>
    <w:p>
      <w:pPr>
        <w:ind w:right="360" w:firstLine="509"/>
        <w:spacing w:after="0" w:line="261" w:lineRule="auto"/>
        <w:rPr>
          <w:sz w:val="20"/>
          <w:szCs w:val="20"/>
          <w:color w:val="auto"/>
        </w:rPr>
      </w:pPr>
      <w:r>
        <w:rPr>
          <w:rFonts w:ascii="Times New Roman" w:cs="Times New Roman" w:eastAsia="Times New Roman" w:hAnsi="Times New Roman"/>
          <w:sz w:val="18"/>
          <w:szCs w:val="18"/>
          <w:color w:val="auto"/>
        </w:rPr>
        <w:t>Failure to achieve designated minimum gender and diversity levels in a timely manner exposes such companies to financial penalties and reputational harm. While we are currently in compliance with these regulations, we cannot assure that we can recruit, attract and/or retain qualified members of the board and meet gender and diversity quotas as a result of evolving state laws or Nasdaq rules, which may expose us to penalties and/or reputational harm.</w:t>
      </w:r>
    </w:p>
    <w:p>
      <w:pPr>
        <w:spacing w:after="0" w:line="284"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significant costs as a result of operating as a public company, and our management is required to devote substantial time to compliance initiatives and corporate governance practices. Additionally, if we fail to</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i w:val="1"/>
          <w:iCs w:val="1"/>
          <w:color w:val="auto"/>
        </w:rPr>
        <w:t>maintain proper and effective internal controls, our ability to produce accurate financial statements on a timely basis could be impaired.</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As a public company, we have incurred and will continue to incur significant legal, accounting and other expenses that we did not incur as a private company. The Sarbanes-Oxley Act,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Also, the Exchange Act requires, among other things, that we file annual, quarterly and current reports with respect to our business and operating results. Our management and other personnel need to devote a substantial amount of time to these compliance initiatives. Moreover, these rules and regulations increase our legal and financial compliance costs and make some activities, including obtaining director and officer liability insurance and maintaining such coverage, more time-consuming and costly. These rules and regulations could also make it more difficult for us to attract and retain qualified members of our board of directors or our board committees or as executive officers. 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65"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addition, as a public company, we are required to incur costs and obligations in order to comply with SEC rules that implement Section 404 of the Sarbanes-Oxley Act. Currently, as a smaller reporting company and a non-accelerated filer, we can take advantage of exemptions from various reporting requirements, including not being required to comply with the auditor attestation requirements of Section 404 of the Sarbanes-Oxley Act, reduced disclosure obligations regarding executive compensation in our annual report, periodic reports and proxy statements and providing only two years of audited financial statements in our annual report and periodic reports. Under the SEC rules, we are required to make a formal assessment of the effectiveness of our internal control over financial reporting, and if we cease to be a smaller reporting company, we will be required to include an attestation report on internal control over financial reporting issued by our independent registered public accounting firm. We engaged outside consultants to assist in a process to document and evaluate our internal control over financial reporting, which is both costly and challenging. In this regard, we have dedicated, and will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 As a result of the complexity involved in complying with the rules and regulations applicable to public companies, our management’s attention may be diverted from other business concerns, which could harm our business, operating results, and financial condition. Since becoming a public company, we increased, and may in the future further increase, the number of employees dedicated to finance and reporting, and the services of outside consultants to meet requirements, which has increased our operating expenses.</w:t>
      </w:r>
    </w:p>
    <w:p>
      <w:pPr>
        <w:spacing w:after="0" w:line="18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Our internal control over financial reporting may not prevent or detect all errors and all fraud.</w:t>
      </w:r>
    </w:p>
    <w:p>
      <w:pPr>
        <w:spacing w:after="0" w:line="153"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 In addition, if we are not able to continue to meet these requirements, we may not be able to remain listed on The Nasdaq Global Market.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70"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8" w:name="page69"/>
    <w:bookmarkEnd w:id="68"/>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your ability to achieve a return on your investment will depend on appreciation of the value of our common stock.</w:t>
      </w:r>
    </w:p>
    <w:p>
      <w:pPr>
        <w:spacing w:after="0" w:line="5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and do not anticipate declaring or paying any cash dividends for the foreseeable future. Any return to stockholders will therefore be limited to any appreciation in the value of our common stock, which is not certain.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our management’s attention.</w:t>
      </w:r>
    </w:p>
    <w:p>
      <w:pPr>
        <w:spacing w:after="0" w:line="121"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In the past, companies that have experienced volatility in the market price of their securities have been subject to securities class action litigation. We may be the target of this type of litigation in the future. Regardless of the merits or the ultimate results of such litigation, securities litigation brought against us could result in substantial costs and divert our management’s attention from other business concerns.</w:t>
      </w:r>
    </w:p>
    <w:p>
      <w:pPr>
        <w:spacing w:after="0" w:line="280"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and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in writing to the selection of an alternative forum, the Court of Chancery of the State of Delaware (or, if the Court of Chancery of the State of Delaware does not have jurisdiction, the federal district court for the District of Delaware) shall be the sole and exclusive forum for the following types of proceedings: (i) any derivative action or proceeding brought on behalf of our company, (ii) any action asserting a claim of breach of a fiduciary duty owed by any of our directors, officers, employees or stockholders to our company or our stockholders, (iii) any action asserting a claim arising pursuant to any provision of the General Corporation Law of the State of Delaware or as to which the General Corporation Law of the State of Delaware confers jurisdiction on the Court of Chancery of the State of Delaware or (iv) any action asserting a claim arising pursuant to any provision of our amended and restated certificate of incorporation or amended and restated bylaws (in each case, as they may be amended from time to time) or governed by the internal affairs doctrine. This provision would not apply to suits brought to enforce a duty or liability created by the Exchange Act or any other claim for which the U.S. federal courts have exclusive jurisdiction. Furthermore, Section 22 of the Securities Act creates concurrent jurisdiction for federal and state courts over all such Securities Act actions. Accordingly, both state and federal courts have jurisdiction to entertain such claims. Our amended and restated bylaws further provide that the federal district courts of the United States of America will be the exclusive forum, to the fullest extent permitted by law, for resolving any complaint asserting a cause of action arising under the Securities Act.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and amended and restated bylaws inapplicable to, or unenforceable in respect of, one or more of the specified types of actions or proceedings, we may incur additional costs associated with resolving such matters in other jurisdictions, which could adversely affect our business and financial condition. Any person or entity purchasing or otherwise acquiring any interest in shares of our capital stock shall be deemed to have notice of and to have consented to the provisions of our amended and restated certificate of incorporation and amended and restated bylaws described above.</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2025, no director or officer of the Company adopted or terminated a “Rule 10b5-1 trading arrangement” or “non-Rule 10b5-1 trading arrangement,” as each term is defined in Item 408(a) of Regulation S-K.</w:t>
      </w: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60" w:type="dxa"/>
            <w:vAlign w:val="bottom"/>
            <w:gridSpan w:val="6"/>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10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4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8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50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Exhibit Filing Date</w:t>
            </w:r>
          </w:p>
        </w:tc>
        <w:tc>
          <w:tcPr>
            <w:tcW w:w="126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File/Furnished</w:t>
            </w:r>
          </w:p>
        </w:tc>
        <w:tc>
          <w:tcPr>
            <w:tcW w:w="0" w:type="dxa"/>
            <w:vAlign w:val="bottom"/>
          </w:tcPr>
          <w:p>
            <w:pPr>
              <w:spacing w:after="0"/>
              <w:rPr>
                <w:sz w:val="1"/>
                <w:szCs w:val="1"/>
                <w:color w:val="auto"/>
              </w:rPr>
            </w:pPr>
          </w:p>
        </w:tc>
      </w:tr>
      <w:tr>
        <w:trPr>
          <w:trHeight w:val="173"/>
        </w:trPr>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6"/>
            <w:vMerge w:val="continue"/>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500" w:type="dxa"/>
            <w:vAlign w:val="bottom"/>
            <w:tcBorders>
              <w:bottom w:val="single" w:sz="8" w:color="auto"/>
            </w:tcBorders>
            <w:vMerge w:val="continue"/>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385"/>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38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w:t>
            </w:r>
          </w:p>
        </w:tc>
        <w:tc>
          <w:tcPr>
            <w:tcW w:w="180" w:type="dxa"/>
            <w:vAlign w:val="bottom"/>
            <w:gridSpan w:val="2"/>
          </w:tcPr>
          <w:p>
            <w:pPr>
              <w:spacing w:after="0"/>
              <w:rPr>
                <w:sz w:val="24"/>
                <w:szCs w:val="24"/>
                <w:color w:val="auto"/>
              </w:rPr>
            </w:pPr>
          </w:p>
        </w:tc>
        <w:tc>
          <w:tcPr>
            <w:tcW w:w="1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8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Rules 13a-14(a) and 15d-14(a) as Adopted Pursuant to</w:t>
            </w:r>
          </w:p>
        </w:tc>
        <w:tc>
          <w:tcPr>
            <w:tcW w:w="1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Section 302 of the Sarbanes-Oxley Act of 2002.</w:t>
            </w:r>
          </w:p>
        </w:tc>
        <w:tc>
          <w:tcPr>
            <w:tcW w:w="1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6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7"/>
                <w:szCs w:val="17"/>
                <w:color w:val="auto"/>
              </w:rPr>
            </w:pPr>
          </w:p>
        </w:tc>
        <w:tc>
          <w:tcPr>
            <w:tcW w:w="374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Chief Financial Officer Pursuant to</w:t>
            </w:r>
          </w:p>
        </w:tc>
        <w:tc>
          <w:tcPr>
            <w:tcW w:w="240" w:type="dxa"/>
            <w:vAlign w:val="bottom"/>
            <w:gridSpan w:val="3"/>
          </w:tcPr>
          <w:p>
            <w:pPr>
              <w:spacing w:after="0"/>
              <w:rPr>
                <w:sz w:val="17"/>
                <w:szCs w:val="17"/>
                <w:color w:val="auto"/>
              </w:rPr>
            </w:pPr>
          </w:p>
        </w:tc>
        <w:tc>
          <w:tcPr>
            <w:tcW w:w="1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8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Rules 13a-14(a) and 15d-14(a) as Adopted Pursuant to</w:t>
            </w:r>
          </w:p>
        </w:tc>
        <w:tc>
          <w:tcPr>
            <w:tcW w:w="1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Section 302 of the Sarbanes-Oxley Act of 2002.</w:t>
            </w:r>
          </w:p>
        </w:tc>
        <w:tc>
          <w:tcPr>
            <w:tcW w:w="1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6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7"/>
                <w:szCs w:val="17"/>
                <w:color w:val="auto"/>
              </w:rPr>
            </w:pPr>
          </w:p>
        </w:tc>
        <w:tc>
          <w:tcPr>
            <w:tcW w:w="368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Chief Executive Officer and Chief</w:t>
            </w:r>
          </w:p>
        </w:tc>
        <w:tc>
          <w:tcPr>
            <w:tcW w:w="300" w:type="dxa"/>
            <w:vAlign w:val="bottom"/>
            <w:gridSpan w:val="4"/>
          </w:tcPr>
          <w:p>
            <w:pPr>
              <w:spacing w:after="0"/>
              <w:rPr>
                <w:sz w:val="17"/>
                <w:szCs w:val="17"/>
                <w:color w:val="auto"/>
              </w:rPr>
            </w:pPr>
          </w:p>
        </w:tc>
        <w:tc>
          <w:tcPr>
            <w:tcW w:w="1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4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Financial Officer Pursuant to 18 U.S.C. Section 1350,</w:t>
            </w:r>
          </w:p>
        </w:tc>
        <w:tc>
          <w:tcPr>
            <w:tcW w:w="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as Adopted Pursuant to Section 906 of the Sarbanes-</w:t>
            </w:r>
          </w:p>
        </w:tc>
        <w:tc>
          <w:tcPr>
            <w:tcW w:w="180" w:type="dxa"/>
            <w:vAlign w:val="bottom"/>
            <w:gridSpan w:val="2"/>
          </w:tcPr>
          <w:p>
            <w:pPr>
              <w:spacing w:after="0"/>
              <w:rPr>
                <w:sz w:val="17"/>
                <w:szCs w:val="17"/>
                <w:color w:val="auto"/>
              </w:rPr>
            </w:pPr>
          </w:p>
        </w:tc>
        <w:tc>
          <w:tcPr>
            <w:tcW w:w="1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20" w:type="dxa"/>
            <w:vAlign w:val="bottom"/>
            <w:tcBorders>
              <w:bottom w:val="single" w:sz="8" w:color="0000EE"/>
            </w:tcBorders>
          </w:tcPr>
          <w:p>
            <w:pPr>
              <w:spacing w:after="0"/>
              <w:rPr>
                <w:sz w:val="17"/>
                <w:szCs w:val="17"/>
                <w:color w:val="auto"/>
              </w:rPr>
            </w:pPr>
          </w:p>
        </w:tc>
        <w:tc>
          <w:tcPr>
            <w:tcW w:w="2560" w:type="dxa"/>
            <w:vAlign w:val="bottom"/>
            <w:gridSpan w:val="6"/>
          </w:tcPr>
          <w:p>
            <w:pPr>
              <w:spacing w:after="0"/>
              <w:rPr>
                <w:sz w:val="17"/>
                <w:szCs w:val="17"/>
                <w:color w:val="auto"/>
              </w:rPr>
            </w:pPr>
          </w:p>
        </w:tc>
        <w:tc>
          <w:tcPr>
            <w:tcW w:w="1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18"/>
                <w:szCs w:val="18"/>
                <w:color w:val="auto"/>
              </w:rPr>
            </w:pPr>
          </w:p>
        </w:tc>
        <w:tc>
          <w:tcPr>
            <w:tcW w:w="3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w:t>
            </w:r>
          </w:p>
        </w:tc>
        <w:tc>
          <w:tcPr>
            <w:tcW w:w="1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document does not appear in the Interactive Data File</w:t>
            </w:r>
          </w:p>
        </w:tc>
        <w:tc>
          <w:tcPr>
            <w:tcW w:w="1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because XBRL tags are embedded within the Inline</w:t>
            </w:r>
          </w:p>
        </w:tc>
        <w:tc>
          <w:tcPr>
            <w:tcW w:w="1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document.</w:t>
            </w:r>
          </w:p>
        </w:tc>
        <w:tc>
          <w:tcPr>
            <w:tcW w:w="1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8"/>
                <w:szCs w:val="18"/>
                <w:color w:val="auto"/>
              </w:rPr>
            </w:pPr>
          </w:p>
        </w:tc>
        <w:tc>
          <w:tcPr>
            <w:tcW w:w="3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following materials from BioAtla’s Quarterly</w:t>
            </w:r>
          </w:p>
        </w:tc>
        <w:tc>
          <w:tcPr>
            <w:tcW w:w="1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Report on Form 10-Q for the quarter ended March 31,</w:t>
            </w:r>
          </w:p>
        </w:tc>
        <w:tc>
          <w:tcPr>
            <w:tcW w:w="1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2025, formatted in iXBRL (inline eXtensible Business</w:t>
            </w:r>
          </w:p>
        </w:tc>
        <w:tc>
          <w:tcPr>
            <w:tcW w:w="1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Reporting Language): (i) the Condensed Balance</w:t>
            </w:r>
          </w:p>
        </w:tc>
        <w:tc>
          <w:tcPr>
            <w:tcW w:w="1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Sheets, (ii) the Condensed Statements of Operations</w:t>
            </w:r>
          </w:p>
        </w:tc>
        <w:tc>
          <w:tcPr>
            <w:tcW w:w="1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and Comprehensive Loss, (iii) the Condensed</w:t>
            </w:r>
          </w:p>
        </w:tc>
        <w:tc>
          <w:tcPr>
            <w:tcW w:w="1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8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Statements of Stockholders’ Equity (iv) the Condensed</w:t>
            </w:r>
          </w:p>
        </w:tc>
        <w:tc>
          <w:tcPr>
            <w:tcW w:w="1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8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Statements of Cash Flows, and (v) Notes to Condensed</w:t>
            </w:r>
          </w:p>
        </w:tc>
        <w:tc>
          <w:tcPr>
            <w:tcW w:w="1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Financial Statements, tagged as blocks of text and</w:t>
            </w:r>
          </w:p>
        </w:tc>
        <w:tc>
          <w:tcPr>
            <w:tcW w:w="1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including detailed tags.</w:t>
            </w:r>
          </w:p>
        </w:tc>
        <w:tc>
          <w:tcPr>
            <w:tcW w:w="1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8"/>
                <w:szCs w:val="18"/>
                <w:color w:val="auto"/>
              </w:rPr>
            </w:pPr>
          </w:p>
        </w:tc>
        <w:tc>
          <w:tcPr>
            <w:tcW w:w="3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w:t>
            </w:r>
          </w:p>
        </w:tc>
        <w:tc>
          <w:tcPr>
            <w:tcW w:w="1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document and contained in exhibit 101).</w:t>
            </w:r>
          </w:p>
        </w:tc>
        <w:tc>
          <w:tcPr>
            <w:tcW w:w="1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and not filed.</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346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Company Name</w:t>
            </w:r>
          </w:p>
        </w:tc>
        <w:tc>
          <w:tcPr>
            <w:tcW w:w="4340" w:type="dxa"/>
            <w:vAlign w:val="bottom"/>
          </w:tcPr>
          <w:p>
            <w:pPr>
              <w:spacing w:after="0"/>
              <w:rPr>
                <w:sz w:val="20"/>
                <w:szCs w:val="20"/>
                <w:color w:val="auto"/>
              </w:rPr>
            </w:pPr>
          </w:p>
        </w:tc>
      </w:tr>
      <w:tr>
        <w:trPr>
          <w:trHeight w:val="432"/>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2025</w:t>
            </w:r>
          </w:p>
        </w:tc>
        <w:tc>
          <w:tcPr>
            <w:tcW w:w="346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Pr>
          <w:p>
            <w:pPr>
              <w:jc w:val="center"/>
              <w:ind w:right="810"/>
              <w:spacing w:after="0"/>
              <w:rPr>
                <w:sz w:val="20"/>
                <w:szCs w:val="20"/>
                <w:color w:val="auto"/>
              </w:rPr>
            </w:pPr>
            <w:r>
              <w:rPr>
                <w:rFonts w:ascii="Times New Roman" w:cs="Times New Roman" w:eastAsia="Times New Roman" w:hAnsi="Times New Roman"/>
                <w:sz w:val="18"/>
                <w:szCs w:val="18"/>
                <w:color w:val="auto"/>
                <w:w w:val="99"/>
              </w:rPr>
              <w:t>/s/ Jay M. Short, Ph.D.</w:t>
            </w:r>
          </w:p>
        </w:tc>
      </w:tr>
      <w:tr>
        <w:trPr>
          <w:trHeight w:val="191"/>
        </w:trPr>
        <w:tc>
          <w:tcPr>
            <w:tcW w:w="34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4340" w:type="dxa"/>
            <w:vAlign w:val="bottom"/>
            <w:tcBorders>
              <w:top w:val="single" w:sz="8" w:color="auto"/>
            </w:tcBorders>
          </w:tcPr>
          <w:p>
            <w:pPr>
              <w:jc w:val="center"/>
              <w:ind w:right="790"/>
              <w:spacing w:after="0" w:line="191" w:lineRule="exact"/>
              <w:rPr>
                <w:sz w:val="20"/>
                <w:szCs w:val="20"/>
                <w:color w:val="auto"/>
              </w:rPr>
            </w:pPr>
            <w:r>
              <w:rPr>
                <w:rFonts w:ascii="Times New Roman" w:cs="Times New Roman" w:eastAsia="Times New Roman" w:hAnsi="Times New Roman"/>
                <w:sz w:val="18"/>
                <w:szCs w:val="18"/>
                <w:color w:val="auto"/>
                <w:w w:val="99"/>
              </w:rPr>
              <w:t>Jay M. Short, Ph.D.</w:t>
            </w:r>
          </w:p>
        </w:tc>
      </w:tr>
      <w:tr>
        <w:trPr>
          <w:trHeight w:val="216"/>
        </w:trPr>
        <w:tc>
          <w:tcPr>
            <w:tcW w:w="34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34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234"/>
        </w:trPr>
        <w:tc>
          <w:tcPr>
            <w:tcW w:w="34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34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2025</w:t>
            </w:r>
          </w:p>
        </w:tc>
        <w:tc>
          <w:tcPr>
            <w:tcW w:w="346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Pr>
          <w:p>
            <w:pPr>
              <w:jc w:val="center"/>
              <w:ind w:right="810"/>
              <w:spacing w:after="0"/>
              <w:rPr>
                <w:sz w:val="20"/>
                <w:szCs w:val="20"/>
                <w:color w:val="auto"/>
              </w:rPr>
            </w:pPr>
            <w:r>
              <w:rPr>
                <w:rFonts w:ascii="Times New Roman" w:cs="Times New Roman" w:eastAsia="Times New Roman" w:hAnsi="Times New Roman"/>
                <w:sz w:val="18"/>
                <w:szCs w:val="18"/>
                <w:color w:val="auto"/>
                <w:w w:val="99"/>
              </w:rPr>
              <w:t>/s/ Richard A. Waldron</w:t>
            </w:r>
          </w:p>
        </w:tc>
      </w:tr>
      <w:tr>
        <w:trPr>
          <w:trHeight w:val="191"/>
        </w:trPr>
        <w:tc>
          <w:tcPr>
            <w:tcW w:w="34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4340" w:type="dxa"/>
            <w:vAlign w:val="bottom"/>
            <w:tcBorders>
              <w:top w:val="single" w:sz="8" w:color="auto"/>
            </w:tcBorders>
          </w:tcPr>
          <w:p>
            <w:pPr>
              <w:jc w:val="center"/>
              <w:ind w:right="790"/>
              <w:spacing w:after="0" w:line="191" w:lineRule="exact"/>
              <w:rPr>
                <w:sz w:val="20"/>
                <w:szCs w:val="20"/>
                <w:color w:val="auto"/>
              </w:rPr>
            </w:pPr>
            <w:r>
              <w:rPr>
                <w:rFonts w:ascii="Times New Roman" w:cs="Times New Roman" w:eastAsia="Times New Roman" w:hAnsi="Times New Roman"/>
                <w:sz w:val="18"/>
                <w:szCs w:val="18"/>
                <w:color w:val="auto"/>
                <w:w w:val="99"/>
              </w:rPr>
              <w:t>Richard A. Waldron</w:t>
            </w:r>
          </w:p>
        </w:tc>
      </w:tr>
      <w:tr>
        <w:trPr>
          <w:trHeight w:val="216"/>
        </w:trPr>
        <w:tc>
          <w:tcPr>
            <w:tcW w:w="34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34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4"/>
        </w:trPr>
        <w:tc>
          <w:tcPr>
            <w:tcW w:w="34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34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432"/>
        </w:trPr>
        <w:tc>
          <w:tcPr>
            <w:tcW w:w="3440" w:type="dxa"/>
            <w:vAlign w:val="bottom"/>
          </w:tcPr>
          <w:p>
            <w:pPr>
              <w:spacing w:after="0"/>
              <w:rPr>
                <w:sz w:val="24"/>
                <w:szCs w:val="24"/>
                <w:color w:val="auto"/>
              </w:rPr>
            </w:pPr>
          </w:p>
        </w:tc>
        <w:tc>
          <w:tcPr>
            <w:tcW w:w="25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69</w:t>
            </w:r>
          </w:p>
        </w:tc>
        <w:tc>
          <w:tcPr>
            <w:tcW w:w="880" w:type="dxa"/>
            <w:vAlign w:val="bottom"/>
          </w:tcPr>
          <w:p>
            <w:pPr>
              <w:spacing w:after="0"/>
              <w:rPr>
                <w:sz w:val="24"/>
                <w:szCs w:val="24"/>
                <w:color w:val="auto"/>
              </w:rPr>
            </w:pPr>
          </w:p>
        </w:tc>
        <w:tc>
          <w:tcPr>
            <w:tcW w:w="4340" w:type="dxa"/>
            <w:vAlign w:val="bottom"/>
          </w:tcPr>
          <w:p>
            <w:pPr>
              <w:spacing w:after="0"/>
              <w:rPr>
                <w:sz w:val="24"/>
                <w:szCs w:val="24"/>
                <w:color w:val="auto"/>
              </w:rPr>
            </w:pPr>
          </w:p>
        </w:tc>
      </w:tr>
      <w:tr>
        <w:trPr>
          <w:trHeight w:val="763"/>
        </w:trPr>
        <w:tc>
          <w:tcPr>
            <w:tcW w:w="344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Jay M. Short, Ph.D., certify that:</w:t>
      </w:r>
    </w:p>
    <w:p>
      <w:pPr>
        <w:spacing w:after="0" w:line="225" w:lineRule="exact"/>
        <w:rPr>
          <w:sz w:val="20"/>
          <w:szCs w:val="20"/>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BioAtla,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80" w:hanging="512"/>
        <w:spacing w:after="0" w:line="276" w:lineRule="auto"/>
        <w:tabs>
          <w:tab w:leader="none" w:pos="5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the Exchange Act Rules 13a-15(f) and</w:t>
      </w:r>
    </w:p>
    <w:p>
      <w:pPr>
        <w:ind w:left="5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206" w:lineRule="exact"/>
        <w:rPr>
          <w:rFonts w:ascii="Times New Roman" w:cs="Times New Roman" w:eastAsia="Times New Roman" w:hAnsi="Times New Roman"/>
          <w:sz w:val="17"/>
          <w:szCs w:val="17"/>
          <w:color w:val="auto"/>
        </w:rPr>
      </w:pPr>
    </w:p>
    <w:p>
      <w:pPr>
        <w:jc w:val="both"/>
        <w:ind w:left="1020" w:hanging="503"/>
        <w:spacing w:after="0" w:line="266" w:lineRule="auto"/>
        <w:tabs>
          <w:tab w:leader="none" w:pos="10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312" w:lineRule="auto"/>
        <w:tabs>
          <w:tab w:leader="none" w:pos="102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39" w:lineRule="exact"/>
        <w:rPr>
          <w:rFonts w:ascii="Times New Roman" w:cs="Times New Roman" w:eastAsia="Times New Roman" w:hAnsi="Times New Roman"/>
          <w:sz w:val="17"/>
          <w:szCs w:val="17"/>
          <w:color w:val="auto"/>
        </w:rPr>
      </w:pPr>
    </w:p>
    <w:p>
      <w:pPr>
        <w:ind w:left="520" w:right="240" w:hanging="512"/>
        <w:spacing w:after="0" w:line="282"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2025</w:t>
            </w:r>
          </w:p>
        </w:tc>
        <w:tc>
          <w:tcPr>
            <w:tcW w:w="250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Jay M. Short, Ph.D.</w:t>
            </w:r>
          </w:p>
        </w:tc>
      </w:tr>
      <w:tr>
        <w:trPr>
          <w:trHeight w:val="191"/>
        </w:trPr>
        <w:tc>
          <w:tcPr>
            <w:tcW w:w="35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2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Jay M. Short, Ph.D.</w:t>
            </w:r>
          </w:p>
        </w:tc>
      </w:tr>
      <w:tr>
        <w:trPr>
          <w:trHeight w:val="234"/>
        </w:trPr>
        <w:tc>
          <w:tcPr>
            <w:tcW w:w="35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1195"/>
        </w:trPr>
        <w:tc>
          <w:tcPr>
            <w:tcW w:w="352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A. Waldron, certify that:</w:t>
      </w:r>
    </w:p>
    <w:p>
      <w:pPr>
        <w:spacing w:after="0" w:line="225" w:lineRule="exact"/>
        <w:rPr>
          <w:sz w:val="20"/>
          <w:szCs w:val="20"/>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BioAtla,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80" w:hanging="512"/>
        <w:spacing w:after="0" w:line="276" w:lineRule="auto"/>
        <w:tabs>
          <w:tab w:leader="none" w:pos="5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the Exchange Act Rules 13a-15(f) and</w:t>
      </w:r>
    </w:p>
    <w:p>
      <w:pPr>
        <w:ind w:left="5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206" w:lineRule="exact"/>
        <w:rPr>
          <w:rFonts w:ascii="Times New Roman" w:cs="Times New Roman" w:eastAsia="Times New Roman" w:hAnsi="Times New Roman"/>
          <w:sz w:val="17"/>
          <w:szCs w:val="17"/>
          <w:color w:val="auto"/>
        </w:rPr>
      </w:pPr>
    </w:p>
    <w:p>
      <w:pPr>
        <w:jc w:val="both"/>
        <w:ind w:left="1020" w:hanging="503"/>
        <w:spacing w:after="0" w:line="266" w:lineRule="auto"/>
        <w:tabs>
          <w:tab w:leader="none" w:pos="10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312" w:lineRule="auto"/>
        <w:tabs>
          <w:tab w:leader="none" w:pos="1020"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39" w:lineRule="exact"/>
        <w:rPr>
          <w:rFonts w:ascii="Times New Roman" w:cs="Times New Roman" w:eastAsia="Times New Roman" w:hAnsi="Times New Roman"/>
          <w:sz w:val="17"/>
          <w:szCs w:val="17"/>
          <w:color w:val="auto"/>
        </w:rPr>
      </w:pPr>
    </w:p>
    <w:p>
      <w:pPr>
        <w:ind w:left="520" w:right="240" w:hanging="512"/>
        <w:spacing w:after="0" w:line="282"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2025</w:t>
            </w:r>
          </w:p>
        </w:tc>
        <w:tc>
          <w:tcPr>
            <w:tcW w:w="250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Richard A. Waldron</w:t>
            </w:r>
          </w:p>
        </w:tc>
      </w:tr>
      <w:tr>
        <w:trPr>
          <w:trHeight w:val="191"/>
        </w:trPr>
        <w:tc>
          <w:tcPr>
            <w:tcW w:w="35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2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Richard A. Waldron</w:t>
            </w:r>
          </w:p>
        </w:tc>
      </w:tr>
      <w:tr>
        <w:trPr>
          <w:trHeight w:val="216"/>
        </w:trPr>
        <w:tc>
          <w:tcPr>
            <w:tcW w:w="35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4"/>
        </w:trPr>
        <w:tc>
          <w:tcPr>
            <w:tcW w:w="35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979"/>
        </w:trPr>
        <w:tc>
          <w:tcPr>
            <w:tcW w:w="352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BioAtla, Inc. (the “Company”) on Form 10-Q for the period ending March 31, 2025 as filed with the Securities and Exchange Commission on the date hereof (the “Report”), I certify, pursuant to 18 U.S.C. § 1350, as adopted pursuant to § 906 of the Sarbanes-Oxley Act of 2002, that, to my knowledge:</w:t>
      </w:r>
    </w:p>
    <w:p>
      <w:pPr>
        <w:spacing w:after="0" w:line="176"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2025</w:t>
            </w:r>
          </w:p>
        </w:tc>
        <w:tc>
          <w:tcPr>
            <w:tcW w:w="250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Jay M. Short, Ph.D.</w:t>
            </w:r>
          </w:p>
        </w:tc>
      </w:tr>
      <w:tr>
        <w:trPr>
          <w:trHeight w:val="191"/>
        </w:trPr>
        <w:tc>
          <w:tcPr>
            <w:tcW w:w="35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2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Jay M. Short, Ph.D.</w:t>
            </w:r>
          </w:p>
        </w:tc>
      </w:tr>
      <w:tr>
        <w:trPr>
          <w:trHeight w:val="216"/>
        </w:trPr>
        <w:tc>
          <w:tcPr>
            <w:tcW w:w="35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234"/>
        </w:trPr>
        <w:tc>
          <w:tcPr>
            <w:tcW w:w="35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2025</w:t>
            </w:r>
          </w:p>
        </w:tc>
        <w:tc>
          <w:tcPr>
            <w:tcW w:w="250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Richard A. Waldron</w:t>
            </w:r>
          </w:p>
        </w:tc>
      </w:tr>
      <w:tr>
        <w:trPr>
          <w:trHeight w:val="191"/>
        </w:trPr>
        <w:tc>
          <w:tcPr>
            <w:tcW w:w="35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2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Richard A. Waldron</w:t>
            </w:r>
          </w:p>
        </w:tc>
      </w:tr>
      <w:tr>
        <w:trPr>
          <w:trHeight w:val="216"/>
        </w:trPr>
        <w:tc>
          <w:tcPr>
            <w:tcW w:w="35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4"/>
        </w:trPr>
        <w:tc>
          <w:tcPr>
            <w:tcW w:w="35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198"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458470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4" w:name="page75"/>
    <w:bookmarkEnd w:id="7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lvl w:ilvl="1">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
      <w:numFmt w:val="bullet"/>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2025-05-06T16:17:20Z</dcterms:created>
  <dcterms:modified xsi:type="dcterms:W3CDTF">2025-05-06T16:17:20Z</dcterms:modified>
</cp:coreProperties>
</file>