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104140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660" w:right="1620" w:hanging="3639"/>
        <w:spacing w:after="0" w:line="438"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8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38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31"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001-39787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7"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BIOATLA, INC.</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0"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4920" w:type="dxa"/>
            <w:vAlign w:val="bottom"/>
          </w:tcPr>
          <w:p>
            <w:pPr>
              <w:jc w:val="center"/>
              <w:ind w:right="1688"/>
              <w:spacing w:after="0"/>
              <w:rPr>
                <w:sz w:val="20"/>
                <w:szCs w:val="20"/>
                <w:color w:val="auto"/>
              </w:rPr>
            </w:pPr>
            <w:r>
              <w:rPr>
                <w:rFonts w:ascii="Arial" w:cs="Arial" w:eastAsia="Arial" w:hAnsi="Arial"/>
                <w:sz w:val="18"/>
                <w:szCs w:val="18"/>
                <w:b w:val="1"/>
                <w:bCs w:val="1"/>
                <w:color w:val="auto"/>
                <w:w w:val="91"/>
              </w:rPr>
              <w:t>Delaware</w:t>
            </w: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85-1922320</w:t>
            </w:r>
          </w:p>
        </w:tc>
      </w:tr>
      <w:tr>
        <w:trPr>
          <w:trHeight w:val="184"/>
        </w:trPr>
        <w:tc>
          <w:tcPr>
            <w:tcW w:w="4920" w:type="dxa"/>
            <w:vAlign w:val="bottom"/>
          </w:tcPr>
          <w:p>
            <w:pPr>
              <w:jc w:val="center"/>
              <w:ind w:right="1688"/>
              <w:spacing w:after="0"/>
              <w:rPr>
                <w:sz w:val="20"/>
                <w:szCs w:val="20"/>
                <w:color w:val="auto"/>
              </w:rPr>
            </w:pPr>
            <w:r>
              <w:rPr>
                <w:rFonts w:ascii="Arial" w:cs="Arial" w:eastAsia="Arial" w:hAnsi="Arial"/>
                <w:sz w:val="13"/>
                <w:szCs w:val="13"/>
                <w:b w:val="1"/>
                <w:bCs w:val="1"/>
                <w:color w:val="auto"/>
                <w:w w:val="87"/>
              </w:rPr>
              <w:t>( State or other jurisdiction of</w:t>
            </w:r>
          </w:p>
        </w:tc>
        <w:tc>
          <w:tcPr>
            <w:tcW w:w="2760" w:type="dxa"/>
            <w:vAlign w:val="bottom"/>
          </w:tcPr>
          <w:p>
            <w:pPr>
              <w:jc w:val="center"/>
              <w:ind w:left="1706"/>
              <w:spacing w:after="0"/>
              <w:rPr>
                <w:sz w:val="20"/>
                <w:szCs w:val="20"/>
                <w:color w:val="auto"/>
              </w:rPr>
            </w:pPr>
            <w:r>
              <w:rPr>
                <w:rFonts w:ascii="Arial" w:cs="Arial" w:eastAsia="Arial" w:hAnsi="Arial"/>
                <w:sz w:val="13"/>
                <w:szCs w:val="13"/>
                <w:b w:val="1"/>
                <w:bCs w:val="1"/>
                <w:color w:val="auto"/>
                <w:w w:val="90"/>
              </w:rPr>
              <w:t>(I.R.S. Employer</w:t>
            </w:r>
          </w:p>
        </w:tc>
      </w:tr>
      <w:tr>
        <w:trPr>
          <w:trHeight w:val="178"/>
        </w:trPr>
        <w:tc>
          <w:tcPr>
            <w:tcW w:w="4920" w:type="dxa"/>
            <w:vAlign w:val="bottom"/>
          </w:tcPr>
          <w:p>
            <w:pPr>
              <w:jc w:val="center"/>
              <w:ind w:right="1688"/>
              <w:spacing w:after="0"/>
              <w:rPr>
                <w:sz w:val="20"/>
                <w:szCs w:val="20"/>
                <w:color w:val="auto"/>
              </w:rPr>
            </w:pPr>
            <w:r>
              <w:rPr>
                <w:rFonts w:ascii="Arial" w:cs="Arial" w:eastAsia="Arial" w:hAnsi="Arial"/>
                <w:sz w:val="13"/>
                <w:szCs w:val="13"/>
                <w:b w:val="1"/>
                <w:bCs w:val="1"/>
                <w:color w:val="auto"/>
                <w:w w:val="88"/>
              </w:rPr>
              <w:t>incorporation or organization)</w:t>
            </w:r>
          </w:p>
        </w:tc>
        <w:tc>
          <w:tcPr>
            <w:tcW w:w="2760" w:type="dxa"/>
            <w:vAlign w:val="bottom"/>
          </w:tcPr>
          <w:p>
            <w:pPr>
              <w:jc w:val="center"/>
              <w:ind w:left="1706"/>
              <w:spacing w:after="0"/>
              <w:rPr>
                <w:sz w:val="20"/>
                <w:szCs w:val="20"/>
                <w:color w:val="auto"/>
              </w:rPr>
            </w:pPr>
            <w:r>
              <w:rPr>
                <w:rFonts w:ascii="Arial" w:cs="Arial" w:eastAsia="Arial" w:hAnsi="Arial"/>
                <w:sz w:val="13"/>
                <w:szCs w:val="13"/>
                <w:b w:val="1"/>
                <w:bCs w:val="1"/>
                <w:color w:val="auto"/>
                <w:w w:val="89"/>
              </w:rPr>
              <w:t>Identification No.)</w:t>
            </w:r>
          </w:p>
        </w:tc>
      </w:tr>
      <w:tr>
        <w:trPr>
          <w:trHeight w:val="259"/>
        </w:trPr>
        <w:tc>
          <w:tcPr>
            <w:tcW w:w="4920" w:type="dxa"/>
            <w:vAlign w:val="bottom"/>
          </w:tcPr>
          <w:p>
            <w:pPr>
              <w:jc w:val="center"/>
              <w:ind w:right="1708"/>
              <w:spacing w:after="0"/>
              <w:rPr>
                <w:sz w:val="20"/>
                <w:szCs w:val="20"/>
                <w:color w:val="auto"/>
              </w:rPr>
            </w:pPr>
            <w:r>
              <w:rPr>
                <w:rFonts w:ascii="Arial" w:cs="Arial" w:eastAsia="Arial" w:hAnsi="Arial"/>
                <w:sz w:val="16"/>
                <w:szCs w:val="16"/>
                <w:b w:val="1"/>
                <w:bCs w:val="1"/>
                <w:color w:val="auto"/>
                <w:w w:val="92"/>
              </w:rPr>
              <w:t>11085 Torreyana Road, San Diego, California</w:t>
            </w:r>
          </w:p>
        </w:tc>
        <w:tc>
          <w:tcPr>
            <w:tcW w:w="2760" w:type="dxa"/>
            <w:vAlign w:val="bottom"/>
          </w:tcPr>
          <w:p>
            <w:pPr>
              <w:jc w:val="right"/>
              <w:ind w:right="186"/>
              <w:spacing w:after="0"/>
              <w:rPr>
                <w:sz w:val="20"/>
                <w:szCs w:val="20"/>
                <w:color w:val="auto"/>
              </w:rPr>
            </w:pPr>
            <w:r>
              <w:rPr>
                <w:rFonts w:ascii="Arial" w:cs="Arial" w:eastAsia="Arial" w:hAnsi="Arial"/>
                <w:sz w:val="18"/>
                <w:szCs w:val="18"/>
                <w:b w:val="1"/>
                <w:bCs w:val="1"/>
                <w:color w:val="auto"/>
              </w:rPr>
              <w:t>92121</w:t>
            </w:r>
          </w:p>
        </w:tc>
      </w:tr>
      <w:tr>
        <w:trPr>
          <w:trHeight w:val="186"/>
        </w:trPr>
        <w:tc>
          <w:tcPr>
            <w:tcW w:w="4920" w:type="dxa"/>
            <w:vAlign w:val="bottom"/>
          </w:tcPr>
          <w:p>
            <w:pPr>
              <w:jc w:val="center"/>
              <w:ind w:right="168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760" w:type="dxa"/>
            <w:vAlign w:val="bottom"/>
          </w:tcPr>
          <w:p>
            <w:pPr>
              <w:jc w:val="center"/>
              <w:ind w:left="1706"/>
              <w:spacing w:after="0"/>
              <w:rPr>
                <w:sz w:val="20"/>
                <w:szCs w:val="20"/>
                <w:color w:val="auto"/>
              </w:rPr>
            </w:pPr>
            <w:r>
              <w:rPr>
                <w:rFonts w:ascii="Arial" w:cs="Arial" w:eastAsia="Arial" w:hAnsi="Arial"/>
                <w:sz w:val="13"/>
                <w:szCs w:val="13"/>
                <w:b w:val="1"/>
                <w:bCs w:val="1"/>
                <w:color w:val="auto"/>
                <w:w w:val="90"/>
              </w:rPr>
              <w:t>(Zip Code)</w:t>
            </w:r>
          </w:p>
        </w:tc>
      </w:tr>
    </w:tbl>
    <w:p>
      <w:pPr>
        <w:spacing w:after="0" w:line="79"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(858) 558-0708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7"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r>
      <w:tr>
        <w:trPr>
          <w:trHeight w:val="192"/>
        </w:trPr>
        <w:tc>
          <w:tcPr>
            <w:tcW w:w="428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4280" w:type="dxa"/>
            <w:vAlign w:val="bottom"/>
          </w:tcPr>
          <w:p>
            <w:pPr>
              <w:ind w:left="20"/>
              <w:spacing w:after="0"/>
              <w:rPr>
                <w:sz w:val="20"/>
                <w:szCs w:val="20"/>
                <w:color w:val="auto"/>
              </w:rPr>
            </w:pPr>
            <w:r>
              <w:rPr>
                <w:rFonts w:ascii="Arial" w:cs="Arial" w:eastAsia="Arial" w:hAnsi="Arial"/>
                <w:sz w:val="16"/>
                <w:szCs w:val="16"/>
                <w:color w:val="auto"/>
              </w:rPr>
              <w:t>Common Stock, $0.0001 par value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BCAB</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18" w:lineRule="exact"/>
        <w:rPr>
          <w:sz w:val="24"/>
          <w:szCs w:val="24"/>
          <w:color w:val="auto"/>
        </w:rPr>
      </w:pPr>
    </w:p>
    <w:p>
      <w:pPr>
        <w:jc w:val="both"/>
        <w:ind w:firstLine="599"/>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86"/>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73"/>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54"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00"/>
        <w:spacing w:after="0" w:line="184" w:lineRule="exact"/>
        <w:tabs>
          <w:tab w:leader="none" w:pos="8140" w:val="left"/>
          <w:tab w:leader="none" w:pos="87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right="100" w:firstLine="599"/>
        <w:spacing w:after="0" w:line="293" w:lineRule="auto"/>
        <w:rPr>
          <w:sz w:val="20"/>
          <w:szCs w:val="20"/>
          <w:color w:val="auto"/>
        </w:rPr>
      </w:pPr>
      <w:r>
        <w:rPr>
          <w:rFonts w:ascii="Arial" w:cs="Arial" w:eastAsia="Arial" w:hAnsi="Arial"/>
          <w:sz w:val="16"/>
          <w:szCs w:val="16"/>
          <w:color w:val="auto"/>
        </w:rPr>
        <w:t>As of November 12, 2021, the number of shares of the registrant’s common stock outstanding was 35,343,790 and the number of shares of the registrant’s Class B common stock outstanding was 1,492,059.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514350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6"/>
        </w:trPr>
        <w:tc>
          <w:tcPr>
            <w:tcW w:w="82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PART I.</w:t>
            </w:r>
          </w:p>
        </w:tc>
        <w:tc>
          <w:tcPr>
            <w:tcW w:w="9760" w:type="dxa"/>
            <w:vAlign w:val="bottom"/>
            <w:gridSpan w:val="25"/>
          </w:tcPr>
          <w:p>
            <w:pPr>
              <w:spacing w:after="0" w:line="175" w:lineRule="exact"/>
              <w:rPr>
                <w:rFonts w:ascii="Arial" w:cs="Arial" w:eastAsia="Arial" w:hAnsi="Arial"/>
                <w:sz w:val="16"/>
                <w:szCs w:val="16"/>
                <w:color w:val="0000FF"/>
              </w:rPr>
            </w:pPr>
            <w:hyperlink w:anchor="page3">
              <w:r>
                <w:rPr>
                  <w:rFonts w:ascii="Arial" w:cs="Arial" w:eastAsia="Arial" w:hAnsi="Arial"/>
                  <w:sz w:val="16"/>
                  <w:szCs w:val="16"/>
                  <w:color w:val="0000FF"/>
                </w:rPr>
                <w:t>FINANCIAL INFORMATION</w:t>
              </w:r>
            </w:hyperlink>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1.</w:t>
            </w:r>
          </w:p>
        </w:tc>
        <w:tc>
          <w:tcPr>
            <w:tcW w:w="1400" w:type="dxa"/>
            <w:vAlign w:val="bottom"/>
            <w:tcBorders>
              <w:top w:val="single" w:sz="8" w:color="0000FF"/>
              <w:bottom w:val="single" w:sz="8" w:color="0000FF"/>
            </w:tcBorders>
            <w:gridSpan w:val="9"/>
          </w:tcPr>
          <w:p>
            <w:pPr>
              <w:spacing w:after="0"/>
              <w:rPr>
                <w:rFonts w:ascii="Arial" w:cs="Arial" w:eastAsia="Arial" w:hAnsi="Arial"/>
                <w:sz w:val="16"/>
                <w:szCs w:val="16"/>
                <w:color w:val="0000FF"/>
                <w:w w:val="89"/>
              </w:rPr>
            </w:pPr>
            <w:hyperlink w:anchor="page3">
              <w:r>
                <w:rPr>
                  <w:rFonts w:ascii="Arial" w:cs="Arial" w:eastAsia="Arial" w:hAnsi="Arial"/>
                  <w:sz w:val="16"/>
                  <w:szCs w:val="16"/>
                  <w:color w:val="0000FF"/>
                  <w:w w:val="89"/>
                </w:rPr>
                <w:t>Financial Statements:</w:t>
              </w:r>
            </w:hyperlink>
          </w:p>
        </w:tc>
        <w:tc>
          <w:tcPr>
            <w:tcW w:w="20" w:type="dxa"/>
            <w:vAlign w:val="bottom"/>
            <w:tcBorders>
              <w:top w:val="single" w:sz="8" w:color="0000FF"/>
              <w:bottom w:val="single" w:sz="8" w:color="0000EE"/>
            </w:tcBorders>
          </w:tcPr>
          <w:p>
            <w:pPr>
              <w:spacing w:after="0"/>
              <w:rPr>
                <w:sz w:val="19"/>
                <w:szCs w:val="19"/>
                <w:color w:val="auto"/>
              </w:rPr>
            </w:pPr>
          </w:p>
        </w:tc>
        <w:tc>
          <w:tcPr>
            <w:tcW w:w="600" w:type="dxa"/>
            <w:vAlign w:val="bottom"/>
            <w:tcBorders>
              <w:top w:val="single" w:sz="8" w:color="0000FF"/>
            </w:tcBorders>
            <w:gridSpan w:val="4"/>
          </w:tcPr>
          <w:p>
            <w:pPr>
              <w:spacing w:after="0"/>
              <w:rPr>
                <w:sz w:val="19"/>
                <w:szCs w:val="19"/>
                <w:color w:val="auto"/>
              </w:rPr>
            </w:pPr>
          </w:p>
        </w:tc>
        <w:tc>
          <w:tcPr>
            <w:tcW w:w="7740" w:type="dxa"/>
            <w:vAlign w:val="bottom"/>
            <w:gridSpan w:val="11"/>
          </w:tcPr>
          <w:p>
            <w:pPr>
              <w:spacing w:after="0"/>
              <w:rPr>
                <w:sz w:val="19"/>
                <w:szCs w:val="19"/>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80" w:type="dxa"/>
            <w:vAlign w:val="bottom"/>
            <w:gridSpan w:val="21"/>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Condensed Consolidated Balance Sheets as of September 30, 2021 (unaudited) and December 31, 2020</w:t>
              </w:r>
            </w:hyperlink>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14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80" w:type="dxa"/>
            <w:vAlign w:val="bottom"/>
            <w:tcBorders>
              <w:bottom w:val="single" w:sz="8" w:color="0000FF"/>
            </w:tcBorders>
            <w:gridSpan w:val="21"/>
          </w:tcPr>
          <w:p>
            <w:pPr>
              <w:spacing w:after="0"/>
              <w:rPr>
                <w:rFonts w:ascii="Arial" w:cs="Arial" w:eastAsia="Arial" w:hAnsi="Arial"/>
                <w:sz w:val="16"/>
                <w:szCs w:val="16"/>
                <w:color w:val="0000FF"/>
                <w:w w:val="90"/>
              </w:rPr>
            </w:pPr>
            <w:hyperlink w:anchor="page4">
              <w:r>
                <w:rPr>
                  <w:rFonts w:ascii="Arial" w:cs="Arial" w:eastAsia="Arial" w:hAnsi="Arial"/>
                  <w:sz w:val="16"/>
                  <w:szCs w:val="16"/>
                  <w:color w:val="0000FF"/>
                  <w:w w:val="90"/>
                </w:rPr>
                <w:t>Condensed Consolidated Statements of Operations and Comprehensive Loss (unaudited) for the three and nine months ended September 30, 2021</w:t>
              </w:r>
            </w:hyperlink>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500" w:type="dxa"/>
            <w:vAlign w:val="bottom"/>
            <w:gridSpan w:val="22"/>
          </w:tcPr>
          <w:p>
            <w:pPr>
              <w:spacing w:after="0" w:line="183" w:lineRule="exact"/>
              <w:rPr>
                <w:rFonts w:ascii="Arial" w:cs="Arial" w:eastAsia="Arial" w:hAnsi="Arial"/>
                <w:sz w:val="16"/>
                <w:szCs w:val="16"/>
                <w:color w:val="0000FF"/>
              </w:rPr>
            </w:pPr>
            <w:hyperlink w:anchor="page4">
              <w:r>
                <w:rPr>
                  <w:rFonts w:ascii="Arial" w:cs="Arial" w:eastAsia="Arial" w:hAnsi="Arial"/>
                  <w:sz w:val="16"/>
                  <w:szCs w:val="16"/>
                  <w:color w:val="0000FF"/>
                </w:rPr>
                <w:t>and 2020</w:t>
              </w:r>
            </w:hyperlink>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bottom w:val="single" w:sz="8" w:color="0000EE"/>
            </w:tcBorders>
          </w:tcPr>
          <w:p>
            <w:pPr>
              <w:spacing w:after="0"/>
              <w:rPr>
                <w:sz w:val="18"/>
                <w:szCs w:val="18"/>
                <w:color w:val="auto"/>
              </w:rPr>
            </w:pPr>
          </w:p>
        </w:tc>
        <w:tc>
          <w:tcPr>
            <w:tcW w:w="60" w:type="dxa"/>
            <w:vAlign w:val="bottom"/>
            <w:tcBorders>
              <w:bottom w:val="single" w:sz="8" w:color="0000EE"/>
            </w:tcBorders>
          </w:tcPr>
          <w:p>
            <w:pPr>
              <w:spacing w:after="0"/>
              <w:rPr>
                <w:sz w:val="18"/>
                <w:szCs w:val="18"/>
                <w:color w:val="auto"/>
              </w:rPr>
            </w:pPr>
          </w:p>
        </w:tc>
        <w:tc>
          <w:tcPr>
            <w:tcW w:w="9100" w:type="dxa"/>
            <w:vAlign w:val="bottom"/>
            <w:tcBorders>
              <w:bottom w:val="single" w:sz="8" w:color="0000EE"/>
            </w:tcBorders>
            <w:gridSpan w:val="20"/>
          </w:tcPr>
          <w:p>
            <w:pPr>
              <w:spacing w:after="0"/>
              <w:rPr>
                <w:rFonts w:ascii="Arial" w:cs="Arial" w:eastAsia="Arial" w:hAnsi="Arial"/>
                <w:sz w:val="16"/>
                <w:szCs w:val="16"/>
                <w:color w:val="0000FF"/>
                <w:w w:val="90"/>
              </w:rPr>
            </w:pPr>
            <w:hyperlink w:anchor="page5">
              <w:r>
                <w:rPr>
                  <w:rFonts w:ascii="Arial" w:cs="Arial" w:eastAsia="Arial" w:hAnsi="Arial"/>
                  <w:sz w:val="16"/>
                  <w:szCs w:val="16"/>
                  <w:color w:val="0000FF"/>
                  <w:w w:val="90"/>
                </w:rPr>
                <w:t>Condensed Consolidated Statements of Stockholders’ Equity (unaudited) for the three and nine months ended September 30, 2021 and 2020</w:t>
              </w:r>
            </w:hyperlink>
          </w:p>
        </w:tc>
        <w:tc>
          <w:tcPr>
            <w:tcW w:w="400" w:type="dxa"/>
            <w:vAlign w:val="bottom"/>
            <w:gridSpan w:val="2"/>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0" w:type="dxa"/>
            <w:vAlign w:val="bottom"/>
            <w:tcBorders>
              <w:bottom w:val="single" w:sz="8" w:color="0000FF"/>
            </w:tcBorders>
            <w:gridSpan w:val="18"/>
          </w:tcPr>
          <w:p>
            <w:pPr>
              <w:spacing w:after="0"/>
              <w:rPr>
                <w:rFonts w:ascii="Arial" w:cs="Arial" w:eastAsia="Arial" w:hAnsi="Arial"/>
                <w:sz w:val="16"/>
                <w:szCs w:val="16"/>
                <w:color w:val="0000FF"/>
                <w:w w:val="89"/>
              </w:rPr>
            </w:pPr>
            <w:hyperlink w:anchor="page6">
              <w:r>
                <w:rPr>
                  <w:rFonts w:ascii="Arial" w:cs="Arial" w:eastAsia="Arial" w:hAnsi="Arial"/>
                  <w:sz w:val="16"/>
                  <w:szCs w:val="16"/>
                  <w:color w:val="0000FF"/>
                  <w:w w:val="89"/>
                </w:rPr>
                <w:t>Condensed Consolidated Statements of Cash Flows (unaudited) for the nine months ended September 30, 2021 and 2020</w:t>
              </w:r>
            </w:hyperlink>
          </w:p>
        </w:tc>
        <w:tc>
          <w:tcPr>
            <w:tcW w:w="1680" w:type="dxa"/>
            <w:vAlign w:val="bottom"/>
            <w:gridSpan w:val="3"/>
          </w:tcPr>
          <w:p>
            <w:pPr>
              <w:spacing w:after="0"/>
              <w:rPr>
                <w:sz w:val="19"/>
                <w:szCs w:val="19"/>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40" w:type="dxa"/>
            <w:vAlign w:val="bottom"/>
            <w:tcBorders>
              <w:bottom w:val="single" w:sz="8" w:color="0000FF"/>
            </w:tcBorders>
            <w:gridSpan w:val="14"/>
          </w:tcPr>
          <w:p>
            <w:pPr>
              <w:spacing w:after="0"/>
              <w:rPr>
                <w:rFonts w:ascii="Arial" w:cs="Arial" w:eastAsia="Arial" w:hAnsi="Arial"/>
                <w:sz w:val="16"/>
                <w:szCs w:val="16"/>
                <w:color w:val="0000FF"/>
                <w:w w:val="89"/>
              </w:rPr>
            </w:pPr>
            <w:hyperlink w:anchor="page7">
              <w:r>
                <w:rPr>
                  <w:rFonts w:ascii="Arial" w:cs="Arial" w:eastAsia="Arial" w:hAnsi="Arial"/>
                  <w:sz w:val="16"/>
                  <w:szCs w:val="16"/>
                  <w:color w:val="0000FF"/>
                  <w:w w:val="89"/>
                </w:rPr>
                <w:t>Notes to Condensed Consolidated Financial Statements (unaudited)</w:t>
              </w:r>
            </w:hyperlink>
          </w:p>
        </w:tc>
        <w:tc>
          <w:tcPr>
            <w:tcW w:w="20" w:type="dxa"/>
            <w:vAlign w:val="bottom"/>
            <w:tcBorders>
              <w:bottom w:val="single" w:sz="8" w:color="0000EE"/>
            </w:tcBorders>
          </w:tcPr>
          <w:p>
            <w:pPr>
              <w:spacing w:after="0"/>
              <w:rPr>
                <w:sz w:val="19"/>
                <w:szCs w:val="19"/>
                <w:color w:val="auto"/>
              </w:rPr>
            </w:pPr>
          </w:p>
        </w:tc>
        <w:tc>
          <w:tcPr>
            <w:tcW w:w="5120" w:type="dxa"/>
            <w:vAlign w:val="bottom"/>
            <w:gridSpan w:val="6"/>
          </w:tcPr>
          <w:p>
            <w:pPr>
              <w:spacing w:after="0"/>
              <w:rPr>
                <w:sz w:val="19"/>
                <w:szCs w:val="19"/>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2.</w:t>
            </w:r>
          </w:p>
        </w:tc>
        <w:tc>
          <w:tcPr>
            <w:tcW w:w="5820" w:type="dxa"/>
            <w:vAlign w:val="bottom"/>
            <w:tcBorders>
              <w:bottom w:val="single" w:sz="8" w:color="0000FF"/>
            </w:tcBorders>
            <w:gridSpan w:val="20"/>
          </w:tcPr>
          <w:p>
            <w:pPr>
              <w:spacing w:after="0"/>
              <w:rPr>
                <w:rFonts w:ascii="Arial" w:cs="Arial" w:eastAsia="Arial" w:hAnsi="Arial"/>
                <w:sz w:val="16"/>
                <w:szCs w:val="16"/>
                <w:color w:val="0000FF"/>
                <w:w w:val="92"/>
              </w:rPr>
            </w:pPr>
            <w:hyperlink w:anchor="page19">
              <w:r>
                <w:rPr>
                  <w:rFonts w:ascii="Arial" w:cs="Arial" w:eastAsia="Arial" w:hAnsi="Arial"/>
                  <w:sz w:val="16"/>
                  <w:szCs w:val="16"/>
                  <w:color w:val="0000FF"/>
                  <w:w w:val="92"/>
                </w:rPr>
                <w:t>Management’s Discussion and Analysis of Financial Condition and Results of Operations</w:t>
              </w:r>
            </w:hyperlink>
          </w:p>
        </w:tc>
        <w:tc>
          <w:tcPr>
            <w:tcW w:w="3940" w:type="dxa"/>
            <w:vAlign w:val="bottom"/>
            <w:gridSpan w:val="5"/>
          </w:tcPr>
          <w:p>
            <w:pPr>
              <w:spacing w:after="0"/>
              <w:rPr>
                <w:sz w:val="19"/>
                <w:szCs w:val="19"/>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3.</w:t>
            </w:r>
          </w:p>
        </w:tc>
        <w:tc>
          <w:tcPr>
            <w:tcW w:w="3940" w:type="dxa"/>
            <w:vAlign w:val="bottom"/>
            <w:tcBorders>
              <w:bottom w:val="single" w:sz="8" w:color="0000FF"/>
            </w:tcBorders>
            <w:gridSpan w:val="17"/>
          </w:tcPr>
          <w:p>
            <w:pPr>
              <w:spacing w:after="0"/>
              <w:rPr>
                <w:rFonts w:ascii="Arial" w:cs="Arial" w:eastAsia="Arial" w:hAnsi="Arial"/>
                <w:sz w:val="16"/>
                <w:szCs w:val="16"/>
                <w:color w:val="0000FF"/>
                <w:w w:val="93"/>
              </w:rPr>
            </w:pPr>
            <w:hyperlink w:anchor="page28">
              <w:r>
                <w:rPr>
                  <w:rFonts w:ascii="Arial" w:cs="Arial" w:eastAsia="Arial" w:hAnsi="Arial"/>
                  <w:sz w:val="16"/>
                  <w:szCs w:val="16"/>
                  <w:color w:val="0000FF"/>
                  <w:w w:val="93"/>
                </w:rPr>
                <w:t>Quantitative and Qualitative Disclosures About Market Risk</w:t>
              </w:r>
            </w:hyperlink>
          </w:p>
        </w:tc>
        <w:tc>
          <w:tcPr>
            <w:tcW w:w="5820" w:type="dxa"/>
            <w:vAlign w:val="bottom"/>
            <w:gridSpan w:val="8"/>
          </w:tcPr>
          <w:p>
            <w:pPr>
              <w:spacing w:after="0"/>
              <w:rPr>
                <w:sz w:val="19"/>
                <w:szCs w:val="19"/>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4.</w:t>
            </w:r>
          </w:p>
        </w:tc>
        <w:tc>
          <w:tcPr>
            <w:tcW w:w="1600" w:type="dxa"/>
            <w:vAlign w:val="bottom"/>
            <w:tcBorders>
              <w:bottom w:val="single" w:sz="8" w:color="0000FF"/>
            </w:tcBorders>
            <w:gridSpan w:val="11"/>
          </w:tcPr>
          <w:p>
            <w:pPr>
              <w:spacing w:after="0"/>
              <w:rPr>
                <w:rFonts w:ascii="Arial" w:cs="Arial" w:eastAsia="Arial" w:hAnsi="Arial"/>
                <w:sz w:val="16"/>
                <w:szCs w:val="16"/>
                <w:color w:val="0000FF"/>
                <w:w w:val="89"/>
              </w:rPr>
            </w:pPr>
            <w:hyperlink w:anchor="page28">
              <w:r>
                <w:rPr>
                  <w:rFonts w:ascii="Arial" w:cs="Arial" w:eastAsia="Arial" w:hAnsi="Arial"/>
                  <w:sz w:val="16"/>
                  <w:szCs w:val="16"/>
                  <w:color w:val="0000FF"/>
                  <w:w w:val="89"/>
                </w:rPr>
                <w:t>Controls and Procedures</w:t>
              </w:r>
            </w:hyperlink>
          </w:p>
        </w:tc>
        <w:tc>
          <w:tcPr>
            <w:tcW w:w="20" w:type="dxa"/>
            <w:vAlign w:val="bottom"/>
            <w:tcBorders>
              <w:bottom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820" w:type="dxa"/>
            <w:vAlign w:val="bottom"/>
          </w:tcPr>
          <w:p>
            <w:pPr>
              <w:spacing w:after="0"/>
              <w:rPr>
                <w:sz w:val="18"/>
                <w:szCs w:val="18"/>
                <w:color w:val="auto"/>
              </w:rPr>
            </w:pPr>
          </w:p>
        </w:tc>
        <w:tc>
          <w:tcPr>
            <w:tcW w:w="5840" w:type="dxa"/>
            <w:vAlign w:val="bottom"/>
            <w:gridSpan w:val="9"/>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6"/>
        </w:trPr>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 II.</w:t>
            </w:r>
          </w:p>
        </w:tc>
        <w:tc>
          <w:tcPr>
            <w:tcW w:w="1700" w:type="dxa"/>
            <w:vAlign w:val="bottom"/>
            <w:tcBorders>
              <w:bottom w:val="single" w:sz="8" w:color="0000FF"/>
            </w:tcBorders>
            <w:gridSpan w:val="13"/>
          </w:tcPr>
          <w:p>
            <w:pPr>
              <w:spacing w:after="0"/>
              <w:rPr>
                <w:rFonts w:ascii="Arial" w:cs="Arial" w:eastAsia="Arial" w:hAnsi="Arial"/>
                <w:sz w:val="16"/>
                <w:szCs w:val="16"/>
                <w:color w:val="0000FF"/>
                <w:w w:val="97"/>
              </w:rPr>
            </w:pPr>
            <w:hyperlink w:anchor="page29">
              <w:r>
                <w:rPr>
                  <w:rFonts w:ascii="Arial" w:cs="Arial" w:eastAsia="Arial" w:hAnsi="Arial"/>
                  <w:sz w:val="16"/>
                  <w:szCs w:val="16"/>
                  <w:color w:val="0000FF"/>
                  <w:w w:val="97"/>
                </w:rPr>
                <w:t>OTHER INFORMATION</w:t>
              </w:r>
            </w:hyperlink>
          </w:p>
        </w:tc>
        <w:tc>
          <w:tcPr>
            <w:tcW w:w="8060" w:type="dxa"/>
            <w:vAlign w:val="bottom"/>
            <w:gridSpan w:val="12"/>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1.</w:t>
            </w:r>
          </w:p>
        </w:tc>
        <w:tc>
          <w:tcPr>
            <w:tcW w:w="1200" w:type="dxa"/>
            <w:vAlign w:val="bottom"/>
            <w:tcBorders>
              <w:bottom w:val="single" w:sz="8" w:color="0000FF"/>
            </w:tcBorders>
            <w:gridSpan w:val="8"/>
          </w:tcPr>
          <w:p>
            <w:pPr>
              <w:spacing w:after="0"/>
              <w:rPr>
                <w:rFonts w:ascii="Arial" w:cs="Arial" w:eastAsia="Arial" w:hAnsi="Arial"/>
                <w:sz w:val="16"/>
                <w:szCs w:val="16"/>
                <w:color w:val="0000FF"/>
                <w:w w:val="89"/>
              </w:rPr>
            </w:pPr>
            <w:hyperlink w:anchor="page29">
              <w:r>
                <w:rPr>
                  <w:rFonts w:ascii="Arial" w:cs="Arial" w:eastAsia="Arial" w:hAnsi="Arial"/>
                  <w:sz w:val="16"/>
                  <w:szCs w:val="16"/>
                  <w:color w:val="0000FF"/>
                  <w:w w:val="89"/>
                </w:rPr>
                <w:t>Legal Proceedings</w:t>
              </w:r>
            </w:hyperlink>
          </w:p>
        </w:tc>
        <w:tc>
          <w:tcPr>
            <w:tcW w:w="8560" w:type="dxa"/>
            <w:vAlign w:val="bottom"/>
            <w:gridSpan w:val="17"/>
          </w:tcPr>
          <w:p>
            <w:pPr>
              <w:spacing w:after="0"/>
              <w:rPr>
                <w:sz w:val="19"/>
                <w:szCs w:val="19"/>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1A.</w:t>
            </w:r>
          </w:p>
        </w:tc>
        <w:tc>
          <w:tcPr>
            <w:tcW w:w="860" w:type="dxa"/>
            <w:vAlign w:val="bottom"/>
            <w:tcBorders>
              <w:bottom w:val="single" w:sz="8" w:color="0000FF"/>
            </w:tcBorders>
            <w:gridSpan w:val="6"/>
          </w:tcPr>
          <w:p>
            <w:pPr>
              <w:spacing w:after="0"/>
              <w:rPr>
                <w:rFonts w:ascii="Arial" w:cs="Arial" w:eastAsia="Arial" w:hAnsi="Arial"/>
                <w:sz w:val="16"/>
                <w:szCs w:val="16"/>
                <w:color w:val="0000FF"/>
                <w:w w:val="92"/>
              </w:rPr>
            </w:pPr>
            <w:hyperlink w:anchor="page29">
              <w:r>
                <w:rPr>
                  <w:rFonts w:ascii="Arial" w:cs="Arial" w:eastAsia="Arial" w:hAnsi="Arial"/>
                  <w:sz w:val="16"/>
                  <w:szCs w:val="16"/>
                  <w:color w:val="0000FF"/>
                  <w:w w:val="92"/>
                </w:rPr>
                <w:t>Risk Factors</w:t>
              </w:r>
            </w:hyperlink>
          </w:p>
        </w:tc>
        <w:tc>
          <w:tcPr>
            <w:tcW w:w="8900" w:type="dxa"/>
            <w:vAlign w:val="bottom"/>
            <w:gridSpan w:val="19"/>
          </w:tcPr>
          <w:p>
            <w:pPr>
              <w:spacing w:after="0"/>
              <w:rPr>
                <w:sz w:val="19"/>
                <w:szCs w:val="19"/>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2.</w:t>
            </w:r>
          </w:p>
        </w:tc>
        <w:tc>
          <w:tcPr>
            <w:tcW w:w="3920" w:type="dxa"/>
            <w:vAlign w:val="bottom"/>
            <w:tcBorders>
              <w:bottom w:val="single" w:sz="8" w:color="0000FF"/>
            </w:tcBorders>
            <w:gridSpan w:val="16"/>
          </w:tcPr>
          <w:p>
            <w:pPr>
              <w:spacing w:after="0"/>
              <w:rPr>
                <w:rFonts w:ascii="Arial" w:cs="Arial" w:eastAsia="Arial" w:hAnsi="Arial"/>
                <w:sz w:val="16"/>
                <w:szCs w:val="16"/>
                <w:color w:val="0000FF"/>
                <w:w w:val="90"/>
              </w:rPr>
            </w:pPr>
            <w:hyperlink w:anchor="page73">
              <w:r>
                <w:rPr>
                  <w:rFonts w:ascii="Arial" w:cs="Arial" w:eastAsia="Arial" w:hAnsi="Arial"/>
                  <w:sz w:val="16"/>
                  <w:szCs w:val="16"/>
                  <w:color w:val="0000FF"/>
                  <w:w w:val="90"/>
                </w:rPr>
                <w:t>Unregistered Sales of Equity Securities and Use of Proceeds</w:t>
              </w:r>
            </w:hyperlink>
          </w:p>
        </w:tc>
        <w:tc>
          <w:tcPr>
            <w:tcW w:w="5840" w:type="dxa"/>
            <w:vAlign w:val="bottom"/>
            <w:gridSpan w:val="9"/>
          </w:tcPr>
          <w:p>
            <w:pPr>
              <w:spacing w:after="0"/>
              <w:rPr>
                <w:sz w:val="19"/>
                <w:szCs w:val="19"/>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3.</w:t>
            </w:r>
          </w:p>
        </w:tc>
        <w:tc>
          <w:tcPr>
            <w:tcW w:w="2100" w:type="dxa"/>
            <w:vAlign w:val="bottom"/>
            <w:tcBorders>
              <w:bottom w:val="single" w:sz="8" w:color="0000FF"/>
            </w:tcBorders>
            <w:gridSpan w:val="15"/>
          </w:tcPr>
          <w:p>
            <w:pPr>
              <w:spacing w:after="0"/>
              <w:rPr>
                <w:rFonts w:ascii="Arial" w:cs="Arial" w:eastAsia="Arial" w:hAnsi="Arial"/>
                <w:sz w:val="16"/>
                <w:szCs w:val="16"/>
                <w:color w:val="0000FF"/>
                <w:w w:val="91"/>
              </w:rPr>
            </w:pPr>
            <w:hyperlink w:anchor="page73">
              <w:r>
                <w:rPr>
                  <w:rFonts w:ascii="Arial" w:cs="Arial" w:eastAsia="Arial" w:hAnsi="Arial"/>
                  <w:sz w:val="16"/>
                  <w:szCs w:val="16"/>
                  <w:color w:val="0000FF"/>
                  <w:w w:val="91"/>
                </w:rPr>
                <w:t>Defaults Upon Senior Securities</w:t>
              </w:r>
            </w:hyperlink>
          </w:p>
        </w:tc>
        <w:tc>
          <w:tcPr>
            <w:tcW w:w="7660" w:type="dxa"/>
            <w:vAlign w:val="bottom"/>
            <w:gridSpan w:val="10"/>
          </w:tcPr>
          <w:p>
            <w:pPr>
              <w:spacing w:after="0"/>
              <w:rPr>
                <w:sz w:val="19"/>
                <w:szCs w:val="19"/>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4.</w:t>
            </w:r>
          </w:p>
        </w:tc>
        <w:tc>
          <w:tcPr>
            <w:tcW w:w="1600" w:type="dxa"/>
            <w:vAlign w:val="bottom"/>
            <w:tcBorders>
              <w:bottom w:val="single" w:sz="8" w:color="0000FF"/>
            </w:tcBorders>
            <w:gridSpan w:val="11"/>
          </w:tcPr>
          <w:p>
            <w:pPr>
              <w:spacing w:after="0"/>
              <w:rPr>
                <w:rFonts w:ascii="Arial" w:cs="Arial" w:eastAsia="Arial" w:hAnsi="Arial"/>
                <w:sz w:val="16"/>
                <w:szCs w:val="16"/>
                <w:color w:val="0000FF"/>
                <w:w w:val="92"/>
              </w:rPr>
            </w:pPr>
            <w:hyperlink w:anchor="page73">
              <w:r>
                <w:rPr>
                  <w:rFonts w:ascii="Arial" w:cs="Arial" w:eastAsia="Arial" w:hAnsi="Arial"/>
                  <w:sz w:val="16"/>
                  <w:szCs w:val="16"/>
                  <w:color w:val="0000FF"/>
                  <w:w w:val="92"/>
                </w:rPr>
                <w:t>Mine Safety Disclosures</w:t>
              </w:r>
            </w:hyperlink>
          </w:p>
        </w:tc>
        <w:tc>
          <w:tcPr>
            <w:tcW w:w="8160" w:type="dxa"/>
            <w:vAlign w:val="bottom"/>
            <w:gridSpan w:val="14"/>
          </w:tcPr>
          <w:p>
            <w:pPr>
              <w:spacing w:after="0"/>
              <w:rPr>
                <w:sz w:val="19"/>
                <w:szCs w:val="19"/>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5.</w:t>
            </w:r>
          </w:p>
        </w:tc>
        <w:tc>
          <w:tcPr>
            <w:tcW w:w="9760" w:type="dxa"/>
            <w:vAlign w:val="bottom"/>
            <w:gridSpan w:val="25"/>
          </w:tcPr>
          <w:p>
            <w:pPr>
              <w:spacing w:after="0"/>
              <w:rPr>
                <w:rFonts w:ascii="Arial" w:cs="Arial" w:eastAsia="Arial" w:hAnsi="Arial"/>
                <w:sz w:val="16"/>
                <w:szCs w:val="16"/>
                <w:color w:val="0000FF"/>
              </w:rPr>
            </w:pPr>
            <w:hyperlink w:anchor="page73">
              <w:r>
                <w:rPr>
                  <w:rFonts w:ascii="Arial" w:cs="Arial" w:eastAsia="Arial" w:hAnsi="Arial"/>
                  <w:sz w:val="16"/>
                  <w:szCs w:val="16"/>
                  <w:color w:val="0000FF"/>
                </w:rPr>
                <w:t>Other Information</w:t>
              </w:r>
            </w:hyperlink>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6.</w:t>
            </w:r>
          </w:p>
        </w:tc>
        <w:tc>
          <w:tcPr>
            <w:tcW w:w="540" w:type="dxa"/>
            <w:vAlign w:val="bottom"/>
            <w:tcBorders>
              <w:top w:val="single" w:sz="8" w:color="0000FF"/>
              <w:bottom w:val="single" w:sz="8" w:color="0000FF"/>
            </w:tcBorders>
            <w:gridSpan w:val="5"/>
          </w:tcPr>
          <w:p>
            <w:pPr>
              <w:spacing w:after="0"/>
              <w:rPr>
                <w:rFonts w:ascii="Arial" w:cs="Arial" w:eastAsia="Arial" w:hAnsi="Arial"/>
                <w:sz w:val="16"/>
                <w:szCs w:val="16"/>
                <w:color w:val="0000FF"/>
                <w:w w:val="92"/>
              </w:rPr>
            </w:pPr>
            <w:hyperlink w:anchor="page74">
              <w:r>
                <w:rPr>
                  <w:rFonts w:ascii="Arial" w:cs="Arial" w:eastAsia="Arial" w:hAnsi="Arial"/>
                  <w:sz w:val="16"/>
                  <w:szCs w:val="16"/>
                  <w:color w:val="0000FF"/>
                  <w:w w:val="92"/>
                </w:rPr>
                <w:t>Exhibits</w:t>
              </w:r>
            </w:hyperlink>
          </w:p>
        </w:tc>
        <w:tc>
          <w:tcPr>
            <w:tcW w:w="640" w:type="dxa"/>
            <w:vAlign w:val="bottom"/>
            <w:tcBorders>
              <w:top w:val="single" w:sz="8" w:color="0000FF"/>
            </w:tcBorders>
            <w:gridSpan w:val="2"/>
          </w:tcPr>
          <w:p>
            <w:pPr>
              <w:spacing w:after="0"/>
              <w:rPr>
                <w:sz w:val="19"/>
                <w:szCs w:val="19"/>
                <w:color w:val="auto"/>
              </w:rPr>
            </w:pPr>
          </w:p>
        </w:tc>
        <w:tc>
          <w:tcPr>
            <w:tcW w:w="8580" w:type="dxa"/>
            <w:vAlign w:val="bottom"/>
            <w:gridSpan w:val="18"/>
          </w:tcPr>
          <w:p>
            <w:pPr>
              <w:spacing w:after="0"/>
              <w:rPr>
                <w:sz w:val="19"/>
                <w:szCs w:val="19"/>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10580" w:type="dxa"/>
            <w:vAlign w:val="bottom"/>
            <w:gridSpan w:val="27"/>
          </w:tcPr>
          <w:p>
            <w:pPr>
              <w:ind w:left="20"/>
              <w:spacing w:after="0"/>
              <w:rPr>
                <w:rFonts w:ascii="Arial" w:cs="Arial" w:eastAsia="Arial" w:hAnsi="Arial"/>
                <w:sz w:val="16"/>
                <w:szCs w:val="16"/>
                <w:color w:val="0000FF"/>
              </w:rPr>
            </w:pPr>
            <w:hyperlink w:anchor="page75">
              <w:r>
                <w:rPr>
                  <w:rFonts w:ascii="Arial" w:cs="Arial" w:eastAsia="Arial" w:hAnsi="Arial"/>
                  <w:sz w:val="16"/>
                  <w:szCs w:val="16"/>
                  <w:color w:val="0000FF"/>
                </w:rPr>
                <w:t>SIGNATURES</w:t>
              </w:r>
            </w:hyperlink>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851"/>
        </w:trPr>
        <w:tc>
          <w:tcPr>
            <w:tcW w:w="20" w:type="dxa"/>
            <w:vAlign w:val="bottom"/>
            <w:tcBorders>
              <w:bottom w:val="single" w:sz="8" w:color="9A9A9A"/>
            </w:tcBorders>
          </w:tcPr>
          <w:p>
            <w:pPr>
              <w:spacing w:after="0"/>
              <w:rPr>
                <w:sz w:val="24"/>
                <w:szCs w:val="24"/>
                <w:color w:val="auto"/>
              </w:rPr>
            </w:pPr>
          </w:p>
        </w:tc>
        <w:tc>
          <w:tcPr>
            <w:tcW w:w="8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and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5"/>
                <w:szCs w:val="15"/>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2021</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96"/>
        </w:trPr>
        <w:tc>
          <w:tcPr>
            <w:tcW w:w="7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(unaudited)</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269,925</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238,605</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3,592</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w:t>
            </w:r>
          </w:p>
        </w:tc>
        <w:tc>
          <w:tcPr>
            <w:tcW w:w="100" w:type="dxa"/>
            <w:vAlign w:val="bottom"/>
          </w:tcPr>
          <w:p>
            <w:pPr>
              <w:spacing w:after="0"/>
              <w:rPr>
                <w:sz w:val="21"/>
                <w:szCs w:val="21"/>
                <w:color w:val="auto"/>
              </w:rPr>
            </w:pPr>
          </w:p>
        </w:tc>
      </w:tr>
      <w:tr>
        <w:trPr>
          <w:trHeight w:val="25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273,517</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240,681</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3,908</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4,102</w:t>
            </w:r>
          </w:p>
        </w:tc>
        <w:tc>
          <w:tcPr>
            <w:tcW w:w="100" w:type="dxa"/>
            <w:vAlign w:val="bottom"/>
          </w:tcPr>
          <w:p>
            <w:pPr>
              <w:spacing w:after="0"/>
              <w:rPr>
                <w:sz w:val="21"/>
                <w:szCs w:val="21"/>
                <w:color w:val="auto"/>
              </w:rPr>
            </w:pPr>
          </w:p>
        </w:tc>
      </w:tr>
      <w:tr>
        <w:trPr>
          <w:trHeight w:val="257"/>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277,579</w:t>
            </w:r>
          </w:p>
        </w:tc>
        <w:tc>
          <w:tcPr>
            <w:tcW w:w="28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244,937</w:t>
            </w:r>
          </w:p>
        </w:tc>
        <w:tc>
          <w:tcPr>
            <w:tcW w:w="100" w:type="dxa"/>
            <w:vAlign w:val="bottom"/>
          </w:tcPr>
          <w:p>
            <w:pPr>
              <w:spacing w:after="0"/>
              <w:rPr>
                <w:sz w:val="21"/>
                <w:szCs w:val="21"/>
                <w:color w:val="auto"/>
              </w:rPr>
            </w:pP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24,939</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12,068</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Current portion of deferred rent</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482</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r>
      <w:tr>
        <w:trPr>
          <w:trHeight w:val="257"/>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Current portion of deferred revenue</w:t>
            </w:r>
          </w:p>
        </w:tc>
        <w:tc>
          <w:tcPr>
            <w:tcW w:w="24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19,806</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19,806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45,227</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32,261</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accrued interest</w:t>
            </w:r>
          </w:p>
        </w:tc>
        <w:tc>
          <w:tcPr>
            <w:tcW w:w="24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Deferred rent, less current portion</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1,699</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r>
      <w:tr>
        <w:trPr>
          <w:trHeight w:val="25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debt</w:t>
            </w:r>
          </w:p>
        </w:tc>
        <w:tc>
          <w:tcPr>
            <w:tcW w:w="24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46,926</w:t>
            </w:r>
          </w:p>
        </w:tc>
        <w:tc>
          <w:tcPr>
            <w:tcW w:w="28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34,963</w:t>
            </w:r>
          </w:p>
        </w:tc>
        <w:tc>
          <w:tcPr>
            <w:tcW w:w="100" w:type="dxa"/>
            <w:vAlign w:val="bottom"/>
            <w:tcBorders>
              <w:top w:val="single" w:sz="8" w:color="CFF0FC"/>
            </w:tcBorders>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5)</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stock, $0.0001 par value; 200,000,000 shares authorized at</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0"/>
        </w:trPr>
        <w:tc>
          <w:tcPr>
            <w:tcW w:w="76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September 30, 2021 and December 31, 2020; 0 shares issued and outstanding at</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6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September 30, 2021 and December 31, 2020</w:t>
            </w:r>
          </w:p>
        </w:tc>
        <w:tc>
          <w:tcPr>
            <w:tcW w:w="24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42"/>
        </w:trPr>
        <w:tc>
          <w:tcPr>
            <w:tcW w:w="7640" w:type="dxa"/>
            <w:vAlign w:val="bottom"/>
          </w:tcPr>
          <w:p>
            <w:pPr>
              <w:ind w:left="200"/>
              <w:spacing w:after="0"/>
              <w:rPr>
                <w:sz w:val="20"/>
                <w:szCs w:val="20"/>
                <w:color w:val="auto"/>
              </w:rPr>
            </w:pPr>
            <w:r>
              <w:rPr>
                <w:rFonts w:ascii="Arial" w:cs="Arial" w:eastAsia="Arial" w:hAnsi="Arial"/>
                <w:sz w:val="18"/>
                <w:szCs w:val="18"/>
                <w:color w:val="auto"/>
              </w:rPr>
              <w:t>Common stock, $0.0001 par value; 350,000,000 shares authorized at September</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7640" w:type="dxa"/>
            <w:vAlign w:val="bottom"/>
          </w:tcPr>
          <w:p>
            <w:pPr>
              <w:ind w:left="340"/>
              <w:spacing w:after="0"/>
              <w:rPr>
                <w:sz w:val="20"/>
                <w:szCs w:val="20"/>
                <w:color w:val="auto"/>
              </w:rPr>
            </w:pPr>
            <w:r>
              <w:rPr>
                <w:rFonts w:ascii="Arial" w:cs="Arial" w:eastAsia="Arial" w:hAnsi="Arial"/>
                <w:sz w:val="18"/>
                <w:szCs w:val="18"/>
                <w:color w:val="auto"/>
              </w:rPr>
              <w:t>30, 2021 and December 31, 2020; 35,190,428 and 32,171,560 shares issued and</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640" w:type="dxa"/>
            <w:vAlign w:val="bottom"/>
          </w:tcPr>
          <w:p>
            <w:pPr>
              <w:ind w:left="340"/>
              <w:spacing w:after="0"/>
              <w:rPr>
                <w:sz w:val="20"/>
                <w:szCs w:val="20"/>
                <w:color w:val="auto"/>
              </w:rPr>
            </w:pPr>
            <w:r>
              <w:rPr>
                <w:rFonts w:ascii="Arial" w:cs="Arial" w:eastAsia="Arial" w:hAnsi="Arial"/>
                <w:sz w:val="18"/>
                <w:szCs w:val="18"/>
                <w:color w:val="auto"/>
              </w:rPr>
              <w:t>outstanding at September 30, 2021 and December 31, 2020, respectively</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Class B common stock, $0.0001 par value; 15,368,569 shares authorized at</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0"/>
        </w:trPr>
        <w:tc>
          <w:tcPr>
            <w:tcW w:w="76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September 30, 2021 and December 31, 2020; 1,492,059 shares issued and</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6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outstanding at September 30, 2021 and December 31, 2020</w:t>
            </w:r>
          </w:p>
        </w:tc>
        <w:tc>
          <w:tcPr>
            <w:tcW w:w="24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393,578</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300,888</w:t>
            </w:r>
          </w:p>
        </w:tc>
        <w:tc>
          <w:tcPr>
            <w:tcW w:w="100" w:type="dxa"/>
            <w:vAlign w:val="bottom"/>
          </w:tcPr>
          <w:p>
            <w:pPr>
              <w:spacing w:after="0"/>
              <w:rPr>
                <w:sz w:val="21"/>
                <w:szCs w:val="21"/>
                <w:color w:val="auto"/>
              </w:rPr>
            </w:pPr>
          </w:p>
        </w:tc>
      </w:tr>
      <w:tr>
        <w:trPr>
          <w:trHeight w:val="257"/>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(162,929 )</w:t>
            </w:r>
          </w:p>
        </w:tc>
        <w:tc>
          <w:tcPr>
            <w:tcW w:w="24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(90,917 )</w:t>
            </w:r>
          </w:p>
        </w:tc>
      </w:tr>
      <w:tr>
        <w:trPr>
          <w:trHeight w:val="250"/>
        </w:trPr>
        <w:tc>
          <w:tcPr>
            <w:tcW w:w="7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230,653</w:t>
            </w:r>
          </w:p>
        </w:tc>
        <w:tc>
          <w:tcPr>
            <w:tcW w:w="280" w:type="dxa"/>
            <w:vAlign w:val="bottom"/>
            <w:tcBorders>
              <w:top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209,974</w:t>
            </w:r>
          </w:p>
        </w:tc>
        <w:tc>
          <w:tcPr>
            <w:tcW w:w="100" w:type="dxa"/>
            <w:vAlign w:val="bottom"/>
            <w:tcBorders>
              <w:top w:val="single" w:sz="8" w:color="CFF0FC"/>
            </w:tcBorders>
          </w:tcPr>
          <w:p>
            <w:pPr>
              <w:spacing w:after="0"/>
              <w:rPr>
                <w:sz w:val="21"/>
                <w:szCs w:val="21"/>
                <w:color w:val="auto"/>
              </w:rPr>
            </w:pPr>
          </w:p>
        </w:tc>
      </w:tr>
      <w:tr>
        <w:trPr>
          <w:trHeight w:val="29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277,579</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244,937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-4222750</wp:posOffset>
            </wp:positionV>
            <wp:extent cx="1803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-4222750</wp:posOffset>
            </wp:positionV>
            <wp:extent cx="685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-3211195</wp:posOffset>
            </wp:positionV>
            <wp:extent cx="1803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-3211195</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-2550795</wp:posOffset>
            </wp:positionV>
            <wp:extent cx="1803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-2550795</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-365125</wp:posOffset>
            </wp:positionV>
            <wp:extent cx="1803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1803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1803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See accompanying notes.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 and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w w:val="99"/>
              </w:rPr>
              <w:t>Three Months Ended September 30,</w:t>
            </w:r>
          </w:p>
        </w:tc>
        <w:tc>
          <w:tcPr>
            <w:tcW w:w="200" w:type="dxa"/>
            <w:vAlign w:val="bottom"/>
          </w:tcPr>
          <w:p>
            <w:pPr>
              <w:spacing w:after="0"/>
              <w:rPr>
                <w:sz w:val="16"/>
                <w:szCs w:val="16"/>
                <w:color w:val="auto"/>
              </w:rPr>
            </w:pPr>
          </w:p>
        </w:tc>
        <w:tc>
          <w:tcPr>
            <w:tcW w:w="26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and other revenue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 expense</w:t>
            </w:r>
          </w:p>
        </w:tc>
        <w:tc>
          <w:tcPr>
            <w:tcW w:w="30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16,553</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4,864</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41,826</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00" w:type="dxa"/>
            <w:vAlign w:val="bottom"/>
          </w:tcPr>
          <w:p>
            <w:pPr>
              <w:ind w:left="20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7,142</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31,376</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23,695</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8,165</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73,202</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(23,695 )</w:t>
            </w:r>
          </w:p>
        </w:tc>
        <w:tc>
          <w:tcPr>
            <w:tcW w:w="2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(8,015 )</w:t>
            </w: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(72,952 )</w:t>
            </w:r>
          </w:p>
        </w:tc>
        <w:tc>
          <w:tcPr>
            <w:tcW w:w="2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(13,644 )</w:t>
            </w:r>
          </w:p>
        </w:tc>
        <w:tc>
          <w:tcPr>
            <w:tcW w:w="0" w:type="dxa"/>
            <w:vAlign w:val="bottom"/>
          </w:tcPr>
          <w:p>
            <w:pPr>
              <w:spacing w:after="0"/>
              <w:rPr>
                <w:sz w:val="1"/>
                <w:szCs w:val="1"/>
                <w:color w:val="auto"/>
              </w:rPr>
            </w:pPr>
          </w:p>
        </w:tc>
      </w:tr>
      <w:tr>
        <w:trPr>
          <w:trHeight w:val="26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9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5"/>
              </w:rPr>
              <w:t>Interest expense (includes related party amounts of $0 for the</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4"/>
              </w:rPr>
              <w:t>three and nine months ended September 30, 2021 and $9 and</w:t>
            </w: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2"/>
              </w:rPr>
              <w:t>$147 for the three and nine months ended September 30, 2020,</w:t>
            </w: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(86 )</w:t>
            </w:r>
          </w:p>
        </w:tc>
        <w:tc>
          <w:tcPr>
            <w:tcW w:w="2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(3 )</w:t>
            </w: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(1,387 )</w:t>
            </w:r>
          </w:p>
        </w:tc>
        <w:tc>
          <w:tcPr>
            <w:tcW w:w="0" w:type="dxa"/>
            <w:vAlign w:val="bottom"/>
          </w:tcPr>
          <w:p>
            <w:pPr>
              <w:spacing w:after="0"/>
              <w:rPr>
                <w:sz w:val="1"/>
                <w:szCs w:val="1"/>
                <w:color w:val="auto"/>
              </w:rPr>
            </w:pPr>
          </w:p>
        </w:tc>
      </w:tr>
      <w:tr>
        <w:trPr>
          <w:trHeight w:val="250"/>
        </w:trPr>
        <w:tc>
          <w:tcPr>
            <w:tcW w:w="4900" w:type="dxa"/>
            <w:vAlign w:val="bottom"/>
          </w:tcPr>
          <w:p>
            <w:pPr>
              <w:ind w:left="200"/>
              <w:spacing w:after="0"/>
              <w:rPr>
                <w:sz w:val="20"/>
                <w:szCs w:val="20"/>
                <w:color w:val="auto"/>
              </w:rPr>
            </w:pPr>
            <w:r>
              <w:rPr>
                <w:rFonts w:ascii="Arial" w:cs="Arial" w:eastAsia="Arial" w:hAnsi="Arial"/>
                <w:sz w:val="18"/>
                <w:szCs w:val="18"/>
                <w:color w:val="auto"/>
              </w:rPr>
              <w:t>Change in fair value of derivative liability</w:t>
            </w:r>
          </w:p>
        </w:tc>
        <w:tc>
          <w:tcPr>
            <w:tcW w:w="300" w:type="dxa"/>
            <w:vAlign w:val="bottom"/>
          </w:tcPr>
          <w:p>
            <w:pPr>
              <w:spacing w:after="0"/>
              <w:rPr>
                <w:sz w:val="21"/>
                <w:szCs w:val="21"/>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(853 )</w:t>
            </w:r>
          </w:p>
        </w:tc>
        <w:tc>
          <w:tcPr>
            <w:tcW w:w="2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(1,581 )</w:t>
            </w:r>
          </w:p>
        </w:tc>
        <w:tc>
          <w:tcPr>
            <w:tcW w:w="0" w:type="dxa"/>
            <w:vAlign w:val="bottom"/>
          </w:tcPr>
          <w:p>
            <w:pPr>
              <w:spacing w:after="0"/>
              <w:rPr>
                <w:sz w:val="1"/>
                <w:szCs w:val="1"/>
                <w:color w:val="auto"/>
              </w:rPr>
            </w:pPr>
          </w:p>
        </w:tc>
      </w:tr>
      <w:tr>
        <w:trPr>
          <w:trHeight w:val="263"/>
        </w:trPr>
        <w:tc>
          <w:tcPr>
            <w:tcW w:w="4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Gain (loss) on extinguishment of long-term debt</w:t>
            </w:r>
          </w:p>
        </w:tc>
        <w:tc>
          <w:tcPr>
            <w:tcW w:w="30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(2,709 )</w:t>
            </w:r>
          </w:p>
        </w:tc>
        <w:tc>
          <w:tcPr>
            <w:tcW w:w="20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(2,883 )</w:t>
            </w:r>
          </w:p>
        </w:tc>
        <w:tc>
          <w:tcPr>
            <w:tcW w:w="0" w:type="dxa"/>
            <w:vAlign w:val="bottom"/>
          </w:tcPr>
          <w:p>
            <w:pPr>
              <w:spacing w:after="0"/>
              <w:rPr>
                <w:sz w:val="1"/>
                <w:szCs w:val="1"/>
                <w:color w:val="auto"/>
              </w:rPr>
            </w:pPr>
          </w:p>
        </w:tc>
      </w:tr>
      <w:tr>
        <w:trPr>
          <w:trHeight w:val="250"/>
        </w:trPr>
        <w:tc>
          <w:tcPr>
            <w:tcW w:w="490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(1 )</w:t>
            </w:r>
          </w:p>
        </w:tc>
        <w:tc>
          <w:tcPr>
            <w:tcW w:w="28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(1 )</w:t>
            </w:r>
          </w:p>
        </w:tc>
        <w:tc>
          <w:tcPr>
            <w:tcW w:w="2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other income (expense)</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(3,617 )</w:t>
            </w: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(5,814 )</w:t>
            </w:r>
          </w:p>
        </w:tc>
        <w:tc>
          <w:tcPr>
            <w:tcW w:w="0" w:type="dxa"/>
            <w:vAlign w:val="bottom"/>
          </w:tcPr>
          <w:p>
            <w:pPr>
              <w:spacing w:after="0"/>
              <w:rPr>
                <w:sz w:val="1"/>
                <w:szCs w:val="1"/>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Consolidated net loss and comprehensive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(22,930 )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(11,632 )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(72,012 )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(19,458 )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90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Net loss per common share, basic and diluted </w:t>
            </w:r>
            <w:r>
              <w:rPr>
                <w:rFonts w:ascii="Arial" w:cs="Arial" w:eastAsia="Arial" w:hAnsi="Arial"/>
                <w:sz w:val="24"/>
                <w:szCs w:val="24"/>
                <w:color w:val="auto"/>
                <w:vertAlign w:val="superscript"/>
              </w:rPr>
              <w:t>(1)</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(0.68 )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(0.13 )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(2.13 )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(0.13 )</w:t>
            </w:r>
          </w:p>
        </w:tc>
        <w:tc>
          <w:tcPr>
            <w:tcW w:w="0" w:type="dxa"/>
            <w:vAlign w:val="bottom"/>
          </w:tcPr>
          <w:p>
            <w:pPr>
              <w:spacing w:after="0"/>
              <w:rPr>
                <w:sz w:val="1"/>
                <w:szCs w:val="1"/>
                <w:color w:val="auto"/>
              </w:rPr>
            </w:pPr>
          </w:p>
        </w:tc>
      </w:tr>
      <w:tr>
        <w:trPr>
          <w:trHeight w:val="201"/>
        </w:trPr>
        <w:tc>
          <w:tcPr>
            <w:tcW w:w="4900" w:type="dxa"/>
            <w:vAlign w:val="bottom"/>
            <w:tcBorders>
              <w:top w:val="single" w:sz="8" w:color="CFF0FC"/>
            </w:tcBorders>
          </w:tcPr>
          <w:p>
            <w:pPr>
              <w:ind w:left="20"/>
              <w:spacing w:after="0" w:line="201" w:lineRule="exact"/>
              <w:rPr>
                <w:sz w:val="20"/>
                <w:szCs w:val="20"/>
                <w:color w:val="auto"/>
              </w:rPr>
            </w:pPr>
            <w:r>
              <w:rPr>
                <w:rFonts w:ascii="Arial" w:cs="Arial" w:eastAsia="Arial" w:hAnsi="Arial"/>
                <w:sz w:val="18"/>
                <w:szCs w:val="18"/>
                <w:color w:val="auto"/>
                <w:w w:val="91"/>
              </w:rPr>
              <w:t>Weighted-average shares of common stock outstanding, basic and</w:t>
            </w: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33,909,460</w:t>
            </w:r>
          </w:p>
        </w:tc>
        <w:tc>
          <w:tcPr>
            <w:tcW w:w="2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80,860,651</w:t>
            </w: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33,751,558</w:t>
            </w:r>
          </w:p>
        </w:tc>
        <w:tc>
          <w:tcPr>
            <w:tcW w:w="2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80,860,651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90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4"/>
                <w:szCs w:val="24"/>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-2447925</wp:posOffset>
            </wp:positionV>
            <wp:extent cx="16256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-2447925</wp:posOffset>
            </wp:positionV>
            <wp:extent cx="16319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-2447925</wp:posOffset>
            </wp:positionV>
            <wp:extent cx="14605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-2447925</wp:posOffset>
            </wp:positionV>
            <wp:extent cx="5969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-690880</wp:posOffset>
            </wp:positionV>
            <wp:extent cx="16256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-690880</wp:posOffset>
            </wp:positionV>
            <wp:extent cx="16319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-690880</wp:posOffset>
            </wp:positionV>
            <wp:extent cx="14605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-690880</wp:posOffset>
            </wp:positionV>
            <wp:extent cx="5969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-333375</wp:posOffset>
            </wp:positionV>
            <wp:extent cx="1625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-316865</wp:posOffset>
            </wp:positionV>
            <wp:extent cx="1625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-333375</wp:posOffset>
            </wp:positionV>
            <wp:extent cx="1631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-316865</wp:posOffset>
            </wp:positionV>
            <wp:extent cx="1631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-333375</wp:posOffset>
            </wp:positionV>
            <wp:extent cx="1460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-316865</wp:posOffset>
            </wp:positionV>
            <wp:extent cx="1460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-333375</wp:posOffset>
            </wp:positionV>
            <wp:extent cx="596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-316865</wp:posOffset>
            </wp:positionV>
            <wp:extent cx="596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1" w:lineRule="exact"/>
        <w:rPr>
          <w:sz w:val="20"/>
          <w:szCs w:val="20"/>
          <w:color w:val="auto"/>
        </w:rPr>
      </w:pPr>
    </w:p>
    <w:p>
      <w:pPr>
        <w:ind w:left="200" w:right="280" w:hanging="192"/>
        <w:spacing w:after="0" w:line="248" w:lineRule="auto"/>
        <w:tabs>
          <w:tab w:leader="none" w:pos="172" w:val="left"/>
        </w:tabs>
        <w:numPr>
          <w:ilvl w:val="0"/>
          <w:numId w:val="3"/>
        </w:numPr>
        <w:rPr>
          <w:rFonts w:ascii="Arial" w:cs="Arial" w:eastAsia="Arial" w:hAnsi="Arial"/>
          <w:sz w:val="20"/>
          <w:szCs w:val="20"/>
          <w:color w:val="auto"/>
          <w:vertAlign w:val="superscript"/>
        </w:rPr>
      </w:pPr>
      <w:r>
        <w:rPr>
          <w:rFonts w:ascii="Arial" w:cs="Arial" w:eastAsia="Arial" w:hAnsi="Arial"/>
          <w:sz w:val="15"/>
          <w:szCs w:val="15"/>
          <w:color w:val="auto"/>
        </w:rPr>
        <w:t>The net loss attributable to common stockholders and related per share amounts for the three and nine months ended September 30, 2020 are based on the period from July 10, 2020 to September 30, 2020, the period where the Company had outstanding common stock (see Note 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ind w:right="-179"/>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8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7"/>
          </w:tcPr>
          <w:p>
            <w:pPr>
              <w:jc w:val="right"/>
              <w:ind w:right="175"/>
              <w:spacing w:after="0"/>
              <w:rPr>
                <w:sz w:val="20"/>
                <w:szCs w:val="20"/>
                <w:color w:val="auto"/>
              </w:rPr>
            </w:pPr>
            <w:r>
              <w:rPr>
                <w:rFonts w:ascii="Arial" w:cs="Arial" w:eastAsia="Arial" w:hAnsi="Arial"/>
                <w:sz w:val="14"/>
                <w:szCs w:val="14"/>
                <w:b w:val="1"/>
                <w:bCs w:val="1"/>
                <w:color w:val="auto"/>
                <w:w w:val="97"/>
              </w:rPr>
              <w:t>Three Months Ended September 30, 2021</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3"/>
            <w:vMerge w:val="restart"/>
          </w:tcPr>
          <w:p>
            <w:pPr>
              <w:jc w:val="center"/>
              <w:ind w:left="578"/>
              <w:spacing w:after="0"/>
              <w:rPr>
                <w:sz w:val="20"/>
                <w:szCs w:val="20"/>
                <w:color w:val="auto"/>
              </w:rPr>
            </w:pPr>
            <w:r>
              <w:rPr>
                <w:rFonts w:ascii="Arial" w:cs="Arial" w:eastAsia="Arial" w:hAnsi="Arial"/>
                <w:sz w:val="14"/>
                <w:szCs w:val="14"/>
                <w:b w:val="1"/>
                <w:bCs w:val="1"/>
                <w:color w:val="auto"/>
                <w:w w:val="89"/>
              </w:rPr>
              <w:t>Class B</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3800" w:type="dxa"/>
            <w:vAlign w:val="bottom"/>
          </w:tcPr>
          <w:p>
            <w:pPr>
              <w:spacing w:after="0"/>
              <w:rPr>
                <w:sz w:val="17"/>
                <w:szCs w:val="17"/>
                <w:color w:val="auto"/>
              </w:rPr>
            </w:pPr>
          </w:p>
        </w:tc>
        <w:tc>
          <w:tcPr>
            <w:tcW w:w="178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7"/>
                <w:szCs w:val="17"/>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1"/>
        </w:trPr>
        <w:tc>
          <w:tcPr>
            <w:tcW w:w="3800" w:type="dxa"/>
            <w:vAlign w:val="bottom"/>
          </w:tcPr>
          <w:p>
            <w:pPr>
              <w:spacing w:after="0"/>
              <w:rPr>
                <w:sz w:val="23"/>
                <w:szCs w:val="23"/>
                <w:color w:val="auto"/>
              </w:rPr>
            </w:pPr>
          </w:p>
        </w:tc>
        <w:tc>
          <w:tcPr>
            <w:tcW w:w="900" w:type="dxa"/>
            <w:vAlign w:val="bottom"/>
          </w:tcPr>
          <w:p>
            <w:pPr>
              <w:jc w:val="right"/>
              <w:ind w:right="153"/>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15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23"/>
                <w:szCs w:val="2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23"/>
                <w:szCs w:val="23"/>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2"/>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June 30, 2021</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32,315,30</w:t>
            </w:r>
          </w:p>
        </w:tc>
        <w:tc>
          <w:tcPr>
            <w:tcW w:w="180" w:type="dxa"/>
            <w:vAlign w:val="bottom"/>
            <w:shd w:val="clear" w:color="auto" w:fill="CFF0FC"/>
          </w:tcPr>
          <w:p>
            <w:pPr>
              <w:spacing w:after="0"/>
              <w:rPr>
                <w:sz w:val="21"/>
                <w:szCs w:val="21"/>
                <w:color w:val="auto"/>
              </w:rPr>
            </w:pPr>
          </w:p>
        </w:tc>
        <w:tc>
          <w:tcPr>
            <w:tcW w:w="700" w:type="dxa"/>
            <w:vAlign w:val="bottom"/>
            <w:tcBorders>
              <w:top w:val="single" w:sz="8" w:color="auto"/>
            </w:tcBorders>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70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76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FF0FC"/>
          </w:tcPr>
          <w:p>
            <w:pPr>
              <w:jc w:val="right"/>
              <w:ind w:right="52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1,492,059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ind w:left="52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318,019</w:t>
            </w:r>
          </w:p>
        </w:tc>
        <w:tc>
          <w:tcPr>
            <w:tcW w:w="11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 (139,999 )</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4,366</w:t>
            </w:r>
          </w:p>
        </w:tc>
        <w:tc>
          <w:tcPr>
            <w:tcW w:w="16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6"/>
              </w:rPr>
              <w:t>Issuance of common stock, net of issuance costs</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2,678,600</w:t>
            </w:r>
          </w:p>
        </w:tc>
        <w:tc>
          <w:tcPr>
            <w:tcW w:w="18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71,053</w:t>
            </w: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71,054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800" w:type="dxa"/>
            <w:vAlign w:val="bottom"/>
          </w:tcPr>
          <w:p>
            <w:pPr>
              <w:ind w:left="20"/>
              <w:spacing w:after="0"/>
              <w:rPr>
                <w:sz w:val="20"/>
                <w:szCs w:val="20"/>
                <w:color w:val="auto"/>
              </w:rPr>
            </w:pPr>
            <w:r>
              <w:rPr>
                <w:rFonts w:ascii="Arial" w:cs="Arial" w:eastAsia="Arial" w:hAnsi="Arial"/>
                <w:sz w:val="18"/>
                <w:szCs w:val="18"/>
                <w:color w:val="auto"/>
                <w:w w:val="95"/>
              </w:rPr>
              <w:t>Issuance of common stock under equity incentive</w:t>
            </w: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00" w:type="dxa"/>
            <w:vAlign w:val="bottom"/>
          </w:tcPr>
          <w:p>
            <w:pPr>
              <w:ind w:left="20"/>
              <w:spacing w:after="0"/>
              <w:rPr>
                <w:sz w:val="20"/>
                <w:szCs w:val="20"/>
                <w:color w:val="auto"/>
              </w:rPr>
            </w:pPr>
            <w:r>
              <w:rPr>
                <w:rFonts w:ascii="Arial" w:cs="Arial" w:eastAsia="Arial" w:hAnsi="Arial"/>
                <w:sz w:val="18"/>
                <w:szCs w:val="18"/>
                <w:color w:val="auto"/>
              </w:rPr>
              <w:t>plans</w:t>
            </w:r>
          </w:p>
        </w:tc>
        <w:tc>
          <w:tcPr>
            <w:tcW w:w="900" w:type="dxa"/>
            <w:vAlign w:val="bottom"/>
          </w:tcPr>
          <w:p>
            <w:pPr>
              <w:jc w:val="right"/>
              <w:spacing w:after="0"/>
              <w:rPr>
                <w:sz w:val="20"/>
                <w:szCs w:val="20"/>
                <w:color w:val="auto"/>
              </w:rPr>
            </w:pPr>
            <w:r>
              <w:rPr>
                <w:rFonts w:ascii="Arial" w:cs="Arial" w:eastAsia="Arial" w:hAnsi="Arial"/>
                <w:sz w:val="18"/>
                <w:szCs w:val="18"/>
                <w:color w:val="auto"/>
              </w:rPr>
              <w:t>188,780</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common stock upon exercise of</w:t>
            </w:r>
          </w:p>
        </w:tc>
        <w:tc>
          <w:tcPr>
            <w:tcW w:w="9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net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7,747</w:t>
            </w: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0" w:type="dxa"/>
            <w:vAlign w:val="bottom"/>
          </w:tcPr>
          <w:p>
            <w:pPr>
              <w:ind w:left="20"/>
              <w:spacing w:after="0"/>
              <w:rPr>
                <w:sz w:val="20"/>
                <w:szCs w:val="20"/>
                <w:color w:val="auto"/>
              </w:rPr>
            </w:pPr>
            <w:r>
              <w:rPr>
                <w:rFonts w:ascii="Arial" w:cs="Arial" w:eastAsia="Arial" w:hAnsi="Arial"/>
                <w:sz w:val="18"/>
                <w:szCs w:val="18"/>
                <w:color w:val="auto"/>
              </w:rPr>
              <w:t>Net loss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(22,930 )</w:t>
            </w:r>
          </w:p>
        </w:tc>
        <w:tc>
          <w:tcPr>
            <w:tcW w:w="16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(22,930 )</w:t>
            </w:r>
          </w:p>
        </w:tc>
        <w:tc>
          <w:tcPr>
            <w:tcW w:w="0" w:type="dxa"/>
            <w:vAlign w:val="bottom"/>
          </w:tcPr>
          <w:p>
            <w:pPr>
              <w:spacing w:after="0"/>
              <w:rPr>
                <w:sz w:val="1"/>
                <w:szCs w:val="1"/>
                <w:color w:val="auto"/>
              </w:rPr>
            </w:pPr>
          </w:p>
        </w:tc>
      </w:tr>
      <w:tr>
        <w:trPr>
          <w:trHeight w:val="242"/>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September 30, 2021</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35,190,42</w:t>
            </w:r>
          </w:p>
        </w:tc>
        <w:tc>
          <w:tcPr>
            <w:tcW w:w="180" w:type="dxa"/>
            <w:vAlign w:val="bottom"/>
            <w:shd w:val="clear" w:color="auto" w:fill="CFF0FC"/>
          </w:tcPr>
          <w:p>
            <w:pPr>
              <w:spacing w:after="0"/>
              <w:rPr>
                <w:sz w:val="21"/>
                <w:szCs w:val="21"/>
                <w:color w:val="auto"/>
              </w:rPr>
            </w:pPr>
          </w:p>
        </w:tc>
        <w:tc>
          <w:tcPr>
            <w:tcW w:w="700" w:type="dxa"/>
            <w:vAlign w:val="bottom"/>
            <w:tcBorders>
              <w:top w:val="single" w:sz="8" w:color="auto"/>
            </w:tcBorders>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70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76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80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22"/>
                <w:szCs w:val="22"/>
                <w:color w:val="auto"/>
              </w:rPr>
            </w:pPr>
          </w:p>
        </w:tc>
        <w:tc>
          <w:tcPr>
            <w:tcW w:w="700" w:type="dxa"/>
            <w:vAlign w:val="bottom"/>
            <w:shd w:val="clear" w:color="auto" w:fill="CFF0FC"/>
          </w:tcPr>
          <w:p>
            <w:pPr>
              <w:jc w:val="right"/>
              <w:ind w:right="522"/>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1,492,059</w:t>
            </w: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393,578</w:t>
            </w:r>
          </w:p>
        </w:tc>
        <w:tc>
          <w:tcPr>
            <w:tcW w:w="16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2"/>
              </w:rPr>
              <w:t>$ (162,929 )</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230,653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8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right"/>
              <w:ind w:right="215"/>
              <w:spacing w:after="0"/>
              <w:rPr>
                <w:sz w:val="20"/>
                <w:szCs w:val="20"/>
                <w:color w:val="auto"/>
              </w:rPr>
            </w:pPr>
            <w:r>
              <w:rPr>
                <w:rFonts w:ascii="Arial" w:cs="Arial" w:eastAsia="Arial" w:hAnsi="Arial"/>
                <w:sz w:val="14"/>
                <w:szCs w:val="14"/>
                <w:b w:val="1"/>
                <w:bCs w:val="1"/>
                <w:color w:val="auto"/>
                <w:w w:val="98"/>
              </w:rPr>
              <w:t>Nine Months Ended September 30, 2021</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3"/>
            <w:vMerge w:val="restart"/>
          </w:tcPr>
          <w:p>
            <w:pPr>
              <w:jc w:val="center"/>
              <w:ind w:left="578"/>
              <w:spacing w:after="0"/>
              <w:rPr>
                <w:sz w:val="20"/>
                <w:szCs w:val="20"/>
                <w:color w:val="auto"/>
              </w:rPr>
            </w:pPr>
            <w:r>
              <w:rPr>
                <w:rFonts w:ascii="Arial" w:cs="Arial" w:eastAsia="Arial" w:hAnsi="Arial"/>
                <w:sz w:val="14"/>
                <w:szCs w:val="14"/>
                <w:b w:val="1"/>
                <w:bCs w:val="1"/>
                <w:color w:val="auto"/>
                <w:w w:val="89"/>
              </w:rPr>
              <w:t>Class B</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3800" w:type="dxa"/>
            <w:vAlign w:val="bottom"/>
          </w:tcPr>
          <w:p>
            <w:pPr>
              <w:spacing w:after="0"/>
              <w:rPr>
                <w:sz w:val="17"/>
                <w:szCs w:val="17"/>
                <w:color w:val="auto"/>
              </w:rPr>
            </w:pPr>
          </w:p>
        </w:tc>
        <w:tc>
          <w:tcPr>
            <w:tcW w:w="178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7"/>
                <w:szCs w:val="17"/>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1"/>
        </w:trPr>
        <w:tc>
          <w:tcPr>
            <w:tcW w:w="3800" w:type="dxa"/>
            <w:vAlign w:val="bottom"/>
          </w:tcPr>
          <w:p>
            <w:pPr>
              <w:spacing w:after="0"/>
              <w:rPr>
                <w:sz w:val="23"/>
                <w:szCs w:val="23"/>
                <w:color w:val="auto"/>
              </w:rPr>
            </w:pPr>
          </w:p>
        </w:tc>
        <w:tc>
          <w:tcPr>
            <w:tcW w:w="900" w:type="dxa"/>
            <w:vAlign w:val="bottom"/>
          </w:tcPr>
          <w:p>
            <w:pPr>
              <w:jc w:val="right"/>
              <w:ind w:right="153"/>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15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23"/>
                <w:szCs w:val="2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23"/>
                <w:szCs w:val="23"/>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2"/>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2020</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32,171,56</w:t>
            </w:r>
          </w:p>
        </w:tc>
        <w:tc>
          <w:tcPr>
            <w:tcW w:w="180" w:type="dxa"/>
            <w:vAlign w:val="bottom"/>
            <w:shd w:val="clear" w:color="auto" w:fill="CFF0FC"/>
          </w:tcPr>
          <w:p>
            <w:pPr>
              <w:spacing w:after="0"/>
              <w:rPr>
                <w:sz w:val="21"/>
                <w:szCs w:val="21"/>
                <w:color w:val="auto"/>
              </w:rPr>
            </w:pPr>
          </w:p>
        </w:tc>
        <w:tc>
          <w:tcPr>
            <w:tcW w:w="700" w:type="dxa"/>
            <w:vAlign w:val="bottom"/>
            <w:tcBorders>
              <w:top w:val="single" w:sz="8" w:color="auto"/>
            </w:tcBorders>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70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76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FF0FC"/>
          </w:tcPr>
          <w:p>
            <w:pPr>
              <w:jc w:val="right"/>
              <w:ind w:right="52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1,492,059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ind w:left="52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300,888</w:t>
            </w:r>
          </w:p>
        </w:tc>
        <w:tc>
          <w:tcPr>
            <w:tcW w:w="11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  (90,917 )</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209,974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21,307</w:t>
            </w:r>
          </w:p>
        </w:tc>
        <w:tc>
          <w:tcPr>
            <w:tcW w:w="16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21,307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6"/>
              </w:rPr>
              <w:t>Issuance of common stock, net of issuance costs</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2,678,600</w:t>
            </w:r>
          </w:p>
        </w:tc>
        <w:tc>
          <w:tcPr>
            <w:tcW w:w="18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71,053</w:t>
            </w: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71,054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800" w:type="dxa"/>
            <w:vAlign w:val="bottom"/>
          </w:tcPr>
          <w:p>
            <w:pPr>
              <w:ind w:left="20"/>
              <w:spacing w:after="0"/>
              <w:rPr>
                <w:sz w:val="20"/>
                <w:szCs w:val="20"/>
                <w:color w:val="auto"/>
              </w:rPr>
            </w:pPr>
            <w:r>
              <w:rPr>
                <w:rFonts w:ascii="Arial" w:cs="Arial" w:eastAsia="Arial" w:hAnsi="Arial"/>
                <w:sz w:val="18"/>
                <w:szCs w:val="18"/>
                <w:color w:val="auto"/>
                <w:w w:val="95"/>
              </w:rPr>
              <w:t>Issuance of common stock under equity incentive</w:t>
            </w: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00" w:type="dxa"/>
            <w:vAlign w:val="bottom"/>
          </w:tcPr>
          <w:p>
            <w:pPr>
              <w:ind w:left="20"/>
              <w:spacing w:after="0"/>
              <w:rPr>
                <w:sz w:val="20"/>
                <w:szCs w:val="20"/>
                <w:color w:val="auto"/>
              </w:rPr>
            </w:pPr>
            <w:r>
              <w:rPr>
                <w:rFonts w:ascii="Arial" w:cs="Arial" w:eastAsia="Arial" w:hAnsi="Arial"/>
                <w:sz w:val="18"/>
                <w:szCs w:val="18"/>
                <w:color w:val="auto"/>
              </w:rPr>
              <w:t>plans</w:t>
            </w:r>
          </w:p>
        </w:tc>
        <w:tc>
          <w:tcPr>
            <w:tcW w:w="900" w:type="dxa"/>
            <w:vAlign w:val="bottom"/>
          </w:tcPr>
          <w:p>
            <w:pPr>
              <w:jc w:val="right"/>
              <w:spacing w:after="0"/>
              <w:rPr>
                <w:sz w:val="20"/>
                <w:szCs w:val="20"/>
                <w:color w:val="auto"/>
              </w:rPr>
            </w:pPr>
            <w:r>
              <w:rPr>
                <w:rFonts w:ascii="Arial" w:cs="Arial" w:eastAsia="Arial" w:hAnsi="Arial"/>
                <w:sz w:val="18"/>
                <w:szCs w:val="18"/>
                <w:color w:val="auto"/>
              </w:rPr>
              <w:t>327,241</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common stock upon exercise of</w:t>
            </w:r>
          </w:p>
        </w:tc>
        <w:tc>
          <w:tcPr>
            <w:tcW w:w="9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net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7,747</w:t>
            </w: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00" w:type="dxa"/>
            <w:vAlign w:val="bottom"/>
          </w:tcPr>
          <w:p>
            <w:pPr>
              <w:ind w:left="20"/>
              <w:spacing w:after="0"/>
              <w:rPr>
                <w:sz w:val="20"/>
                <w:szCs w:val="20"/>
                <w:color w:val="auto"/>
              </w:rPr>
            </w:pPr>
            <w:r>
              <w:rPr>
                <w:rFonts w:ascii="Arial" w:cs="Arial" w:eastAsia="Arial" w:hAnsi="Arial"/>
                <w:sz w:val="18"/>
                <w:szCs w:val="18"/>
                <w:color w:val="auto"/>
              </w:rPr>
              <w:t>Issuance of common stock for Employee Stock</w:t>
            </w: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0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900" w:type="dxa"/>
            <w:vAlign w:val="bottom"/>
          </w:tcPr>
          <w:p>
            <w:pPr>
              <w:jc w:val="right"/>
              <w:spacing w:after="0"/>
              <w:rPr>
                <w:sz w:val="20"/>
                <w:szCs w:val="20"/>
                <w:color w:val="auto"/>
              </w:rPr>
            </w:pPr>
            <w:r>
              <w:rPr>
                <w:rFonts w:ascii="Arial" w:cs="Arial" w:eastAsia="Arial" w:hAnsi="Arial"/>
                <w:sz w:val="18"/>
                <w:szCs w:val="18"/>
                <w:color w:val="auto"/>
              </w:rPr>
              <w:t>5,280</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(72,012 )</w:t>
            </w:r>
          </w:p>
        </w:tc>
        <w:tc>
          <w:tcPr>
            <w:tcW w:w="16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(72,012 )</w:t>
            </w:r>
          </w:p>
        </w:tc>
        <w:tc>
          <w:tcPr>
            <w:tcW w:w="0" w:type="dxa"/>
            <w:vAlign w:val="bottom"/>
          </w:tcPr>
          <w:p>
            <w:pPr>
              <w:spacing w:after="0"/>
              <w:rPr>
                <w:sz w:val="1"/>
                <w:szCs w:val="1"/>
                <w:color w:val="auto"/>
              </w:rPr>
            </w:pPr>
          </w:p>
        </w:tc>
      </w:tr>
      <w:tr>
        <w:trPr>
          <w:trHeight w:val="242"/>
        </w:trPr>
        <w:tc>
          <w:tcPr>
            <w:tcW w:w="38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at September 30, 2021</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35,190,42</w:t>
            </w:r>
          </w:p>
        </w:tc>
        <w:tc>
          <w:tcPr>
            <w:tcW w:w="180" w:type="dxa"/>
            <w:vAlign w:val="bottom"/>
            <w:tcBorders>
              <w:top w:val="single" w:sz="8" w:color="CFF0FC"/>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6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6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60" w:type="dxa"/>
            <w:vAlign w:val="bottom"/>
            <w:tcBorders>
              <w:top w:val="single" w:sz="8" w:color="CFF0FC"/>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880" w:type="dxa"/>
            <w:vAlign w:val="bottom"/>
            <w:gridSpan w:val="2"/>
          </w:tcPr>
          <w:p>
            <w:pPr>
              <w:jc w:val="right"/>
              <w:ind w:right="52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1,492,059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393,578</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 (162,929 )</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230,653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-2965450</wp:posOffset>
            </wp:positionV>
            <wp:extent cx="120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-2948305</wp:posOffset>
            </wp:positionV>
            <wp:extent cx="120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-2965450</wp:posOffset>
            </wp:positionV>
            <wp:extent cx="120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-2948305</wp:posOffset>
            </wp:positionV>
            <wp:extent cx="120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-2965450</wp:posOffset>
            </wp:positionV>
            <wp:extent cx="1028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-2948305</wp:posOffset>
            </wp:positionV>
            <wp:extent cx="1028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-2965450</wp:posOffset>
            </wp:positionV>
            <wp:extent cx="1028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-2948305</wp:posOffset>
            </wp:positionV>
            <wp:extent cx="1028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-2965450</wp:posOffset>
            </wp:positionV>
            <wp:extent cx="1028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-2948305</wp:posOffset>
            </wp:positionV>
            <wp:extent cx="1028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-2965450</wp:posOffset>
            </wp:positionV>
            <wp:extent cx="1111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-2948305</wp:posOffset>
            </wp:positionV>
            <wp:extent cx="1111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-2965450</wp:posOffset>
            </wp:positionV>
            <wp:extent cx="514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-2948305</wp:posOffset>
            </wp:positionV>
            <wp:extent cx="514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-339090</wp:posOffset>
            </wp:positionV>
            <wp:extent cx="12001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-339090</wp:posOffset>
            </wp:positionV>
            <wp:extent cx="12001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-339090</wp:posOffset>
            </wp:positionV>
            <wp:extent cx="10287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-339090</wp:posOffset>
            </wp:positionV>
            <wp:extent cx="10287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-339090</wp:posOffset>
            </wp:positionV>
            <wp:extent cx="10287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-339090</wp:posOffset>
            </wp:positionV>
            <wp:extent cx="11112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-339090</wp:posOffset>
            </wp:positionV>
            <wp:extent cx="5143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See accompanying notes.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526" w:right="55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86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w w:val="94"/>
              </w:rPr>
              <w:t>Nine Months Ended September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7680" w:type="dxa"/>
            <w:vAlign w:val="bottom"/>
          </w:tcPr>
          <w:p>
            <w:pPr>
              <w:spacing w:after="0"/>
              <w:rPr>
                <w:sz w:val="17"/>
                <w:szCs w:val="17"/>
                <w:color w:val="auto"/>
              </w:rPr>
            </w:pPr>
          </w:p>
        </w:tc>
        <w:tc>
          <w:tcPr>
            <w:tcW w:w="98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w w:val="96"/>
              </w:rPr>
              <w:t>2021</w:t>
            </w:r>
          </w:p>
        </w:tc>
        <w:tc>
          <w:tcPr>
            <w:tcW w:w="6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(72,012 )</w:t>
            </w: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(19,458 )</w:t>
            </w: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1,016</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disposal of property and equipment</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Change in fair value of derivative liability</w:t>
            </w:r>
          </w:p>
        </w:tc>
        <w:tc>
          <w:tcPr>
            <w:tcW w:w="980" w:type="dxa"/>
            <w:vAlign w:val="bottom"/>
          </w:tcPr>
          <w:p>
            <w:pPr>
              <w:spacing w:after="0"/>
              <w:rPr>
                <w:sz w:val="21"/>
                <w:szCs w:val="21"/>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fair value of profits interest liability</w:t>
            </w:r>
          </w:p>
        </w:tc>
        <w:tc>
          <w:tcPr>
            <w:tcW w:w="98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(7,625 )</w:t>
            </w: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Loss/(gain) on extinguishment of debt</w:t>
            </w:r>
          </w:p>
        </w:tc>
        <w:tc>
          <w:tcPr>
            <w:tcW w:w="9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(690 )</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2,883</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21,307</w:t>
            </w: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Non-cash interest</w:t>
            </w:r>
          </w:p>
        </w:tc>
        <w:tc>
          <w:tcPr>
            <w:tcW w:w="980" w:type="dxa"/>
            <w:vAlign w:val="bottom"/>
          </w:tcPr>
          <w:p>
            <w:pPr>
              <w:spacing w:after="0"/>
              <w:rPr>
                <w:sz w:val="21"/>
                <w:szCs w:val="21"/>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interest</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Deferred rent</w:t>
            </w:r>
          </w:p>
        </w:tc>
        <w:tc>
          <w:tcPr>
            <w:tcW w:w="9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(221 )</w:t>
            </w:r>
          </w:p>
        </w:tc>
        <w:tc>
          <w:tcPr>
            <w:tcW w:w="98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(101 )</w:t>
            </w: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9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(1,516 )</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 and accrued expenses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10,844</w:t>
            </w: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(1,307 )</w:t>
            </w: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(429 )</w:t>
            </w:r>
          </w:p>
        </w:tc>
      </w:tr>
      <w:tr>
        <w:trPr>
          <w:trHeight w:val="20"/>
        </w:trPr>
        <w:tc>
          <w:tcPr>
            <w:tcW w:w="76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4"/>
              </w:rPr>
              <w:t>(41,265 )</w:t>
            </w:r>
          </w:p>
        </w:tc>
        <w:tc>
          <w:tcPr>
            <w:tcW w:w="98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1"/>
              </w:rPr>
              <w:t>(22,328 )</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Purchases of property and equipment</w:t>
            </w:r>
          </w:p>
        </w:tc>
        <w:tc>
          <w:tcPr>
            <w:tcW w:w="98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(835 )</w:t>
            </w:r>
          </w:p>
        </w:tc>
        <w:tc>
          <w:tcPr>
            <w:tcW w:w="98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(195 )</w:t>
            </w:r>
          </w:p>
        </w:tc>
      </w:tr>
      <w:tr>
        <w:trPr>
          <w:trHeight w:val="20"/>
        </w:trPr>
        <w:tc>
          <w:tcPr>
            <w:tcW w:w="76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(835 )</w:t>
            </w:r>
          </w:p>
        </w:tc>
        <w:tc>
          <w:tcPr>
            <w:tcW w:w="98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(195 )</w:t>
            </w: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980" w:type="dxa"/>
            <w:vAlign w:val="bottom"/>
          </w:tcPr>
          <w:p>
            <w:pPr>
              <w:spacing w:after="0"/>
              <w:rPr>
                <w:sz w:val="21"/>
                <w:szCs w:val="21"/>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(19 )</w:t>
            </w: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issuance of convertible debt</w:t>
            </w:r>
          </w:p>
        </w:tc>
        <w:tc>
          <w:tcPr>
            <w:tcW w:w="98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980" w:type="dxa"/>
            <w:vAlign w:val="bottom"/>
          </w:tcPr>
          <w:p>
            <w:pPr>
              <w:spacing w:after="0"/>
              <w:rPr>
                <w:sz w:val="21"/>
                <w:szCs w:val="21"/>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72,283</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issuance of PPP loan</w:t>
            </w:r>
          </w:p>
        </w:tc>
        <w:tc>
          <w:tcPr>
            <w:tcW w:w="98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Proceeds from initial public offering, net of issuance costs</w:t>
            </w:r>
          </w:p>
        </w:tc>
        <w:tc>
          <w:tcPr>
            <w:tcW w:w="980" w:type="dxa"/>
            <w:vAlign w:val="bottom"/>
          </w:tcPr>
          <w:p>
            <w:pPr>
              <w:spacing w:after="0"/>
              <w:rPr>
                <w:sz w:val="21"/>
                <w:szCs w:val="21"/>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(120 )</w:t>
            </w: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 of initial public offering costs</w:t>
            </w:r>
          </w:p>
        </w:tc>
        <w:tc>
          <w:tcPr>
            <w:tcW w:w="98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(1,911 )</w:t>
            </w:r>
          </w:p>
        </w:tc>
        <w:tc>
          <w:tcPr>
            <w:tcW w:w="98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Proceeds from issuance of common stock</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75,001</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190</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Borders>
              <w:top w:val="single" w:sz="8" w:color="auto"/>
              <w:bottom w:val="single" w:sz="8" w:color="auto"/>
            </w:tcBorders>
            <w:shd w:val="clear" w:color="auto" w:fill="CFF0FC"/>
          </w:tcPr>
          <w:p>
            <w:pPr>
              <w:spacing w:after="0"/>
              <w:rPr>
                <w:sz w:val="21"/>
                <w:szCs w:val="2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73,420</w:t>
            </w:r>
          </w:p>
        </w:tc>
        <w:tc>
          <w:tcPr>
            <w:tcW w:w="2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top w:val="single" w:sz="8" w:color="auto"/>
              <w:bottom w:val="single" w:sz="8" w:color="auto"/>
            </w:tcBorders>
            <w:shd w:val="clear" w:color="auto" w:fill="CFF0FC"/>
          </w:tcPr>
          <w:p>
            <w:pPr>
              <w:spacing w:after="0"/>
              <w:rPr>
                <w:sz w:val="21"/>
                <w:szCs w:val="21"/>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75,576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31,320</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53,053</w:t>
            </w:r>
          </w:p>
        </w:tc>
        <w:tc>
          <w:tcPr>
            <w:tcW w:w="100" w:type="dxa"/>
            <w:vAlign w:val="bottom"/>
          </w:tcPr>
          <w:p>
            <w:pPr>
              <w:spacing w:after="0"/>
              <w:rPr>
                <w:sz w:val="21"/>
                <w:szCs w:val="21"/>
                <w:color w:val="auto"/>
              </w:rPr>
            </w:pPr>
          </w:p>
        </w:tc>
      </w:tr>
      <w:tr>
        <w:trPr>
          <w:trHeight w:val="25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98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238,605</w:t>
            </w:r>
          </w:p>
        </w:tc>
        <w:tc>
          <w:tcPr>
            <w:tcW w:w="2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980" w:type="dxa"/>
            <w:vAlign w:val="bottom"/>
            <w:tcBorders>
              <w:bottom w:val="single" w:sz="8" w:color="auto"/>
            </w:tcBorders>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269,925</w:t>
            </w:r>
          </w:p>
        </w:tc>
        <w:tc>
          <w:tcPr>
            <w:tcW w:w="280" w:type="dxa"/>
            <w:vAlign w:val="bottom"/>
          </w:tcPr>
          <w:p>
            <w:pPr>
              <w:spacing w:after="0"/>
              <w:rPr>
                <w:sz w:val="21"/>
                <w:szCs w:val="21"/>
                <w:color w:val="auto"/>
              </w:rPr>
            </w:pPr>
          </w:p>
        </w:tc>
        <w:tc>
          <w:tcPr>
            <w:tcW w:w="98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56,757</w:t>
            </w:r>
          </w:p>
        </w:tc>
        <w:tc>
          <w:tcPr>
            <w:tcW w:w="100" w:type="dxa"/>
            <w:vAlign w:val="bottom"/>
          </w:tcPr>
          <w:p>
            <w:pPr>
              <w:spacing w:after="0"/>
              <w:rPr>
                <w:sz w:val="21"/>
                <w:szCs w:val="21"/>
                <w:color w:val="auto"/>
              </w:rPr>
            </w:pPr>
          </w:p>
        </w:tc>
      </w:tr>
      <w:tr>
        <w:trPr>
          <w:trHeight w:val="20"/>
        </w:trPr>
        <w:tc>
          <w:tcPr>
            <w:tcW w:w="7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Property and equipment additions included in accounts payable and accrued expenses</w:t>
            </w:r>
          </w:p>
        </w:tc>
        <w:tc>
          <w:tcPr>
            <w:tcW w:w="980" w:type="dxa"/>
            <w:vAlign w:val="bottom"/>
            <w:tcBorders>
              <w:bottom w:val="single" w:sz="8" w:color="auto"/>
            </w:tcBorders>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1"/>
                <w:szCs w:val="21"/>
                <w:color w:val="auto"/>
              </w:rPr>
            </w:pPr>
          </w:p>
        </w:tc>
        <w:tc>
          <w:tcPr>
            <w:tcW w:w="98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0"/>
        </w:trPr>
        <w:tc>
          <w:tcPr>
            <w:tcW w:w="7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Assumption of profits interest liability by affiliates</w:t>
            </w:r>
          </w:p>
        </w:tc>
        <w:tc>
          <w:tcPr>
            <w:tcW w:w="980" w:type="dxa"/>
            <w:vAlign w:val="bottom"/>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79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FF0FC"/>
          </w:tcPr>
          <w:p>
            <w:pPr>
              <w:spacing w:after="0"/>
              <w:rPr>
                <w:sz w:val="24"/>
                <w:szCs w:val="24"/>
                <w:color w:val="auto"/>
              </w:rPr>
            </w:pPr>
          </w:p>
        </w:tc>
      </w:tr>
      <w:tr>
        <w:trPr>
          <w:trHeight w:val="237"/>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Equity issuance costs included in accounts payable and accrued expenses</w:t>
            </w:r>
          </w:p>
        </w:tc>
        <w:tc>
          <w:tcPr>
            <w:tcW w:w="980" w:type="dxa"/>
            <w:vAlign w:val="bottom"/>
            <w:tcBorders>
              <w:top w:val="single" w:sz="8" w:color="auto"/>
              <w:bottom w:val="single" w:sz="8" w:color="auto"/>
            </w:tcBorders>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3,947</w:t>
            </w:r>
          </w:p>
        </w:tc>
        <w:tc>
          <w:tcPr>
            <w:tcW w:w="280" w:type="dxa"/>
            <w:vAlign w:val="bottom"/>
            <w:tcBorders>
              <w:top w:val="single" w:sz="8" w:color="CFF0FC"/>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79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5,082</w:t>
            </w:r>
          </w:p>
        </w:tc>
        <w:tc>
          <w:tcPr>
            <w:tcW w:w="100" w:type="dxa"/>
            <w:vAlign w:val="bottom"/>
            <w:tcBorders>
              <w:top w:val="single" w:sz="8" w:color="CFF0FC"/>
            </w:tcBorders>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7"/>
              </w:rPr>
              <w:t>Carrying value of convertible promissory notes settled in connection with Corporate Reorganization</w:t>
            </w:r>
          </w:p>
        </w:tc>
        <w:tc>
          <w:tcPr>
            <w:tcW w:w="980" w:type="dxa"/>
            <w:vAlign w:val="bottom"/>
            <w:tcBorders>
              <w:bottom w:val="single" w:sz="8" w:color="auto"/>
            </w:tcBorders>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27,711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Fair value of consideration issued in connection with settlement of convertible promissory notes</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30,594</w:t>
            </w:r>
          </w:p>
        </w:tc>
        <w:tc>
          <w:tcPr>
            <w:tcW w:w="10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-3605530</wp:posOffset>
            </wp:positionV>
            <wp:extent cx="18034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-3605530</wp:posOffset>
            </wp:positionV>
            <wp:extent cx="5969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-1633855</wp:posOffset>
            </wp:positionV>
            <wp:extent cx="18034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-1633855</wp:posOffset>
            </wp:positionV>
            <wp:extent cx="5969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-1299210</wp:posOffset>
            </wp:positionV>
            <wp:extent cx="18034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-1299210</wp:posOffset>
            </wp:positionV>
            <wp:extent cx="5969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-591185</wp:posOffset>
            </wp:positionV>
            <wp:extent cx="1803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-574040</wp:posOffset>
            </wp:positionV>
            <wp:extent cx="1803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-591185</wp:posOffset>
            </wp:positionV>
            <wp:extent cx="596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-574040</wp:posOffset>
            </wp:positionV>
            <wp:extent cx="596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-213995</wp:posOffset>
            </wp:positionV>
            <wp:extent cx="1803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-196850</wp:posOffset>
            </wp:positionV>
            <wp:extent cx="1803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-213995</wp:posOffset>
            </wp:positionV>
            <wp:extent cx="596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-196850</wp:posOffset>
            </wp:positionV>
            <wp:extent cx="596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31"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BioAtla, LLC was formed in Delaware in March 2007 and converted to a Delaware corporation in July 2020 as part of the Corporate Reorganization defined and described below, and was renamed BioAtla, Inc. (the “Company”). The Company has a proprietary platform for creating biologics, including its conditionally active biologics (“CAB” or “CABs”). CABs have been designed to be active only under certain conditions found in diseased tissue, while remaining inactive in normal tissue. The Company is currently in clinical development of its two lead CAB antibody drug conjugates (“CAB ADC”) targeting AXL and ROR2 receptors.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Reorganization and Series D Financing</w:t>
      </w:r>
    </w:p>
    <w:p>
      <w:pPr>
        <w:spacing w:after="0" w:line="131" w:lineRule="exact"/>
        <w:rPr>
          <w:sz w:val="20"/>
          <w:szCs w:val="20"/>
          <w:color w:val="auto"/>
        </w:rPr>
      </w:pPr>
    </w:p>
    <w:p>
      <w:pPr>
        <w:ind w:right="20" w:firstLine="509"/>
        <w:spacing w:after="0" w:line="299" w:lineRule="auto"/>
        <w:rPr>
          <w:sz w:val="20"/>
          <w:szCs w:val="20"/>
          <w:color w:val="auto"/>
        </w:rPr>
      </w:pPr>
      <w:r>
        <w:rPr>
          <w:rFonts w:ascii="Arial" w:cs="Arial" w:eastAsia="Arial" w:hAnsi="Arial"/>
          <w:sz w:val="16"/>
          <w:szCs w:val="16"/>
          <w:color w:val="auto"/>
        </w:rPr>
        <w:t>In July 2020, BioAtla, LLC completed a series of transactions (the “Corporate Reorganization”) in connection with the conversion from a limited liability company into a Delaware corporation, the spin-off of Himalaya Therapeutics SEZC, and the completion of a Series D convertible preferred stock financing. The Corporate Reorganization involved the formation of Himalaya Parent LLC as a wholly owned subsidiary of BioAtla, LLC and the formation of BioAtla MergerSub LLC, as a wholly owned subsidiary of Himalaya Parent LLC. Under the Agreement and Plan of Merger (the “Merger Agreement”), BioAtla, LLC was merged into and with BioAtla MergerSub LLC, with BioAtla, LLC surviving, and the members of BioAtla, LLC immediately prior to the effective time of the Merger Agreement received membership interests, on a one-for-one basis, of Himalaya Parent LLC as consideration, and the then-outstanding warrants to purchase equity of BioAtla, LLC were converted into warrants to purchase common shares of common stock of BioAtla, Inc. (see Note 6). The Himalaya Parent LLC operating agreement provided identical equity rights for the then outstanding units of BioAtla, LLC. In addition: (i) the membership interests of BioAtla, LLC held by Himalaya Parent LLC were exchanged for 6,220,050 shares of BioAtla, Inc. common stock, (ii) BioAtla, Inc. issued an aggregate of 59,164,808 shares of Series D convertible preferred stock to Himalaya Parent LLC and Himalaya Parent LLC issued an aggregate of 59,164,808 Class D units to the holders of convertible notes of BioAtla, LLC in connection with the conversion of their convertible notes into Class D units of Himalaya Parent LLC (see Note 4), (iii) BioAtla, LLC distributed to Himalaya Parent LLC its equity interests in Himalaya Therapeutics SEZC, a then majority-owned subsidiary which is engaged in the development of a set of antibodies in the field of oncology primarily in Greater China,</w:t>
      </w:r>
    </w:p>
    <w:p>
      <w:pPr>
        <w:spacing w:after="0" w:line="5" w:lineRule="exact"/>
        <w:rPr>
          <w:sz w:val="20"/>
          <w:szCs w:val="20"/>
          <w:color w:val="auto"/>
        </w:rPr>
      </w:pPr>
    </w:p>
    <w:p>
      <w:pPr>
        <w:ind w:right="20" w:firstLine="8"/>
        <w:spacing w:after="0" w:line="306" w:lineRule="auto"/>
        <w:tabs>
          <w:tab w:leader="none" w:pos="305" w:val="left"/>
        </w:tabs>
        <w:numPr>
          <w:ilvl w:val="0"/>
          <w:numId w:val="4"/>
        </w:numPr>
        <w:rPr>
          <w:rFonts w:ascii="Arial" w:cs="Arial" w:eastAsia="Arial" w:hAnsi="Arial"/>
          <w:sz w:val="16"/>
          <w:szCs w:val="16"/>
          <w:color w:val="auto"/>
        </w:rPr>
      </w:pPr>
      <w:r>
        <w:rPr>
          <w:rFonts w:ascii="Arial" w:cs="Arial" w:eastAsia="Arial" w:hAnsi="Arial"/>
          <w:sz w:val="16"/>
          <w:szCs w:val="16"/>
          <w:color w:val="auto"/>
        </w:rPr>
        <w:t>Himalaya Parent LLC assumed the profits interest liability of BioAtla, LLC (see Note 7) and (v) BioAtla, LLC converted into a Delaware corporation pursuant to a statutory conversion and changed its name to BioAtla, Inc. Following the Corporate Reorganization, Himalaya Parent LLC owned 59,164,808 shares of BioAtla, Inc. Series D convertible preferred stock and 6,220,050 shares of BioAtla, Inc. common stock, all of which were subsequently distributed (the "Distribution") to the members of Himalaya Parent LLC. As a result of the sale of 140,626,711 shares of Series D convertible preferred stock to new investors in July 2020 (see Note 6), BioAtla, Inc. was not controlled by Himalaya Parent LLC and BioAtla, Inc. does not control Himalaya Parent LLC subsequent to the distribution (see further discussion in “Principles of consolidation and deconsolidation” below). All pre-Corporate Reorganization operations, employees, property, assets and obligations of BioAtla, LLC (exclusive of the profits interest liability and equity interests in Himalaya Therapeutics SEZC now held by Himalaya Parent LLC) are held by BioAtla, Inc. Shares of Series D convertible preferred stock were subsequently converted into common stock as part of the Company's initial public offering ("IPO") in December 2020.</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Deconsolidation</w:t>
      </w:r>
    </w:p>
    <w:p>
      <w:pPr>
        <w:spacing w:after="0" w:line="131" w:lineRule="exact"/>
        <w:rPr>
          <w:sz w:val="20"/>
          <w:szCs w:val="20"/>
          <w:color w:val="auto"/>
        </w:rPr>
      </w:pPr>
    </w:p>
    <w:p>
      <w:pPr>
        <w:ind w:right="60" w:firstLine="509"/>
        <w:spacing w:after="0" w:line="288" w:lineRule="auto"/>
        <w:rPr>
          <w:sz w:val="20"/>
          <w:szCs w:val="20"/>
          <w:color w:val="auto"/>
        </w:rPr>
      </w:pPr>
      <w:r>
        <w:rPr>
          <w:rFonts w:ascii="Arial" w:cs="Arial" w:eastAsia="Arial" w:hAnsi="Arial"/>
          <w:sz w:val="17"/>
          <w:szCs w:val="17"/>
          <w:color w:val="auto"/>
        </w:rPr>
        <w:t>Prior to the Corporate Reorganization in July 2020, the consolidated financial statements included the accounts of BioAtla, LLC and those of its majority owned subsidiary Himalaya Therapeutics SEZC that had no material operations. Himalaya Therapeutics SEZC also had a wholly owned subsidiary, Himalaya Therapeutics HK Limited that had no material operations. All intercompany balances were eliminated in consolidation. In connection with the Corporate Reorganization, Himalaya Therapeutics SEZC and Himalaya Therapeutics HK Limited were deconsolidated without material impact to the consolidated financial statements. Subsequent to the Corporate Reorganization and subsequent to the Distribution as defined and described above, Himalaya Parent LLC does not control, is not under common control with, and is not consolidated by BioAtla, Inc. and BioAtla, Inc. is a single legal entity with no consolidated variable interest entities ("VIEs") or subsidiaries.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31" w:lineRule="exact"/>
        <w:rPr>
          <w:sz w:val="20"/>
          <w:szCs w:val="20"/>
          <w:color w:val="auto"/>
        </w:rPr>
      </w:pPr>
    </w:p>
    <w:p>
      <w:pPr>
        <w:ind w:firstLine="509"/>
        <w:spacing w:after="0" w:line="266" w:lineRule="auto"/>
        <w:rPr>
          <w:sz w:val="20"/>
          <w:szCs w:val="20"/>
          <w:color w:val="auto"/>
        </w:rPr>
      </w:pPr>
      <w:r>
        <w:rPr>
          <w:rFonts w:ascii="Arial" w:cs="Arial" w:eastAsia="Arial" w:hAnsi="Arial"/>
          <w:sz w:val="18"/>
          <w:szCs w:val="18"/>
          <w:color w:val="auto"/>
        </w:rPr>
        <w:t>The Company has incurred cumulative operating losses and negative cash flows from operations since its inception and expects to continue to incur significant expenses and operating losses for the foreseeable future as it continues the development of its product candidates. As of September 30, 2021, the Company had an accumulated deficit of $162.9 million. The Company plans to continue to fund its losses from operations and capital funding needs through public or private equity or debt financings or other sources. If the Company is not able to secure adequate additional funding, the Company may be forced to make reductions in spending, extend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ind w:right="400"/>
        <w:spacing w:after="0" w:line="293" w:lineRule="auto"/>
        <w:rPr>
          <w:sz w:val="20"/>
          <w:szCs w:val="20"/>
          <w:color w:val="auto"/>
        </w:rPr>
      </w:pPr>
      <w:r>
        <w:rPr>
          <w:rFonts w:ascii="Arial" w:cs="Arial" w:eastAsia="Arial" w:hAnsi="Arial"/>
          <w:sz w:val="18"/>
          <w:szCs w:val="18"/>
          <w:color w:val="auto"/>
        </w:rPr>
        <w:t>payment terms with suppliers, liquidate assets where possible, or suspend or curtail planned programs. Any of these actions could materially harm the Company’s business, results of operations and future prospects.</w:t>
      </w:r>
    </w:p>
    <w:p>
      <w:pPr>
        <w:spacing w:after="0" w:line="170" w:lineRule="exact"/>
        <w:rPr>
          <w:sz w:val="20"/>
          <w:szCs w:val="20"/>
          <w:color w:val="auto"/>
        </w:rPr>
      </w:pPr>
    </w:p>
    <w:p>
      <w:pPr>
        <w:ind w:right="200" w:firstLine="509"/>
        <w:spacing w:after="0" w:line="290" w:lineRule="auto"/>
        <w:rPr>
          <w:sz w:val="20"/>
          <w:szCs w:val="20"/>
          <w:color w:val="auto"/>
        </w:rPr>
      </w:pPr>
      <w:r>
        <w:rPr>
          <w:rFonts w:ascii="Arial" w:cs="Arial" w:eastAsia="Arial" w:hAnsi="Arial"/>
          <w:sz w:val="17"/>
          <w:szCs w:val="17"/>
          <w:color w:val="auto"/>
        </w:rPr>
        <w:t>Management is required to perform a two-step analysis of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 Management’s assessment included the preparation of cash flow forecasts resulting in management’s conclusion that there is not substantial doubt about the Company’s ability to continue as a going concern as its current cash and cash equivalents will be sufficient to fund the Company’s operations for a period of at least one year from the issuance date of these unaudited condensed consolidated financial statements.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31" w:lineRule="exact"/>
        <w:rPr>
          <w:sz w:val="20"/>
          <w:szCs w:val="20"/>
          <w:color w:val="auto"/>
        </w:rPr>
      </w:pPr>
    </w:p>
    <w:p>
      <w:pPr>
        <w:ind w:right="60" w:firstLine="509"/>
        <w:spacing w:after="0" w:line="287" w:lineRule="auto"/>
        <w:rPr>
          <w:sz w:val="20"/>
          <w:szCs w:val="20"/>
          <w:color w:val="auto"/>
        </w:rPr>
      </w:pPr>
      <w:r>
        <w:rPr>
          <w:rFonts w:ascii="Arial" w:cs="Arial" w:eastAsia="Arial" w:hAnsi="Arial"/>
          <w:sz w:val="17"/>
          <w:szCs w:val="17"/>
          <w:color w:val="auto"/>
        </w:rPr>
        <w:t>The unaudited condensed consolidated financial statements as of September 30, 2021, and for the three and nine months ended September 30, 2021 and 2020, have been prepared in accordance with the rules and regulations of the Securities and Exchange Commission (“SEC”), and with accounting principles generally accepted in the United States (“GAAP”) applicable to interim financial statements. These unaudited condensed consolidated financial statements have been prepared on the same basis as the audited financial statements and include all adjustments, consisting of only normal recurring accruals, which in the opinion of management are necessary to present fairly the Company’s financial position as of the interim date and results of operations for the interim periods presented. Interim results are not necessarily indicative of results for a full year or future periods. These unaudited condensed consolidated financial statements should be read in conjunction with the Company’s audited financial statements for the year ended December 31, 2020, included in its Annual Report on Form 10-K filed with the SEC on March 24, 2021.</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1"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The preparation of the Company’s consolidated financial statements requires it to make estimates and assumptions that impact the reported amounts of assets, liabilities, revenues and expenses and the disclosure of contingent assets and liabilities in the Company’s consolidated financial statements and accompanying notes. The most significant estimates in the Company’s consolidated financial statements relate to revenue recognition, accruals for research and development costs, equity-based compensation and fair value measurements.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31"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Financial instruments that potentially subject the Company to a significant concentration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1" w:lineRule="exact"/>
        <w:rPr>
          <w:sz w:val="20"/>
          <w:szCs w:val="20"/>
          <w:color w:val="auto"/>
        </w:rPr>
      </w:pPr>
    </w:p>
    <w:p>
      <w:pPr>
        <w:jc w:val="both"/>
        <w:ind w:right="360" w:firstLine="509"/>
        <w:spacing w:after="0" w:line="303" w:lineRule="auto"/>
        <w:rPr>
          <w:sz w:val="20"/>
          <w:szCs w:val="20"/>
          <w:color w:val="auto"/>
        </w:rPr>
      </w:pPr>
      <w:r>
        <w:rPr>
          <w:rFonts w:ascii="Arial" w:cs="Arial" w:eastAsia="Arial" w:hAnsi="Arial"/>
          <w:sz w:val="17"/>
          <w:szCs w:val="17"/>
          <w:color w:val="auto"/>
        </w:rPr>
        <w:t>In March 2021, the American Rescue Plan (H.R. 1319) was signed into law. This legislation extends and enhances a number of current-law tax incentives for businesses, but also expands the definition of a “covered employee” as defined by Section 162(m)(1) of the Internal Revenue Code. The corporate tax provisions included within the bill are not expected to have a material impact on the Company.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1" w:lineRule="exact"/>
        <w:rPr>
          <w:sz w:val="20"/>
          <w:szCs w:val="20"/>
          <w:color w:val="auto"/>
        </w:rPr>
      </w:pPr>
    </w:p>
    <w:p>
      <w:pPr>
        <w:ind w:right="20" w:firstLine="509"/>
        <w:spacing w:after="0" w:line="266" w:lineRule="auto"/>
        <w:rPr>
          <w:sz w:val="20"/>
          <w:szCs w:val="20"/>
          <w:color w:val="auto"/>
        </w:rPr>
      </w:pPr>
      <w:r>
        <w:rPr>
          <w:rFonts w:ascii="Arial" w:cs="Arial" w:eastAsia="Arial" w:hAnsi="Arial"/>
          <w:sz w:val="18"/>
          <w:szCs w:val="18"/>
          <w:color w:val="auto"/>
        </w:rPr>
        <w:t>Stock-based compensation expense represents the grant date fair value of equity awards, consisting of stock options, restricted stock units (“RSUs”) and employee stock purchase plan rights, over the requisite service period of the awards (usually the vesting period) on a straight-line basis. The Company estimates the fair value of stock option grants and employee stock purchase plan rights using the Black-Scholes option pricing model. Prior to the Company’s IPO, the fair value of RSUs was based on the estimated fair value of the underlying common stock on the date of grant and, subsequent to the Company’s IPO, the fair value is based on the closing sales price of the Company’s common stock on the date of grant. Equity award forfeitures are recognized as they occur.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31" w:lineRule="exact"/>
        <w:rPr>
          <w:sz w:val="20"/>
          <w:szCs w:val="20"/>
          <w:color w:val="auto"/>
        </w:rPr>
      </w:pPr>
    </w:p>
    <w:p>
      <w:pPr>
        <w:jc w:val="both"/>
        <w:ind w:right="20" w:firstLine="509"/>
        <w:spacing w:after="0" w:line="279" w:lineRule="auto"/>
        <w:rPr>
          <w:sz w:val="20"/>
          <w:szCs w:val="20"/>
          <w:color w:val="auto"/>
        </w:rPr>
      </w:pPr>
      <w:r>
        <w:rPr>
          <w:rFonts w:ascii="Arial" w:cs="Arial" w:eastAsia="Arial" w:hAnsi="Arial"/>
          <w:sz w:val="18"/>
          <w:szCs w:val="18"/>
          <w:color w:val="auto"/>
        </w:rPr>
        <w:t>Comprehensive loss is defined as a change in equity during a period from transactions and other events and circumstances from non-owner sources. There have been no items qualifying as other comprehensive loss and, therefore, for all periods presented, the Company’s comprehensive loss was the same as its reported net loss.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31" w:lineRule="exact"/>
        <w:rPr>
          <w:sz w:val="20"/>
          <w:szCs w:val="20"/>
          <w:color w:val="auto"/>
        </w:rPr>
      </w:pPr>
    </w:p>
    <w:p>
      <w:pPr>
        <w:ind w:right="360" w:firstLine="509"/>
        <w:spacing w:after="0" w:line="272" w:lineRule="auto"/>
        <w:rPr>
          <w:sz w:val="20"/>
          <w:szCs w:val="20"/>
          <w:color w:val="auto"/>
        </w:rPr>
      </w:pPr>
      <w:r>
        <w:rPr>
          <w:rFonts w:ascii="Arial" w:cs="Arial" w:eastAsia="Arial" w:hAnsi="Arial"/>
          <w:sz w:val="18"/>
          <w:szCs w:val="18"/>
          <w:color w:val="auto"/>
        </w:rPr>
        <w:t>Basic net loss per common share is computed by dividing the net loss by the weighted-average number of common shares outstanding for the period, without consideration for potentially dilutive securities. Diluted net loss per share is computed by dividing the net loss by the weighted-average number of common shares and dilutive common stock equivalents outstanding for the period determined using the treasury-stock method. Dilutive common stock equivalents are comprised of common stock warrants, RSUs, and common stock options outstanding under the Company’s stock option plan.</w:t>
      </w:r>
    </w:p>
    <w:p>
      <w:pPr>
        <w:spacing w:after="0" w:line="191" w:lineRule="exact"/>
        <w:rPr>
          <w:sz w:val="20"/>
          <w:szCs w:val="20"/>
          <w:color w:val="auto"/>
        </w:rPr>
      </w:pPr>
    </w:p>
    <w:p>
      <w:pPr>
        <w:jc w:val="both"/>
        <w:ind w:right="340" w:firstLine="509"/>
        <w:spacing w:after="0" w:line="303" w:lineRule="auto"/>
        <w:rPr>
          <w:sz w:val="20"/>
          <w:szCs w:val="20"/>
          <w:color w:val="auto"/>
        </w:rPr>
      </w:pPr>
      <w:r>
        <w:rPr>
          <w:rFonts w:ascii="Arial" w:cs="Arial" w:eastAsia="Arial" w:hAnsi="Arial"/>
          <w:sz w:val="17"/>
          <w:szCs w:val="17"/>
          <w:color w:val="auto"/>
        </w:rPr>
        <w:t>For the three and nine months ended September 30, 2020, the Company determined that the attribution of pre-Corporate Reorganization net loss based on the post-Corporate Reorganization capital structure would not meaningfully represent the economic rights of the unit holders. As a result, the Company presents net loss per share information only for the period subsequent to the Corporate Reorganization.</w:t>
      </w:r>
    </w:p>
    <w:p>
      <w:pPr>
        <w:spacing w:after="0" w:line="164" w:lineRule="exact"/>
        <w:rPr>
          <w:sz w:val="20"/>
          <w:szCs w:val="20"/>
          <w:color w:val="auto"/>
        </w:rPr>
      </w:pPr>
    </w:p>
    <w:p>
      <w:pPr>
        <w:ind w:right="220" w:firstLine="509"/>
        <w:spacing w:after="0" w:line="293"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equivalents):</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7220" w:type="dxa"/>
            <w:vAlign w:val="bottom"/>
          </w:tcPr>
          <w:p>
            <w:pPr>
              <w:spacing w:after="0"/>
              <w:rPr>
                <w:sz w:val="15"/>
                <w:szCs w:val="15"/>
                <w:color w:val="auto"/>
              </w:rPr>
            </w:pPr>
          </w:p>
        </w:tc>
        <w:tc>
          <w:tcPr>
            <w:tcW w:w="1680" w:type="dxa"/>
            <w:vAlign w:val="bottom"/>
          </w:tcPr>
          <w:p>
            <w:pPr>
              <w:jc w:val="right"/>
              <w:ind w:right="335"/>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r>
      <w:tr>
        <w:trPr>
          <w:trHeight w:val="192"/>
        </w:trPr>
        <w:tc>
          <w:tcPr>
            <w:tcW w:w="7220" w:type="dxa"/>
            <w:vAlign w:val="bottom"/>
          </w:tcPr>
          <w:p>
            <w:pPr>
              <w:spacing w:after="0"/>
              <w:rPr>
                <w:sz w:val="16"/>
                <w:szCs w:val="16"/>
                <w:color w:val="auto"/>
              </w:rPr>
            </w:pPr>
          </w:p>
        </w:tc>
        <w:tc>
          <w:tcPr>
            <w:tcW w:w="16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256"/>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717,674</w:t>
            </w:r>
          </w:p>
        </w:tc>
        <w:tc>
          <w:tcPr>
            <w:tcW w:w="80" w:type="dxa"/>
            <w:vAlign w:val="bottom"/>
            <w:shd w:val="clear" w:color="auto" w:fill="CFF0FC"/>
          </w:tcPr>
          <w:p>
            <w:pPr>
              <w:spacing w:after="0"/>
              <w:rPr>
                <w:sz w:val="22"/>
                <w:szCs w:val="22"/>
                <w:color w:val="auto"/>
              </w:rPr>
            </w:pPr>
          </w:p>
        </w:tc>
      </w:tr>
      <w:tr>
        <w:trPr>
          <w:trHeight w:val="250"/>
        </w:trPr>
        <w:tc>
          <w:tcPr>
            <w:tcW w:w="7220" w:type="dxa"/>
            <w:vAlign w:val="bottom"/>
          </w:tcPr>
          <w:p>
            <w:pPr>
              <w:spacing w:after="0"/>
              <w:rPr>
                <w:sz w:val="20"/>
                <w:szCs w:val="20"/>
                <w:color w:val="auto"/>
              </w:rPr>
            </w:pPr>
            <w:r>
              <w:rPr>
                <w:rFonts w:ascii="Arial" w:cs="Arial" w:eastAsia="Arial" w:hAnsi="Arial"/>
                <w:sz w:val="18"/>
                <w:szCs w:val="18"/>
                <w:color w:val="auto"/>
              </w:rPr>
              <w:t>Common stock options</w:t>
            </w:r>
          </w:p>
        </w:tc>
        <w:tc>
          <w:tcPr>
            <w:tcW w:w="1680" w:type="dxa"/>
            <w:vAlign w:val="bottom"/>
          </w:tcPr>
          <w:p>
            <w:pPr>
              <w:jc w:val="right"/>
              <w:spacing w:after="0"/>
              <w:rPr>
                <w:sz w:val="20"/>
                <w:szCs w:val="20"/>
                <w:color w:val="auto"/>
              </w:rPr>
            </w:pPr>
            <w:r>
              <w:rPr>
                <w:rFonts w:ascii="Arial" w:cs="Arial" w:eastAsia="Arial" w:hAnsi="Arial"/>
                <w:sz w:val="18"/>
                <w:szCs w:val="18"/>
                <w:color w:val="auto"/>
              </w:rPr>
              <w:t>960,402</w:t>
            </w:r>
          </w:p>
        </w:tc>
        <w:tc>
          <w:tcPr>
            <w:tcW w:w="80" w:type="dxa"/>
            <w:vAlign w:val="bottom"/>
          </w:tcPr>
          <w:p>
            <w:pPr>
              <w:spacing w:after="0"/>
              <w:rPr>
                <w:sz w:val="21"/>
                <w:szCs w:val="21"/>
                <w:color w:val="auto"/>
              </w:rPr>
            </w:pPr>
          </w:p>
        </w:tc>
      </w:tr>
      <w:tr>
        <w:trPr>
          <w:trHeight w:val="263"/>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1,592,796</w:t>
            </w:r>
          </w:p>
        </w:tc>
        <w:tc>
          <w:tcPr>
            <w:tcW w:w="80" w:type="dxa"/>
            <w:vAlign w:val="bottom"/>
            <w:shd w:val="clear" w:color="auto" w:fill="CFF0FC"/>
          </w:tcPr>
          <w:p>
            <w:pPr>
              <w:spacing w:after="0"/>
              <w:rPr>
                <w:sz w:val="22"/>
                <w:szCs w:val="22"/>
                <w:color w:val="auto"/>
              </w:rPr>
            </w:pPr>
          </w:p>
        </w:tc>
      </w:tr>
      <w:tr>
        <w:trPr>
          <w:trHeight w:val="250"/>
        </w:trPr>
        <w:tc>
          <w:tcPr>
            <w:tcW w:w="7220" w:type="dxa"/>
            <w:vAlign w:val="bottom"/>
          </w:tcPr>
          <w:p>
            <w:pPr>
              <w:spacing w:after="0"/>
              <w:rPr>
                <w:sz w:val="20"/>
                <w:szCs w:val="20"/>
                <w:color w:val="auto"/>
              </w:rPr>
            </w:pPr>
            <w:r>
              <w:rPr>
                <w:rFonts w:ascii="Arial" w:cs="Arial" w:eastAsia="Arial" w:hAnsi="Arial"/>
                <w:sz w:val="18"/>
                <w:szCs w:val="18"/>
                <w:color w:val="auto"/>
              </w:rPr>
              <w:t>ESPP shares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4,109</w:t>
            </w:r>
          </w:p>
        </w:tc>
        <w:tc>
          <w:tcPr>
            <w:tcW w:w="80" w:type="dxa"/>
            <w:vAlign w:val="bottom"/>
          </w:tcPr>
          <w:p>
            <w:pPr>
              <w:spacing w:after="0"/>
              <w:rPr>
                <w:sz w:val="21"/>
                <w:szCs w:val="21"/>
                <w:color w:val="auto"/>
              </w:rPr>
            </w:pPr>
          </w:p>
        </w:tc>
      </w:tr>
      <w:tr>
        <w:trPr>
          <w:trHeight w:val="290"/>
        </w:trPr>
        <w:tc>
          <w:tcPr>
            <w:tcW w:w="7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3,274,981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1"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 xml:space="preserve">In February 2016, the Financial Accounting Standards Board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The new standard establishes a right-of-use model and requires a lessee to recognize on the balance sheet a right-of-use asset and corresponding lease liability for all leases with terms longer than 12 months. Leases will be classified as either finance or operating, with classification affecting the pattern of expense recognition in the income statement. ASU No. 2016-02 is effective for annual periods beginning after December 15, 2021, and interim periods within fiscal years beginning after December 15, 2022 and early adoption is permitted. The Company expects to lose its EGC status as of December 31, 2021, therefore the new standard will be effective for the Company for its fiscal year beginning January 1, 2021 and will be presented in the 2021 annual financial statements. While management is currently assessing the impact this new standard will have, the expected primary impact to the Company's consolidated financial position upon adoption will be the recognition, on a discounted basis, of its minimum commitments under noncancelable operating leases on its consolidated balance sheets resulting in the recording of right of use assets and lease liabilities. The Company intends to adopt the standard using the modified retrospective transition method and will not restate comparative periods. The Company’s current minimum commitments under its noncancelable operating leases are disclosed in Note 5.</w:t>
      </w:r>
    </w:p>
    <w:p>
      <w:pPr>
        <w:spacing w:after="0" w:line="165" w:lineRule="exact"/>
        <w:rPr>
          <w:sz w:val="20"/>
          <w:szCs w:val="20"/>
          <w:color w:val="auto"/>
        </w:rPr>
      </w:pPr>
    </w:p>
    <w:p>
      <w:pPr>
        <w:ind w:right="20" w:firstLine="509"/>
        <w:spacing w:after="0" w:line="299" w:lineRule="auto"/>
        <w:rPr>
          <w:sz w:val="20"/>
          <w:szCs w:val="20"/>
          <w:color w:val="auto"/>
        </w:rPr>
      </w:pPr>
      <w:r>
        <w:rPr>
          <w:rFonts w:ascii="Arial" w:cs="Arial" w:eastAsia="Arial" w:hAnsi="Arial"/>
          <w:sz w:val="16"/>
          <w:szCs w:val="16"/>
          <w:color w:val="auto"/>
        </w:rPr>
        <w:t>In December 2019, the FASB issued Accounting Standards Update (“ASU”) 2019-12, Income Taxes (Topic 740) – Simplifying the Accounting for Income Taxes, to simplify the accounting for income taxes by removing certain exceptions to the general principles in Topic 740. The amendments also improve consistent application of and simplify GAAP for other areas of Topic 740 by clarifying and amending existing guidance. ASU 2019-12 is effective for fiscal years beginning after December 15, 2020 and interim periods within those fiscal years. The Company expects to lose its EGC status as of December 31, 2021, therefore the new standard will be effective for the Company for its fiscal year beginning January 1, 2021. Adoption of the new standard is not expected to have a material impact on the Company's consolidated financial statements and related disclosures.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2. Balance Sheet Details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57" w:lineRule="exact"/>
        <w:rPr>
          <w:sz w:val="20"/>
          <w:szCs w:val="20"/>
          <w:color w:val="auto"/>
        </w:rPr>
      </w:pPr>
    </w:p>
    <w:tbl>
      <w:tblPr>
        <w:tblLayout w:type="fixed"/>
        <w:tblInd w:w="520" w:type="dxa"/>
        <w:tblCellMar>
          <w:top w:w="0" w:type="dxa"/>
          <w:left w:w="0" w:type="dxa"/>
          <w:bottom w:w="0" w:type="dxa"/>
          <w:right w:w="0" w:type="dxa"/>
        </w:tblCellMar>
      </w:tblPr>
      <w:tr>
        <w:trPr>
          <w:trHeight w:val="175"/>
        </w:trPr>
        <w:tc>
          <w:tcPr>
            <w:tcW w:w="6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6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5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Prepaid research and development</w:t>
            </w:r>
          </w:p>
        </w:tc>
        <w:tc>
          <w:tcPr>
            <w:tcW w:w="700" w:type="dxa"/>
            <w:vAlign w:val="bottom"/>
            <w:shd w:val="clear" w:color="auto" w:fill="CFF0FC"/>
          </w:tcPr>
          <w:p>
            <w:pPr>
              <w:spacing w:after="0"/>
              <w:rPr>
                <w:sz w:val="22"/>
                <w:szCs w:val="22"/>
                <w:color w:val="auto"/>
              </w:rPr>
            </w:pPr>
          </w:p>
        </w:tc>
        <w:tc>
          <w:tcPr>
            <w:tcW w:w="34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2,549</w:t>
            </w:r>
          </w:p>
        </w:tc>
        <w:tc>
          <w:tcPr>
            <w:tcW w:w="160" w:type="dxa"/>
            <w:vAlign w:val="bottom"/>
            <w:shd w:val="clear" w:color="auto" w:fill="CFF0FC"/>
          </w:tcPr>
          <w:p>
            <w:pPr>
              <w:spacing w:after="0"/>
              <w:rPr>
                <w:sz w:val="22"/>
                <w:szCs w:val="22"/>
                <w:color w:val="auto"/>
              </w:rPr>
            </w:pPr>
          </w:p>
        </w:tc>
        <w:tc>
          <w:tcPr>
            <w:tcW w:w="2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2,004</w:t>
            </w:r>
          </w:p>
        </w:tc>
        <w:tc>
          <w:tcPr>
            <w:tcW w:w="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Prepaid insurance</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691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20" w:type="dxa"/>
            <w:vAlign w:val="bottom"/>
          </w:tcPr>
          <w:p>
            <w:pPr>
              <w:spacing w:after="0"/>
              <w:rPr>
                <w:sz w:val="22"/>
                <w:szCs w:val="22"/>
                <w:color w:val="auto"/>
              </w:rPr>
            </w:pPr>
          </w:p>
        </w:tc>
        <w:tc>
          <w:tcPr>
            <w:tcW w:w="51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Other prepaid expenses and current assets</w:t>
            </w:r>
          </w:p>
        </w:tc>
        <w:tc>
          <w:tcPr>
            <w:tcW w:w="7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352</w:t>
            </w:r>
          </w:p>
        </w:tc>
        <w:tc>
          <w:tcPr>
            <w:tcW w:w="16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0" w:type="dxa"/>
            <w:vAlign w:val="bottom"/>
            <w:tcBorders>
              <w:bottom w:val="single" w:sz="8" w:color="auto"/>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21"/>
                <w:szCs w:val="21"/>
                <w:color w:val="auto"/>
              </w:rPr>
            </w:pPr>
          </w:p>
        </w:tc>
        <w:tc>
          <w:tcPr>
            <w:tcW w:w="3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3,592</w:t>
            </w:r>
          </w:p>
        </w:tc>
        <w:tc>
          <w:tcPr>
            <w:tcW w:w="160" w:type="dxa"/>
            <w:vAlign w:val="bottom"/>
          </w:tcPr>
          <w:p>
            <w:pPr>
              <w:spacing w:after="0"/>
              <w:rPr>
                <w:sz w:val="21"/>
                <w:szCs w:val="21"/>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Arial" w:cs="Arial" w:eastAsia="Arial" w:hAnsi="Arial"/>
                <w:sz w:val="18"/>
                <w:szCs w:val="18"/>
                <w:color w:val="auto"/>
              </w:rPr>
              <w:t>Property and equipment consist of the following (in thousands):</w:t>
            </w: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80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6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September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w:t>
            </w: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5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3 - 7</w:t>
            </w:r>
          </w:p>
        </w:tc>
        <w:tc>
          <w:tcPr>
            <w:tcW w:w="5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2,075</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w:t>
            </w:r>
          </w:p>
        </w:tc>
        <w:tc>
          <w:tcPr>
            <w:tcW w:w="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Laboratory equipment</w:t>
            </w:r>
          </w:p>
        </w:tc>
        <w:tc>
          <w:tcPr>
            <w:tcW w:w="7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2,089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20" w:type="dxa"/>
            <w:vAlign w:val="bottom"/>
          </w:tcPr>
          <w:p>
            <w:pPr>
              <w:spacing w:after="0"/>
              <w:rPr>
                <w:sz w:val="22"/>
                <w:szCs w:val="22"/>
                <w:color w:val="auto"/>
              </w:rPr>
            </w:pPr>
          </w:p>
        </w:tc>
        <w:tc>
          <w:tcPr>
            <w:tcW w:w="51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8"/>
              </w:rPr>
              <w:t>2 - 3</w:t>
            </w:r>
          </w:p>
        </w:tc>
        <w:tc>
          <w:tcPr>
            <w:tcW w:w="1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3,687</w:t>
            </w:r>
          </w:p>
        </w:tc>
        <w:tc>
          <w:tcPr>
            <w:tcW w:w="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3,663</w:t>
            </w:r>
          </w:p>
        </w:tc>
        <w:tc>
          <w:tcPr>
            <w:tcW w:w="2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7,851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7,172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20" w:type="dxa"/>
            <w:vAlign w:val="bottom"/>
          </w:tcPr>
          <w:p>
            <w:pPr>
              <w:spacing w:after="0"/>
              <w:rPr>
                <w:sz w:val="22"/>
                <w:szCs w:val="22"/>
                <w:color w:val="auto"/>
              </w:rPr>
            </w:pPr>
          </w:p>
        </w:tc>
        <w:tc>
          <w:tcPr>
            <w:tcW w:w="5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7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(3,943 )</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2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(3,070 )</w:t>
            </w: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5180" w:type="dxa"/>
            <w:vAlign w:val="bottom"/>
            <w:tcBorders>
              <w:top w:val="single" w:sz="8" w:color="CFF0FC"/>
            </w:tcBorders>
            <w:gridSpan w:val="2"/>
          </w:tcPr>
          <w:p>
            <w:pPr>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CFF0FC"/>
            </w:tcBorders>
          </w:tcPr>
          <w:p>
            <w:pPr>
              <w:spacing w:after="0"/>
              <w:rPr>
                <w:sz w:val="21"/>
                <w:szCs w:val="21"/>
                <w:color w:val="auto"/>
              </w:rPr>
            </w:pPr>
          </w:p>
        </w:tc>
        <w:tc>
          <w:tcPr>
            <w:tcW w:w="460" w:type="dxa"/>
            <w:vAlign w:val="bottom"/>
            <w:tcBorders>
              <w:top w:val="single" w:sz="8" w:color="CFF0FC"/>
            </w:tcBorders>
            <w:gridSpan w:val="3"/>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3,908</w:t>
            </w:r>
          </w:p>
        </w:tc>
        <w:tc>
          <w:tcPr>
            <w:tcW w:w="20" w:type="dxa"/>
            <w:vAlign w:val="bottom"/>
            <w:tcBorders>
              <w:top w:val="single" w:sz="8" w:color="CFF0FC"/>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4,102</w:t>
            </w:r>
          </w:p>
        </w:tc>
        <w:tc>
          <w:tcPr>
            <w:tcW w:w="20" w:type="dxa"/>
            <w:vAlign w:val="bottom"/>
            <w:tcBorders>
              <w:top w:val="single" w:sz="8" w:color="CFF0FC"/>
            </w:tcBorders>
          </w:tcPr>
          <w:p>
            <w:pPr>
              <w:spacing w:after="0"/>
              <w:rPr>
                <w:sz w:val="21"/>
                <w:szCs w:val="21"/>
                <w:color w:val="auto"/>
              </w:rPr>
            </w:pPr>
          </w:p>
        </w:tc>
        <w:tc>
          <w:tcPr>
            <w:tcW w:w="20" w:type="dxa"/>
            <w:vAlign w:val="bottom"/>
            <w:tcBorders>
              <w:top w:val="single" w:sz="8" w:color="CFF0FC"/>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Arial" w:cs="Arial" w:eastAsia="Arial" w:hAnsi="Arial"/>
                <w:sz w:val="18"/>
                <w:szCs w:val="18"/>
                <w:color w:val="auto"/>
                <w:w w:val="90"/>
              </w:rPr>
              <w:t>Accounts payable and accrued expenses consist of the following (in thousands):</w:t>
            </w: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580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6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6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5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7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2"/>
                <w:szCs w:val="22"/>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2,456</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Accrued compensation</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3,008</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2,804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20" w:type="dxa"/>
            <w:vAlign w:val="bottom"/>
          </w:tcPr>
          <w:p>
            <w:pPr>
              <w:spacing w:after="0"/>
              <w:rPr>
                <w:sz w:val="22"/>
                <w:szCs w:val="22"/>
                <w:color w:val="auto"/>
              </w:rPr>
            </w:pPr>
          </w:p>
        </w:tc>
        <w:tc>
          <w:tcPr>
            <w:tcW w:w="5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7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15,883</w:t>
            </w:r>
          </w:p>
        </w:tc>
        <w:tc>
          <w:tcPr>
            <w:tcW w:w="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4,852</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Accrued equity issuance costs</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3,947</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20" w:type="dxa"/>
            <w:vAlign w:val="bottom"/>
          </w:tcPr>
          <w:p>
            <w:pPr>
              <w:spacing w:after="0"/>
              <w:rPr>
                <w:sz w:val="22"/>
                <w:szCs w:val="22"/>
                <w:color w:val="auto"/>
              </w:rPr>
            </w:pPr>
          </w:p>
        </w:tc>
        <w:tc>
          <w:tcPr>
            <w:tcW w:w="51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Other accrued expenses</w:t>
            </w:r>
          </w:p>
        </w:tc>
        <w:tc>
          <w:tcPr>
            <w:tcW w:w="7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813</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24,939</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12,068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-3639820</wp:posOffset>
            </wp:positionV>
            <wp:extent cx="16256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-3639820</wp:posOffset>
            </wp:positionV>
            <wp:extent cx="6858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-2242185</wp:posOffset>
            </wp:positionV>
            <wp:extent cx="15430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-2242185</wp:posOffset>
            </wp:positionV>
            <wp:extent cx="7683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-1908175</wp:posOffset>
            </wp:positionV>
            <wp:extent cx="15430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-1908175</wp:posOffset>
            </wp:positionV>
            <wp:extent cx="7683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-193675</wp:posOffset>
            </wp:positionV>
            <wp:extent cx="13716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-193675</wp:posOffset>
            </wp:positionV>
            <wp:extent cx="5143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35" w:lineRule="exact"/>
        <w:rPr>
          <w:sz w:val="20"/>
          <w:szCs w:val="20"/>
          <w:color w:val="auto"/>
        </w:rPr>
      </w:pPr>
    </w:p>
    <w:p>
      <w:pPr>
        <w:ind w:right="500" w:firstLine="509"/>
        <w:spacing w:after="0" w:line="279" w:lineRule="auto"/>
        <w:rPr>
          <w:sz w:val="20"/>
          <w:szCs w:val="20"/>
          <w:color w:val="auto"/>
        </w:rPr>
      </w:pPr>
      <w:r>
        <w:rPr>
          <w:rFonts w:ascii="Arial" w:cs="Arial" w:eastAsia="Arial" w:hAnsi="Arial"/>
          <w:sz w:val="18"/>
          <w:szCs w:val="18"/>
          <w:color w:val="auto"/>
        </w:rPr>
        <w:t>The carrying amounts of the Company’s current financial assets and current financial liabilities are considered to be representative of their respective fair values because of the short-term nature of those instruments. As of September 30, 2021 and December 31, 2020, the Company had no financial assets or liabilities measured at fair value on a recurring basis.</w:t>
      </w:r>
    </w:p>
    <w:p>
      <w:pPr>
        <w:spacing w:after="0" w:line="183" w:lineRule="exact"/>
        <w:rPr>
          <w:sz w:val="20"/>
          <w:szCs w:val="20"/>
          <w:color w:val="auto"/>
        </w:rPr>
      </w:pPr>
    </w:p>
    <w:p>
      <w:pPr>
        <w:ind w:right="20" w:firstLine="509"/>
        <w:spacing w:after="0" w:line="314" w:lineRule="auto"/>
        <w:rPr>
          <w:sz w:val="20"/>
          <w:szCs w:val="20"/>
          <w:color w:val="auto"/>
        </w:rPr>
      </w:pPr>
      <w:r>
        <w:rPr>
          <w:rFonts w:ascii="Arial" w:cs="Arial" w:eastAsia="Arial" w:hAnsi="Arial"/>
          <w:sz w:val="16"/>
          <w:szCs w:val="16"/>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 Unobservable inputs in which there is little or no market data, which require the reporting entity to develop its own assumptions.</w:t>
      </w:r>
    </w:p>
    <w:p>
      <w:pPr>
        <w:spacing w:after="0" w:line="250" w:lineRule="exact"/>
        <w:rPr>
          <w:sz w:val="20"/>
          <w:szCs w:val="20"/>
          <w:color w:val="auto"/>
        </w:rPr>
      </w:pPr>
    </w:p>
    <w:p>
      <w:pPr>
        <w:ind w:right="400" w:firstLine="509"/>
        <w:spacing w:after="0" w:line="293" w:lineRule="auto"/>
        <w:rPr>
          <w:sz w:val="20"/>
          <w:szCs w:val="20"/>
          <w:color w:val="auto"/>
        </w:rPr>
      </w:pPr>
      <w:r>
        <w:rPr>
          <w:rFonts w:ascii="Arial" w:cs="Arial" w:eastAsia="Arial" w:hAnsi="Arial"/>
          <w:sz w:val="18"/>
          <w:szCs w:val="18"/>
          <w:color w:val="auto"/>
        </w:rPr>
        <w:t>None of the Company’s non-financial assets and liabilities are recorded at fair value on a non-recurring basis. No transfers between levels have occurred during the periods presented.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Convertible and Other Debt</w:t>
      </w:r>
    </w:p>
    <w:p>
      <w:pPr>
        <w:spacing w:after="0" w:line="135" w:lineRule="exact"/>
        <w:rPr>
          <w:sz w:val="20"/>
          <w:szCs w:val="20"/>
          <w:color w:val="auto"/>
        </w:rPr>
      </w:pPr>
    </w:p>
    <w:p>
      <w:pPr>
        <w:ind w:firstLine="509"/>
        <w:spacing w:after="0" w:line="266" w:lineRule="auto"/>
        <w:rPr>
          <w:sz w:val="20"/>
          <w:szCs w:val="20"/>
          <w:color w:val="auto"/>
        </w:rPr>
      </w:pPr>
      <w:r>
        <w:rPr>
          <w:rFonts w:ascii="Arial" w:cs="Arial" w:eastAsia="Arial" w:hAnsi="Arial"/>
          <w:sz w:val="18"/>
          <w:szCs w:val="18"/>
          <w:color w:val="auto"/>
        </w:rPr>
        <w:t>The Company issued convertible promissory notes between December 2015 and May 2020 totaling $21.8 million, of which $2.0 million was with related parties. The convertible promissory notes accrued interest at 8% per annum with maturity dates of five years after issuance. The convertible promissory notes were settled in connection with the Company’s Series D financing in July 2020. In April 2020, the Company borrowed $0.7 million under the Paycheck Protection Program (“PPP”) under the CARES Act. The loan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10" w:name="page11"/>
    <w:bookmarkEnd w:id="10"/>
    <w:p>
      <w:pPr>
        <w:ind w:right="160"/>
        <w:spacing w:after="0" w:line="296" w:lineRule="auto"/>
        <w:rPr>
          <w:sz w:val="20"/>
          <w:szCs w:val="20"/>
          <w:color w:val="auto"/>
        </w:rPr>
      </w:pPr>
      <w:r>
        <w:rPr>
          <w:rFonts w:ascii="Arial" w:cs="Arial" w:eastAsia="Arial" w:hAnsi="Arial"/>
          <w:sz w:val="17"/>
          <w:szCs w:val="17"/>
          <w:color w:val="auto"/>
        </w:rPr>
        <w:t>was subsequently forgiven in July 2021. The $0.7 million balance of the forgiven loan was recognized as other income on the Company's Statement of Operations for the three and nine months ended September 30, 2021. For the three and nine months ended September 30, 2021, the Company recognized interest expense related to its outstanding debt of $0 and $3,000, respectively. For the three and nine months ended September 30, 2020, the Company recognized interest expense related to its outstanding debt of $0.1 million and $1.4 million,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w:t>
      </w:r>
    </w:p>
    <w:p>
      <w:pPr>
        <w:spacing w:after="0" w:line="131"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In June 2017, as amended in January 2019, the Company entered into a non-cancellable operating lease for its corporate headquarters and laboratory space in San Diego, California. The lease commenced in January 2018, the period the Company gained access to the leased space and began recognizing rent expense. The lease expires in July 2025 and the Company has an option to extend the term of the lease for an additional five years. The lease includes certain rent abatement, rent escalations, tenant improvement allowances and additional charges for common area maintenance and other costs. Rent expense for the three and nine months ended September 30, 2021 was $0.4 million and $1.2 million, respectively. Rent expense for the three and nine months ended September 30, 2020 was $0.4 million and $1.3 million, respectively.</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Expected future minimum payments under the non-cancelable operating lease as of September 30, 2021 are as follows (in thousands):</w:t>
      </w:r>
    </w:p>
    <w:p>
      <w:pPr>
        <w:spacing w:after="0" w:line="269"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170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ind w:right="355"/>
              <w:spacing w:after="0"/>
              <w:rPr>
                <w:sz w:val="20"/>
                <w:szCs w:val="20"/>
                <w:color w:val="auto"/>
              </w:rPr>
            </w:pPr>
            <w:r>
              <w:rPr>
                <w:rFonts w:ascii="Arial" w:cs="Arial" w:eastAsia="Arial" w:hAnsi="Arial"/>
                <w:sz w:val="14"/>
                <w:szCs w:val="14"/>
                <w:b w:val="1"/>
                <w:bCs w:val="1"/>
                <w:color w:val="auto"/>
              </w:rPr>
              <w:t>Operating</w:t>
            </w:r>
          </w:p>
        </w:tc>
        <w:tc>
          <w:tcPr>
            <w:tcW w:w="140" w:type="dxa"/>
            <w:vAlign w:val="bottom"/>
          </w:tcPr>
          <w:p>
            <w:pPr>
              <w:spacing w:after="0"/>
              <w:rPr>
                <w:sz w:val="15"/>
                <w:szCs w:val="15"/>
                <w:color w:val="auto"/>
              </w:rPr>
            </w:pPr>
          </w:p>
        </w:tc>
      </w:tr>
      <w:tr>
        <w:trPr>
          <w:trHeight w:val="171"/>
        </w:trPr>
        <w:tc>
          <w:tcPr>
            <w:tcW w:w="732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260" w:type="dxa"/>
            <w:vAlign w:val="bottom"/>
          </w:tcPr>
          <w:p>
            <w:pPr>
              <w:spacing w:after="0"/>
              <w:rPr>
                <w:sz w:val="14"/>
                <w:szCs w:val="14"/>
                <w:color w:val="auto"/>
              </w:rPr>
            </w:pPr>
          </w:p>
        </w:tc>
        <w:tc>
          <w:tcPr>
            <w:tcW w:w="1260" w:type="dxa"/>
            <w:vAlign w:val="bottom"/>
          </w:tcPr>
          <w:p>
            <w:pPr>
              <w:jc w:val="right"/>
              <w:ind w:right="495"/>
              <w:spacing w:after="0"/>
              <w:rPr>
                <w:sz w:val="20"/>
                <w:szCs w:val="20"/>
                <w:color w:val="auto"/>
              </w:rPr>
            </w:pPr>
            <w:r>
              <w:rPr>
                <w:rFonts w:ascii="Arial" w:cs="Arial" w:eastAsia="Arial" w:hAnsi="Arial"/>
                <w:sz w:val="14"/>
                <w:szCs w:val="14"/>
                <w:b w:val="1"/>
                <w:bCs w:val="1"/>
                <w:color w:val="auto"/>
              </w:rPr>
              <w:t>Lease</w:t>
            </w:r>
          </w:p>
        </w:tc>
        <w:tc>
          <w:tcPr>
            <w:tcW w:w="140" w:type="dxa"/>
            <w:vAlign w:val="bottom"/>
          </w:tcPr>
          <w:p>
            <w:pPr>
              <w:spacing w:after="0"/>
              <w:rPr>
                <w:sz w:val="14"/>
                <w:szCs w:val="14"/>
                <w:color w:val="auto"/>
              </w:rPr>
            </w:pPr>
          </w:p>
        </w:tc>
      </w:tr>
      <w:tr>
        <w:trPr>
          <w:trHeight w:val="20"/>
        </w:trPr>
        <w:tc>
          <w:tcPr>
            <w:tcW w:w="1700" w:type="dxa"/>
            <w:vAlign w:val="bottom"/>
            <w:tcBorders>
              <w:top w:val="single" w:sz="8" w:color="auto"/>
            </w:tcBorders>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7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2021 (3 months)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140" w:type="dxa"/>
            <w:vAlign w:val="bottom"/>
            <w:shd w:val="clear" w:color="auto" w:fill="CFF0FC"/>
          </w:tcPr>
          <w:p>
            <w:pPr>
              <w:spacing w:after="0"/>
              <w:rPr>
                <w:sz w:val="20"/>
                <w:szCs w:val="20"/>
                <w:color w:val="auto"/>
              </w:rPr>
            </w:pPr>
          </w:p>
        </w:tc>
      </w:tr>
      <w:tr>
        <w:trPr>
          <w:trHeight w:val="250"/>
        </w:trPr>
        <w:tc>
          <w:tcPr>
            <w:tcW w:w="1700" w:type="dxa"/>
            <w:vAlign w:val="bottom"/>
          </w:tcPr>
          <w:p>
            <w:pPr>
              <w:spacing w:after="0"/>
              <w:rPr>
                <w:sz w:val="20"/>
                <w:szCs w:val="20"/>
                <w:color w:val="auto"/>
              </w:rPr>
            </w:pPr>
            <w:r>
              <w:rPr>
                <w:rFonts w:ascii="Arial" w:cs="Arial" w:eastAsia="Arial" w:hAnsi="Arial"/>
                <w:sz w:val="18"/>
                <w:szCs w:val="18"/>
                <w:color w:val="auto"/>
              </w:rPr>
              <w:t>2022</w:t>
            </w:r>
          </w:p>
        </w:tc>
        <w:tc>
          <w:tcPr>
            <w:tcW w:w="5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1,555</w:t>
            </w:r>
          </w:p>
        </w:tc>
        <w:tc>
          <w:tcPr>
            <w:tcW w:w="140" w:type="dxa"/>
            <w:vAlign w:val="bottom"/>
          </w:tcPr>
          <w:p>
            <w:pPr>
              <w:spacing w:after="0"/>
              <w:rPr>
                <w:sz w:val="21"/>
                <w:szCs w:val="21"/>
                <w:color w:val="auto"/>
              </w:rPr>
            </w:pPr>
          </w:p>
        </w:tc>
      </w:tr>
      <w:tr>
        <w:trPr>
          <w:trHeight w:val="263"/>
        </w:trPr>
        <w:tc>
          <w:tcPr>
            <w:tcW w:w="17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56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w:t>
            </w:r>
          </w:p>
        </w:tc>
        <w:tc>
          <w:tcPr>
            <w:tcW w:w="140" w:type="dxa"/>
            <w:vAlign w:val="bottom"/>
            <w:shd w:val="clear" w:color="auto" w:fill="CFF0FC"/>
          </w:tcPr>
          <w:p>
            <w:pPr>
              <w:spacing w:after="0"/>
              <w:rPr>
                <w:sz w:val="22"/>
                <w:szCs w:val="22"/>
                <w:color w:val="auto"/>
              </w:rPr>
            </w:pPr>
          </w:p>
        </w:tc>
      </w:tr>
      <w:tr>
        <w:trPr>
          <w:trHeight w:val="250"/>
        </w:trPr>
        <w:tc>
          <w:tcPr>
            <w:tcW w:w="1700" w:type="dxa"/>
            <w:vAlign w:val="bottom"/>
          </w:tcPr>
          <w:p>
            <w:pPr>
              <w:spacing w:after="0"/>
              <w:rPr>
                <w:sz w:val="20"/>
                <w:szCs w:val="20"/>
                <w:color w:val="auto"/>
              </w:rPr>
            </w:pPr>
            <w:r>
              <w:rPr>
                <w:rFonts w:ascii="Arial" w:cs="Arial" w:eastAsia="Arial" w:hAnsi="Arial"/>
                <w:sz w:val="18"/>
                <w:szCs w:val="18"/>
                <w:color w:val="auto"/>
              </w:rPr>
              <w:t>2024</w:t>
            </w:r>
          </w:p>
        </w:tc>
        <w:tc>
          <w:tcPr>
            <w:tcW w:w="5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1,685</w:t>
            </w:r>
          </w:p>
        </w:tc>
        <w:tc>
          <w:tcPr>
            <w:tcW w:w="140" w:type="dxa"/>
            <w:vAlign w:val="bottom"/>
          </w:tcPr>
          <w:p>
            <w:pPr>
              <w:spacing w:after="0"/>
              <w:rPr>
                <w:sz w:val="21"/>
                <w:szCs w:val="21"/>
                <w:color w:val="auto"/>
              </w:rPr>
            </w:pPr>
          </w:p>
        </w:tc>
      </w:tr>
      <w:tr>
        <w:trPr>
          <w:trHeight w:val="257"/>
        </w:trPr>
        <w:tc>
          <w:tcPr>
            <w:tcW w:w="73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250"/>
        </w:trPr>
        <w:tc>
          <w:tcPr>
            <w:tcW w:w="170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6,091</w:t>
            </w:r>
          </w:p>
        </w:tc>
        <w:tc>
          <w:tcPr>
            <w:tcW w:w="140" w:type="dxa"/>
            <w:vAlign w:val="bottom"/>
          </w:tcPr>
          <w:p>
            <w:pPr>
              <w:spacing w:after="0"/>
              <w:rPr>
                <w:sz w:val="21"/>
                <w:szCs w:val="21"/>
                <w:color w:val="auto"/>
              </w:rPr>
            </w:pPr>
          </w:p>
        </w:tc>
      </w:tr>
      <w:tr>
        <w:trPr>
          <w:trHeight w:val="20"/>
        </w:trPr>
        <w:tc>
          <w:tcPr>
            <w:tcW w:w="17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6339840</wp:posOffset>
            </wp:positionH>
            <wp:positionV relativeFrom="paragraph">
              <wp:posOffset>-193675</wp:posOffset>
            </wp:positionV>
            <wp:extent cx="8572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31" w:lineRule="exact"/>
        <w:rPr>
          <w:sz w:val="20"/>
          <w:szCs w:val="20"/>
          <w:color w:val="auto"/>
        </w:rPr>
      </w:pPr>
    </w:p>
    <w:p>
      <w:pPr>
        <w:ind w:right="20" w:firstLine="509"/>
        <w:spacing w:after="0" w:line="266" w:lineRule="auto"/>
        <w:rPr>
          <w:sz w:val="20"/>
          <w:szCs w:val="20"/>
          <w:color w:val="auto"/>
        </w:rPr>
      </w:pPr>
      <w:r>
        <w:rPr>
          <w:rFonts w:ascii="Arial" w:cs="Arial" w:eastAsia="Arial" w:hAnsi="Arial"/>
          <w:sz w:val="18"/>
          <w:szCs w:val="18"/>
          <w:color w:val="auto"/>
        </w:rPr>
        <w:t>From time to time, the Company may be subject to various claims and suits arising in the ordinary course of business. The Company is not currently a party to any legal proceedings the outcome of which the Company believes, if determined adversely to the Company, would individually or in the aggregate have a material adverse effect on the Company’s business, operating results or financial condition.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6. Stockholders’/Members' Equity (Deficit)</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statement of members' deficit for the three months ended September 30, 2020 is as follows (in thousands, except unit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640" w:type="dxa"/>
            <w:vAlign w:val="bottom"/>
          </w:tcPr>
          <w:p>
            <w:pPr>
              <w:spacing w:after="0"/>
              <w:rPr>
                <w:sz w:val="11"/>
                <w:szCs w:val="11"/>
                <w:color w:val="auto"/>
              </w:rPr>
            </w:pPr>
          </w:p>
        </w:tc>
        <w:tc>
          <w:tcPr>
            <w:tcW w:w="1560" w:type="dxa"/>
            <w:vAlign w:val="bottom"/>
            <w:gridSpan w:val="4"/>
          </w:tcPr>
          <w:p>
            <w:pPr>
              <w:jc w:val="right"/>
              <w:ind w:right="230"/>
              <w:spacing w:after="0"/>
              <w:rPr>
                <w:sz w:val="20"/>
                <w:szCs w:val="20"/>
                <w:color w:val="auto"/>
              </w:rPr>
            </w:pPr>
            <w:r>
              <w:rPr>
                <w:rFonts w:ascii="Arial" w:cs="Arial" w:eastAsia="Arial" w:hAnsi="Arial"/>
                <w:sz w:val="11"/>
                <w:szCs w:val="11"/>
                <w:b w:val="1"/>
                <w:bCs w:val="1"/>
                <w:color w:val="auto"/>
              </w:rPr>
              <w:t>Series D Convertible</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96"/>
              </w:rPr>
              <w:t>Additional</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56"/>
        </w:trPr>
        <w:tc>
          <w:tcPr>
            <w:tcW w:w="1640" w:type="dxa"/>
            <w:vAlign w:val="bottom"/>
          </w:tcPr>
          <w:p>
            <w:pPr>
              <w:spacing w:after="0"/>
              <w:rPr>
                <w:sz w:val="13"/>
                <w:szCs w:val="13"/>
                <w:color w:val="auto"/>
              </w:rPr>
            </w:pPr>
          </w:p>
        </w:tc>
        <w:tc>
          <w:tcPr>
            <w:tcW w:w="1560" w:type="dxa"/>
            <w:vAlign w:val="bottom"/>
            <w:gridSpan w:val="4"/>
          </w:tcPr>
          <w:p>
            <w:pPr>
              <w:jc w:val="right"/>
              <w:ind w:right="350"/>
              <w:spacing w:after="0"/>
              <w:rPr>
                <w:sz w:val="20"/>
                <w:szCs w:val="20"/>
                <w:color w:val="auto"/>
              </w:rPr>
            </w:pPr>
            <w:r>
              <w:rPr>
                <w:rFonts w:ascii="Arial" w:cs="Arial" w:eastAsia="Arial" w:hAnsi="Arial"/>
                <w:sz w:val="11"/>
                <w:szCs w:val="11"/>
                <w:b w:val="1"/>
                <w:bCs w:val="1"/>
                <w:color w:val="auto"/>
              </w:rPr>
              <w:t>Preferred Stock</w:t>
            </w:r>
          </w:p>
        </w:tc>
        <w:tc>
          <w:tcPr>
            <w:tcW w:w="40" w:type="dxa"/>
            <w:vAlign w:val="bottom"/>
          </w:tcPr>
          <w:p>
            <w:pPr>
              <w:spacing w:after="0"/>
              <w:rPr>
                <w:sz w:val="13"/>
                <w:szCs w:val="13"/>
                <w:color w:val="auto"/>
              </w:rPr>
            </w:pPr>
          </w:p>
        </w:tc>
        <w:tc>
          <w:tcPr>
            <w:tcW w:w="1520" w:type="dxa"/>
            <w:vAlign w:val="bottom"/>
            <w:gridSpan w:val="5"/>
          </w:tcPr>
          <w:p>
            <w:pPr>
              <w:jc w:val="right"/>
              <w:ind w:right="240"/>
              <w:spacing w:after="0"/>
              <w:rPr>
                <w:sz w:val="20"/>
                <w:szCs w:val="20"/>
                <w:color w:val="auto"/>
              </w:rPr>
            </w:pPr>
            <w:r>
              <w:rPr>
                <w:rFonts w:ascii="Arial" w:cs="Arial" w:eastAsia="Arial" w:hAnsi="Arial"/>
                <w:sz w:val="11"/>
                <w:szCs w:val="11"/>
                <w:b w:val="1"/>
                <w:bCs w:val="1"/>
                <w:color w:val="auto"/>
              </w:rPr>
              <w:t>Class C Preferred Units</w:t>
            </w:r>
          </w:p>
        </w:tc>
        <w:tc>
          <w:tcPr>
            <w:tcW w:w="1140" w:type="dxa"/>
            <w:vAlign w:val="bottom"/>
            <w:gridSpan w:val="3"/>
          </w:tcPr>
          <w:p>
            <w:pPr>
              <w:jc w:val="right"/>
              <w:spacing w:after="0"/>
              <w:rPr>
                <w:sz w:val="20"/>
                <w:szCs w:val="20"/>
                <w:color w:val="auto"/>
              </w:rPr>
            </w:pPr>
            <w:r>
              <w:rPr>
                <w:rFonts w:ascii="Arial" w:cs="Arial" w:eastAsia="Arial" w:hAnsi="Arial"/>
                <w:sz w:val="11"/>
                <w:szCs w:val="11"/>
                <w:b w:val="1"/>
                <w:bCs w:val="1"/>
                <w:color w:val="auto"/>
              </w:rPr>
              <w:t>Class A Units</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3"/>
          </w:tcPr>
          <w:p>
            <w:pPr>
              <w:jc w:val="right"/>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2"/>
              </w:rPr>
              <w:t>Accumulated</w:t>
            </w:r>
          </w:p>
        </w:tc>
        <w:tc>
          <w:tcPr>
            <w:tcW w:w="860" w:type="dxa"/>
            <w:vAlign w:val="bottom"/>
            <w:gridSpan w:val="4"/>
          </w:tcPr>
          <w:p>
            <w:pPr>
              <w:jc w:val="right"/>
              <w:ind w:right="160"/>
              <w:spacing w:after="0"/>
              <w:rPr>
                <w:sz w:val="20"/>
                <w:szCs w:val="20"/>
                <w:color w:val="auto"/>
              </w:rPr>
            </w:pPr>
            <w:r>
              <w:rPr>
                <w:rFonts w:ascii="Arial" w:cs="Arial" w:eastAsia="Arial" w:hAnsi="Arial"/>
                <w:sz w:val="11"/>
                <w:szCs w:val="11"/>
                <w:b w:val="1"/>
                <w:bCs w:val="1"/>
                <w:color w:val="auto"/>
                <w:w w:val="86"/>
              </w:rPr>
              <w:t>Noncontrolling</w:t>
            </w:r>
          </w:p>
        </w:tc>
        <w:tc>
          <w:tcPr>
            <w:tcW w:w="6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Members’</w:t>
            </w:r>
          </w:p>
        </w:tc>
        <w:tc>
          <w:tcPr>
            <w:tcW w:w="0" w:type="dxa"/>
            <w:vAlign w:val="bottom"/>
          </w:tcPr>
          <w:p>
            <w:pPr>
              <w:spacing w:after="0"/>
              <w:rPr>
                <w:sz w:val="1"/>
                <w:szCs w:val="1"/>
                <w:color w:val="auto"/>
              </w:rPr>
            </w:pPr>
          </w:p>
        </w:tc>
      </w:tr>
      <w:tr>
        <w:trPr>
          <w:trHeight w:val="140"/>
        </w:trPr>
        <w:tc>
          <w:tcPr>
            <w:tcW w:w="1640" w:type="dxa"/>
            <w:vAlign w:val="bottom"/>
          </w:tcPr>
          <w:p>
            <w:pPr>
              <w:spacing w:after="0"/>
              <w:rPr>
                <w:sz w:val="12"/>
                <w:szCs w:val="12"/>
                <w:color w:val="auto"/>
              </w:rPr>
            </w:pPr>
          </w:p>
        </w:tc>
        <w:tc>
          <w:tcPr>
            <w:tcW w:w="820" w:type="dxa"/>
            <w:vAlign w:val="bottom"/>
            <w:tcBorders>
              <w:top w:val="single" w:sz="8" w:color="auto"/>
            </w:tcBorders>
          </w:tcPr>
          <w:p>
            <w:pPr>
              <w:jc w:val="right"/>
              <w:ind w:right="233"/>
              <w:spacing w:after="0"/>
              <w:rPr>
                <w:sz w:val="20"/>
                <w:szCs w:val="20"/>
                <w:color w:val="auto"/>
              </w:rPr>
            </w:pPr>
            <w:r>
              <w:rPr>
                <w:rFonts w:ascii="Arial" w:cs="Arial" w:eastAsia="Arial" w:hAnsi="Arial"/>
                <w:sz w:val="11"/>
                <w:szCs w:val="11"/>
                <w:b w:val="1"/>
                <w:bCs w:val="1"/>
                <w:color w:val="auto"/>
              </w:rPr>
              <w:t>Units</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90"/>
              <w:spacing w:after="0"/>
              <w:rPr>
                <w:sz w:val="20"/>
                <w:szCs w:val="20"/>
                <w:color w:val="auto"/>
              </w:rPr>
            </w:pPr>
            <w:r>
              <w:rPr>
                <w:rFonts w:ascii="Arial" w:cs="Arial" w:eastAsia="Arial" w:hAnsi="Arial"/>
                <w:sz w:val="11"/>
                <w:szCs w:val="11"/>
                <w:b w:val="1"/>
                <w:bCs w:val="1"/>
                <w:color w:val="auto"/>
                <w:w w:val="96"/>
              </w:rPr>
              <w:t>Amount</w:t>
            </w:r>
          </w:p>
        </w:tc>
        <w:tc>
          <w:tcPr>
            <w:tcW w:w="4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1"/>
                <w:szCs w:val="11"/>
                <w:b w:val="1"/>
                <w:bCs w:val="1"/>
                <w:color w:val="auto"/>
              </w:rPr>
              <w:t>Units</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0"/>
              <w:spacing w:after="0"/>
              <w:rPr>
                <w:sz w:val="20"/>
                <w:szCs w:val="20"/>
                <w:color w:val="auto"/>
              </w:rPr>
            </w:pPr>
            <w:r>
              <w:rPr>
                <w:rFonts w:ascii="Arial" w:cs="Arial" w:eastAsia="Arial" w:hAnsi="Arial"/>
                <w:sz w:val="11"/>
                <w:szCs w:val="11"/>
                <w:b w:val="1"/>
                <w:bCs w:val="1"/>
                <w:color w:val="auto"/>
                <w:w w:val="86"/>
              </w:rPr>
              <w:t>Amount</w:t>
            </w:r>
          </w:p>
        </w:tc>
        <w:tc>
          <w:tcPr>
            <w:tcW w:w="6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1"/>
                <w:szCs w:val="11"/>
                <w:b w:val="1"/>
                <w:bCs w:val="1"/>
                <w:color w:val="auto"/>
              </w:rPr>
              <w:t>Units</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0"/>
              <w:spacing w:after="0"/>
              <w:rPr>
                <w:sz w:val="20"/>
                <w:szCs w:val="20"/>
                <w:color w:val="auto"/>
              </w:rPr>
            </w:pPr>
            <w:r>
              <w:rPr>
                <w:rFonts w:ascii="Arial" w:cs="Arial" w:eastAsia="Arial" w:hAnsi="Arial"/>
                <w:sz w:val="11"/>
                <w:szCs w:val="11"/>
                <w:b w:val="1"/>
                <w:bCs w:val="1"/>
                <w:color w:val="auto"/>
                <w:w w:val="86"/>
              </w:rPr>
              <w:t>Amount</w:t>
            </w:r>
          </w:p>
        </w:tc>
        <w:tc>
          <w:tcPr>
            <w:tcW w:w="60" w:type="dxa"/>
            <w:vAlign w:val="bottom"/>
          </w:tcPr>
          <w:p>
            <w:pPr>
              <w:spacing w:after="0"/>
              <w:rPr>
                <w:sz w:val="12"/>
                <w:szCs w:val="12"/>
                <w:color w:val="auto"/>
              </w:rPr>
            </w:pPr>
          </w:p>
        </w:tc>
        <w:tc>
          <w:tcPr>
            <w:tcW w:w="660" w:type="dxa"/>
            <w:vAlign w:val="bottom"/>
            <w:tcBorders>
              <w:top w:val="single" w:sz="8" w:color="auto"/>
            </w:tcBorders>
          </w:tcPr>
          <w:p>
            <w:pPr>
              <w:jc w:val="right"/>
              <w:ind w:right="131"/>
              <w:spacing w:after="0"/>
              <w:rPr>
                <w:sz w:val="20"/>
                <w:szCs w:val="20"/>
                <w:color w:val="auto"/>
              </w:rPr>
            </w:pPr>
            <w:r>
              <w:rPr>
                <w:rFonts w:ascii="Arial" w:cs="Arial" w:eastAsia="Arial" w:hAnsi="Arial"/>
                <w:sz w:val="11"/>
                <w:szCs w:val="11"/>
                <w:b w:val="1"/>
                <w:bCs w:val="1"/>
                <w:color w:val="auto"/>
              </w:rPr>
              <w:t>Units</w:t>
            </w: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Capital</w:t>
            </w:r>
          </w:p>
        </w:tc>
        <w:tc>
          <w:tcPr>
            <w:tcW w:w="140" w:type="dxa"/>
            <w:vAlign w:val="bottom"/>
          </w:tcPr>
          <w:p>
            <w:pPr>
              <w:spacing w:after="0"/>
              <w:rPr>
                <w:sz w:val="12"/>
                <w:szCs w:val="1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2"/>
                <w:szCs w:val="12"/>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1"/>
                <w:szCs w:val="11"/>
                <w:b w:val="1"/>
                <w:bCs w:val="1"/>
                <w:color w:val="auto"/>
                <w:w w:val="95"/>
              </w:rPr>
              <w:t>Interest</w:t>
            </w:r>
          </w:p>
        </w:tc>
        <w:tc>
          <w:tcPr>
            <w:tcW w:w="6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Deficit</w:t>
            </w:r>
          </w:p>
        </w:tc>
        <w:tc>
          <w:tcPr>
            <w:tcW w:w="0" w:type="dxa"/>
            <w:vAlign w:val="bottom"/>
          </w:tcPr>
          <w:p>
            <w:pPr>
              <w:spacing w:after="0"/>
              <w:rPr>
                <w:sz w:val="1"/>
                <w:szCs w:val="1"/>
                <w:color w:val="auto"/>
              </w:rPr>
            </w:pPr>
          </w:p>
        </w:tc>
      </w:tr>
      <w:tr>
        <w:trPr>
          <w:trHeight w:val="22"/>
        </w:trPr>
        <w:tc>
          <w:tcPr>
            <w:tcW w:w="1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June 30, 2020</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23,968,178</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89,345</w:t>
            </w:r>
          </w:p>
        </w:tc>
        <w:tc>
          <w:tcPr>
            <w:tcW w:w="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54,600,000</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w:t>
            </w:r>
          </w:p>
        </w:tc>
        <w:tc>
          <w:tcPr>
            <w:tcW w:w="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ind w:right="157"/>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2,295</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3"/>
            <w:shd w:val="clear" w:color="auto" w:fill="CFF0FC"/>
          </w:tcPr>
          <w:p>
            <w:pPr>
              <w:jc w:val="right"/>
              <w:ind w:right="6"/>
              <w:spacing w:after="0"/>
              <w:rPr>
                <w:sz w:val="20"/>
                <w:szCs w:val="20"/>
                <w:color w:val="auto"/>
              </w:rPr>
            </w:pPr>
            <w:r>
              <w:rPr>
                <w:rFonts w:ascii="Arial" w:cs="Arial" w:eastAsia="Arial" w:hAnsi="Arial"/>
                <w:sz w:val="14"/>
                <w:szCs w:val="14"/>
                <w:color w:val="auto"/>
              </w:rPr>
              <w:t>(156,180 )$</w:t>
            </w:r>
          </w:p>
        </w:tc>
        <w:tc>
          <w:tcPr>
            <w:tcW w:w="74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(47 )$</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(63,837 )</w:t>
            </w:r>
          </w:p>
        </w:tc>
        <w:tc>
          <w:tcPr>
            <w:tcW w:w="0" w:type="dxa"/>
            <w:vAlign w:val="bottom"/>
          </w:tcPr>
          <w:p>
            <w:pPr>
              <w:spacing w:after="0"/>
              <w:rPr>
                <w:sz w:val="1"/>
                <w:szCs w:val="1"/>
                <w:color w:val="auto"/>
              </w:rPr>
            </w:pPr>
          </w:p>
        </w:tc>
      </w:tr>
      <w:tr>
        <w:trPr>
          <w:trHeight w:val="184"/>
        </w:trPr>
        <w:tc>
          <w:tcPr>
            <w:tcW w:w="1640" w:type="dxa"/>
            <w:vAlign w:val="bottom"/>
          </w:tcPr>
          <w:p>
            <w:pPr>
              <w:ind w:left="20"/>
              <w:spacing w:after="0"/>
              <w:rPr>
                <w:sz w:val="20"/>
                <w:szCs w:val="20"/>
                <w:color w:val="auto"/>
              </w:rPr>
            </w:pPr>
            <w:r>
              <w:rPr>
                <w:rFonts w:ascii="Arial" w:cs="Arial" w:eastAsia="Arial" w:hAnsi="Arial"/>
                <w:sz w:val="14"/>
                <w:szCs w:val="14"/>
                <w:color w:val="auto"/>
              </w:rPr>
              <w:t>Issuance of Series D</w:t>
            </w: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40" w:type="dxa"/>
            <w:vAlign w:val="bottom"/>
          </w:tcPr>
          <w:p>
            <w:pPr>
              <w:ind w:left="20"/>
              <w:spacing w:after="0"/>
              <w:rPr>
                <w:sz w:val="20"/>
                <w:szCs w:val="20"/>
                <w:color w:val="auto"/>
              </w:rPr>
            </w:pPr>
            <w:r>
              <w:rPr>
                <w:rFonts w:ascii="Arial" w:cs="Arial" w:eastAsia="Arial" w:hAnsi="Arial"/>
                <w:sz w:val="14"/>
                <w:szCs w:val="14"/>
                <w:color w:val="auto"/>
                <w:w w:val="96"/>
              </w:rPr>
              <w:t>convertible preferred stock</w:t>
            </w: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40" w:type="dxa"/>
            <w:vAlign w:val="bottom"/>
          </w:tcPr>
          <w:p>
            <w:pPr>
              <w:ind w:left="20"/>
              <w:spacing w:after="0"/>
              <w:rPr>
                <w:sz w:val="20"/>
                <w:szCs w:val="20"/>
                <w:color w:val="auto"/>
              </w:rPr>
            </w:pPr>
            <w:r>
              <w:rPr>
                <w:rFonts w:ascii="Arial" w:cs="Arial" w:eastAsia="Arial" w:hAnsi="Arial"/>
                <w:sz w:val="14"/>
                <w:szCs w:val="14"/>
                <w:color w:val="auto"/>
              </w:rPr>
              <w:t>for cash, net of $4,317 of</w:t>
            </w: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40" w:type="dxa"/>
            <w:vAlign w:val="bottom"/>
          </w:tcPr>
          <w:p>
            <w:pPr>
              <w:ind w:left="20"/>
              <w:spacing w:after="0"/>
              <w:rPr>
                <w:sz w:val="20"/>
                <w:szCs w:val="20"/>
                <w:color w:val="auto"/>
              </w:rPr>
            </w:pPr>
            <w:r>
              <w:rPr>
                <w:rFonts w:ascii="Arial" w:cs="Arial" w:eastAsia="Arial" w:hAnsi="Arial"/>
                <w:sz w:val="14"/>
                <w:szCs w:val="14"/>
                <w:color w:val="auto"/>
              </w:rPr>
              <w:t>issuance costs</w:t>
            </w:r>
          </w:p>
        </w:tc>
        <w:tc>
          <w:tcPr>
            <w:tcW w:w="820" w:type="dxa"/>
            <w:vAlign w:val="bottom"/>
          </w:tcPr>
          <w:p>
            <w:pPr>
              <w:jc w:val="right"/>
              <w:spacing w:after="0"/>
              <w:rPr>
                <w:sz w:val="20"/>
                <w:szCs w:val="20"/>
                <w:color w:val="auto"/>
              </w:rPr>
            </w:pPr>
            <w:r>
              <w:rPr>
                <w:rFonts w:ascii="Arial" w:cs="Arial" w:eastAsia="Arial" w:hAnsi="Arial"/>
                <w:sz w:val="14"/>
                <w:szCs w:val="14"/>
                <w:color w:val="auto"/>
              </w:rPr>
              <w:t>140,626,711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68,183</w:t>
            </w:r>
          </w:p>
        </w:tc>
        <w:tc>
          <w:tcPr>
            <w:tcW w:w="4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Series D</w:t>
            </w:r>
          </w:p>
        </w:tc>
        <w:tc>
          <w:tcPr>
            <w:tcW w:w="8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40" w:type="dxa"/>
            <w:vAlign w:val="bottom"/>
            <w:shd w:val="clear" w:color="auto" w:fill="CFF0FC"/>
          </w:tcPr>
          <w:p>
            <w:pPr>
              <w:ind w:left="20"/>
              <w:spacing w:after="0"/>
              <w:rPr>
                <w:sz w:val="20"/>
                <w:szCs w:val="20"/>
                <w:color w:val="auto"/>
              </w:rPr>
            </w:pPr>
            <w:r>
              <w:rPr>
                <w:rFonts w:ascii="Arial" w:cs="Arial" w:eastAsia="Arial" w:hAnsi="Arial"/>
                <w:sz w:val="14"/>
                <w:szCs w:val="14"/>
                <w:color w:val="auto"/>
                <w:w w:val="96"/>
              </w:rPr>
              <w:t>convertible preferred stock</w:t>
            </w:r>
          </w:p>
        </w:tc>
        <w:tc>
          <w:tcPr>
            <w:tcW w:w="8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 connection with</w:t>
            </w:r>
          </w:p>
        </w:tc>
        <w:tc>
          <w:tcPr>
            <w:tcW w:w="8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settlement of convertible</w:t>
            </w:r>
          </w:p>
        </w:tc>
        <w:tc>
          <w:tcPr>
            <w:tcW w:w="8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promissory notes</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59,164,808</w:t>
            </w: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30,594</w:t>
            </w:r>
          </w:p>
        </w:tc>
        <w:tc>
          <w:tcPr>
            <w:tcW w:w="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9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4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1640" w:type="dxa"/>
            <w:vAlign w:val="bottom"/>
          </w:tcPr>
          <w:p>
            <w:pPr>
              <w:ind w:left="20"/>
              <w:spacing w:after="0"/>
              <w:rPr>
                <w:sz w:val="20"/>
                <w:szCs w:val="20"/>
                <w:color w:val="auto"/>
              </w:rPr>
            </w:pPr>
            <w:r>
              <w:rPr>
                <w:rFonts w:ascii="Arial" w:cs="Arial" w:eastAsia="Arial" w:hAnsi="Arial"/>
                <w:sz w:val="14"/>
                <w:szCs w:val="14"/>
                <w:color w:val="auto"/>
              </w:rPr>
              <w:t>LLC Conversion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(23,968,178 )</w:t>
            </w:r>
          </w:p>
        </w:tc>
        <w:tc>
          <w:tcPr>
            <w:tcW w:w="10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w w:val="96"/>
              </w:rPr>
              <w:t>(89,345 )</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(54,600,000 )</w:t>
            </w:r>
          </w:p>
        </w:tc>
        <w:tc>
          <w:tcPr>
            <w:tcW w:w="14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(750 )</w:t>
            </w:r>
          </w:p>
        </w:tc>
        <w:tc>
          <w:tcPr>
            <w:tcW w:w="660" w:type="dxa"/>
            <w:vAlign w:val="bottom"/>
          </w:tcPr>
          <w:p>
            <w:pPr>
              <w:jc w:val="right"/>
              <w:spacing w:after="0"/>
              <w:rPr>
                <w:sz w:val="20"/>
                <w:szCs w:val="20"/>
                <w:color w:val="auto"/>
              </w:rPr>
            </w:pPr>
            <w:r>
              <w:rPr>
                <w:rFonts w:ascii="Arial" w:cs="Arial" w:eastAsia="Arial" w:hAnsi="Arial"/>
                <w:sz w:val="14"/>
                <w:szCs w:val="14"/>
                <w:color w:val="auto"/>
                <w:w w:val="99"/>
              </w:rPr>
              <w:t>6,220,050</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(3,196 )</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93,290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Assumption of profits</w:t>
            </w:r>
          </w:p>
        </w:tc>
        <w:tc>
          <w:tcPr>
            <w:tcW w:w="8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liability by affiliate</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991</w:t>
            </w: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4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991</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40" w:type="dxa"/>
            <w:vAlign w:val="bottom"/>
          </w:tcPr>
          <w:p>
            <w:pPr>
              <w:ind w:left="20"/>
              <w:spacing w:after="0"/>
              <w:rPr>
                <w:sz w:val="20"/>
                <w:szCs w:val="20"/>
                <w:color w:val="auto"/>
              </w:rPr>
            </w:pPr>
            <w:r>
              <w:rPr>
                <w:rFonts w:ascii="Arial" w:cs="Arial" w:eastAsia="Arial" w:hAnsi="Arial"/>
                <w:sz w:val="14"/>
                <w:szCs w:val="14"/>
                <w:color w:val="auto"/>
              </w:rPr>
              <w:t>Change in profits interest</w:t>
            </w: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40" w:type="dxa"/>
            <w:vAlign w:val="bottom"/>
          </w:tcPr>
          <w:p>
            <w:pPr>
              <w:ind w:left="20"/>
              <w:spacing w:after="0"/>
              <w:rPr>
                <w:sz w:val="20"/>
                <w:szCs w:val="20"/>
                <w:color w:val="auto"/>
              </w:rPr>
            </w:pPr>
            <w:r>
              <w:rPr>
                <w:rFonts w:ascii="Arial" w:cs="Arial" w:eastAsia="Arial" w:hAnsi="Arial"/>
                <w:sz w:val="14"/>
                <w:szCs w:val="14"/>
                <w:color w:val="auto"/>
                <w:w w:val="99"/>
              </w:rPr>
              <w:t>liability pushed down from</w:t>
            </w: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40" w:type="dxa"/>
            <w:vAlign w:val="bottom"/>
          </w:tcPr>
          <w:p>
            <w:pPr>
              <w:ind w:left="20"/>
              <w:spacing w:after="0"/>
              <w:rPr>
                <w:sz w:val="20"/>
                <w:szCs w:val="20"/>
                <w:color w:val="auto"/>
              </w:rPr>
            </w:pPr>
            <w:r>
              <w:rPr>
                <w:rFonts w:ascii="Arial" w:cs="Arial" w:eastAsia="Arial" w:hAnsi="Arial"/>
                <w:sz w:val="14"/>
                <w:szCs w:val="14"/>
                <w:color w:val="auto"/>
              </w:rPr>
              <w:t>affiliate</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(24 ) $</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190"/>
        </w:trPr>
        <w:tc>
          <w:tcPr>
            <w:tcW w:w="1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Noncontrolling interest—</w:t>
            </w:r>
          </w:p>
        </w:tc>
        <w:tc>
          <w:tcPr>
            <w:tcW w:w="8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40" w:type="dxa"/>
            <w:vAlign w:val="bottom"/>
            <w:shd w:val="clear" w:color="auto" w:fill="CFF0FC"/>
          </w:tcPr>
          <w:p>
            <w:pPr>
              <w:ind w:left="20"/>
              <w:spacing w:after="0"/>
              <w:rPr>
                <w:sz w:val="20"/>
                <w:szCs w:val="20"/>
                <w:color w:val="auto"/>
              </w:rPr>
            </w:pPr>
            <w:r>
              <w:rPr>
                <w:rFonts w:ascii="Arial" w:cs="Arial" w:eastAsia="Arial" w:hAnsi="Arial"/>
                <w:sz w:val="14"/>
                <w:szCs w:val="14"/>
                <w:color w:val="auto"/>
                <w:w w:val="96"/>
              </w:rPr>
              <w:t>distribution of net assets to</w:t>
            </w:r>
          </w:p>
        </w:tc>
        <w:tc>
          <w:tcPr>
            <w:tcW w:w="8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affiliate and related</w:t>
            </w:r>
          </w:p>
        </w:tc>
        <w:tc>
          <w:tcPr>
            <w:tcW w:w="8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deconsolidation</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(66 ) $</w:t>
            </w:r>
          </w:p>
        </w:tc>
        <w:tc>
          <w:tcPr>
            <w:tcW w:w="9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197"/>
        </w:trPr>
        <w:tc>
          <w:tcPr>
            <w:tcW w:w="1640" w:type="dxa"/>
            <w:vAlign w:val="bottom"/>
          </w:tcPr>
          <w:p>
            <w:pPr>
              <w:ind w:left="20"/>
              <w:spacing w:after="0"/>
              <w:rPr>
                <w:sz w:val="20"/>
                <w:szCs w:val="20"/>
                <w:color w:val="auto"/>
              </w:rPr>
            </w:pPr>
            <w:r>
              <w:rPr>
                <w:rFonts w:ascii="Arial" w:cs="Arial" w:eastAsia="Arial" w:hAnsi="Arial"/>
                <w:sz w:val="14"/>
                <w:szCs w:val="14"/>
                <w:color w:val="auto"/>
              </w:rPr>
              <w:t>Net loss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(11,632 )</w:t>
            </w:r>
          </w:p>
        </w:tc>
        <w:tc>
          <w:tcPr>
            <w:tcW w:w="120" w:type="dxa"/>
            <w:vAlign w:val="bottom"/>
          </w:tcPr>
          <w:p>
            <w:pPr>
              <w:spacing w:after="0"/>
              <w:rPr>
                <w:sz w:val="17"/>
                <w:szCs w:val="17"/>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(11,632 )</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40" w:type="dxa"/>
            <w:vAlign w:val="bottom"/>
            <w:shd w:val="clear" w:color="auto" w:fill="CFF0FC"/>
          </w:tcPr>
          <w:p>
            <w:pPr>
              <w:ind w:left="20"/>
              <w:spacing w:after="0"/>
              <w:rPr>
                <w:sz w:val="20"/>
                <w:szCs w:val="20"/>
                <w:color w:val="auto"/>
              </w:rPr>
            </w:pPr>
            <w:r>
              <w:rPr>
                <w:rFonts w:ascii="Arial" w:cs="Arial" w:eastAsia="Arial" w:hAnsi="Arial"/>
                <w:sz w:val="14"/>
                <w:szCs w:val="14"/>
                <w:color w:val="auto"/>
                <w:w w:val="98"/>
              </w:rPr>
              <w:t>Balance at September 30,</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199,791,519</w:t>
            </w:r>
          </w:p>
        </w:tc>
        <w:tc>
          <w:tcPr>
            <w:tcW w:w="40" w:type="dxa"/>
            <w:vAlign w:val="bottom"/>
            <w:vMerge w:val="restart"/>
            <w:shd w:val="clear" w:color="auto" w:fill="CFF0FC"/>
          </w:tcPr>
          <w:p>
            <w:pPr>
              <w:spacing w:after="0"/>
              <w:rPr>
                <w:sz w:val="15"/>
                <w:szCs w:val="15"/>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98,777</w:t>
            </w:r>
          </w:p>
        </w:tc>
        <w:tc>
          <w:tcPr>
            <w:tcW w:w="40" w:type="dxa"/>
            <w:vAlign w:val="bottom"/>
            <w:shd w:val="clear" w:color="auto" w:fill="CFF0FC"/>
          </w:tcPr>
          <w:p>
            <w:pPr>
              <w:spacing w:after="0"/>
              <w:rPr>
                <w:sz w:val="15"/>
                <w:szCs w:val="15"/>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CFF0FC"/>
          </w:tcPr>
          <w:p>
            <w:pPr>
              <w:spacing w:after="0"/>
              <w:rPr>
                <w:sz w:val="15"/>
                <w:szCs w:val="15"/>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CFF0FC"/>
          </w:tcPr>
          <w:p>
            <w:pPr>
              <w:spacing w:after="0"/>
              <w:rPr>
                <w:sz w:val="15"/>
                <w:szCs w:val="15"/>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CFF0FC"/>
          </w:tcPr>
          <w:p>
            <w:pPr>
              <w:spacing w:after="0"/>
              <w:rPr>
                <w:sz w:val="15"/>
                <w:szCs w:val="15"/>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CFF0FC"/>
          </w:tcPr>
          <w:p>
            <w:pPr>
              <w:spacing w:after="0"/>
              <w:rPr>
                <w:sz w:val="15"/>
                <w:szCs w:val="15"/>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99"/>
              </w:rPr>
              <w:t>6,220,050</w:t>
            </w:r>
          </w:p>
        </w:tc>
        <w:tc>
          <w:tcPr>
            <w:tcW w:w="60" w:type="dxa"/>
            <w:vAlign w:val="bottom"/>
            <w:vMerge w:val="restart"/>
            <w:shd w:val="clear" w:color="auto" w:fill="CFF0FC"/>
          </w:tcPr>
          <w:p>
            <w:pPr>
              <w:spacing w:after="0"/>
              <w:rPr>
                <w:sz w:val="15"/>
                <w:szCs w:val="15"/>
                <w:color w:val="auto"/>
              </w:rPr>
            </w:pPr>
          </w:p>
        </w:tc>
        <w:tc>
          <w:tcPr>
            <w:tcW w:w="300" w:type="dxa"/>
            <w:vAlign w:val="bottom"/>
            <w:vMerge w:val="restart"/>
            <w:shd w:val="clear" w:color="auto" w:fill="CFF0FC"/>
          </w:tcPr>
          <w:p>
            <w:pPr>
              <w:jc w:val="right"/>
              <w:ind w:right="157"/>
              <w:spacing w:after="0"/>
              <w:rPr>
                <w:sz w:val="20"/>
                <w:szCs w:val="20"/>
                <w:color w:val="auto"/>
              </w:rPr>
            </w:pPr>
            <w:r>
              <w:rPr>
                <w:rFonts w:ascii="Arial" w:cs="Arial" w:eastAsia="Arial" w:hAnsi="Arial"/>
                <w:sz w:val="14"/>
                <w:szCs w:val="14"/>
                <w:color w:val="auto"/>
                <w:w w:val="76"/>
              </w:rPr>
              <w:t>$</w:t>
            </w: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60" w:type="dxa"/>
            <w:vAlign w:val="bottom"/>
            <w:vMerge w:val="restart"/>
            <w:shd w:val="clear" w:color="auto" w:fill="CFF0FC"/>
          </w:tcPr>
          <w:p>
            <w:pPr>
              <w:spacing w:after="0"/>
              <w:rPr>
                <w:sz w:val="15"/>
                <w:szCs w:val="15"/>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CFF0FC"/>
          </w:tcPr>
          <w:p>
            <w:pPr>
              <w:spacing w:after="0"/>
              <w:rPr>
                <w:sz w:val="15"/>
                <w:szCs w:val="15"/>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3"/>
            <w:vMerge w:val="restart"/>
            <w:shd w:val="clear" w:color="auto" w:fill="CFF0FC"/>
          </w:tcPr>
          <w:p>
            <w:pPr>
              <w:jc w:val="right"/>
              <w:ind w:right="6"/>
              <w:spacing w:after="0"/>
              <w:rPr>
                <w:sz w:val="20"/>
                <w:szCs w:val="20"/>
                <w:color w:val="auto"/>
              </w:rPr>
            </w:pPr>
            <w:r>
              <w:rPr>
                <w:rFonts w:ascii="Arial" w:cs="Arial" w:eastAsia="Arial" w:hAnsi="Arial"/>
                <w:sz w:val="14"/>
                <w:szCs w:val="14"/>
                <w:color w:val="auto"/>
              </w:rPr>
              <w:t>(74,522 )$</w:t>
            </w:r>
          </w:p>
        </w:tc>
        <w:tc>
          <w:tcPr>
            <w:tcW w:w="74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 $</w:t>
            </w:r>
          </w:p>
        </w:tc>
        <w:tc>
          <w:tcPr>
            <w:tcW w:w="6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(74,521 )</w:t>
            </w:r>
          </w:p>
        </w:tc>
        <w:tc>
          <w:tcPr>
            <w:tcW w:w="0" w:type="dxa"/>
            <w:vAlign w:val="bottom"/>
          </w:tcPr>
          <w:p>
            <w:pPr>
              <w:spacing w:after="0"/>
              <w:rPr>
                <w:sz w:val="1"/>
                <w:szCs w:val="1"/>
                <w:color w:val="auto"/>
              </w:rPr>
            </w:pPr>
          </w:p>
        </w:tc>
      </w:tr>
      <w:tr>
        <w:trPr>
          <w:trHeight w:val="174"/>
        </w:trPr>
        <w:tc>
          <w:tcPr>
            <w:tcW w:w="1640" w:type="dxa"/>
            <w:vAlign w:val="bottom"/>
            <w:shd w:val="clear" w:color="auto" w:fill="CFF0FC"/>
          </w:tcPr>
          <w:p>
            <w:pPr>
              <w:ind w:left="20"/>
              <w:spacing w:after="0" w:line="154" w:lineRule="exact"/>
              <w:rPr>
                <w:sz w:val="20"/>
                <w:szCs w:val="20"/>
                <w:color w:val="auto"/>
              </w:rPr>
            </w:pPr>
            <w:r>
              <w:rPr>
                <w:rFonts w:ascii="Arial" w:cs="Arial" w:eastAsia="Arial" w:hAnsi="Arial"/>
                <w:sz w:val="14"/>
                <w:szCs w:val="14"/>
                <w:color w:val="auto"/>
              </w:rPr>
              <w:t>2020</w:t>
            </w:r>
          </w:p>
        </w:tc>
        <w:tc>
          <w:tcPr>
            <w:tcW w:w="820" w:type="dxa"/>
            <w:vAlign w:val="bottom"/>
            <w:vMerge w:val="continue"/>
            <w:shd w:val="clear" w:color="auto" w:fill="CFF0FC"/>
          </w:tcPr>
          <w:p>
            <w:pPr>
              <w:spacing w:after="0"/>
              <w:rPr>
                <w:sz w:val="15"/>
                <w:szCs w:val="15"/>
                <w:color w:val="auto"/>
              </w:rPr>
            </w:pPr>
          </w:p>
        </w:tc>
        <w:tc>
          <w:tcPr>
            <w:tcW w:w="40" w:type="dxa"/>
            <w:vAlign w:val="bottom"/>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580" w:type="dxa"/>
            <w:vAlign w:val="bottom"/>
            <w:vMerge w:val="continue"/>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0" w:type="dxa"/>
            <w:vAlign w:val="bottom"/>
            <w:vMerge w:val="continue"/>
            <w:shd w:val="clear" w:color="auto" w:fill="CFF0FC"/>
          </w:tcPr>
          <w:p>
            <w:pPr>
              <w:spacing w:after="0"/>
              <w:rPr>
                <w:sz w:val="15"/>
                <w:szCs w:val="15"/>
                <w:color w:val="auto"/>
              </w:rPr>
            </w:pPr>
          </w:p>
        </w:tc>
        <w:tc>
          <w:tcPr>
            <w:tcW w:w="60" w:type="dxa"/>
            <w:vAlign w:val="bottom"/>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500" w:type="dxa"/>
            <w:vAlign w:val="bottom"/>
            <w:vMerge w:val="continue"/>
            <w:shd w:val="clear" w:color="auto" w:fill="CFF0FC"/>
          </w:tcPr>
          <w:p>
            <w:pPr>
              <w:spacing w:after="0"/>
              <w:rPr>
                <w:sz w:val="15"/>
                <w:szCs w:val="15"/>
                <w:color w:val="auto"/>
              </w:rPr>
            </w:pPr>
          </w:p>
        </w:tc>
        <w:tc>
          <w:tcPr>
            <w:tcW w:w="60" w:type="dxa"/>
            <w:vAlign w:val="bottom"/>
            <w:vMerge w:val="continue"/>
            <w:shd w:val="clear" w:color="auto" w:fill="CFF0FC"/>
          </w:tcPr>
          <w:p>
            <w:pPr>
              <w:spacing w:after="0"/>
              <w:rPr>
                <w:sz w:val="15"/>
                <w:szCs w:val="15"/>
                <w:color w:val="auto"/>
              </w:rPr>
            </w:pPr>
          </w:p>
        </w:tc>
        <w:tc>
          <w:tcPr>
            <w:tcW w:w="940" w:type="dxa"/>
            <w:vAlign w:val="bottom"/>
            <w:vMerge w:val="continue"/>
            <w:shd w:val="clear" w:color="auto" w:fill="CFF0FC"/>
          </w:tcPr>
          <w:p>
            <w:pPr>
              <w:spacing w:after="0"/>
              <w:rPr>
                <w:sz w:val="15"/>
                <w:szCs w:val="15"/>
                <w:color w:val="auto"/>
              </w:rPr>
            </w:pPr>
          </w:p>
        </w:tc>
        <w:tc>
          <w:tcPr>
            <w:tcW w:w="60" w:type="dxa"/>
            <w:vAlign w:val="bottom"/>
            <w:vMerge w:val="continue"/>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540" w:type="dxa"/>
            <w:vAlign w:val="bottom"/>
            <w:vMerge w:val="continue"/>
            <w:shd w:val="clear" w:color="auto" w:fill="CFF0FC"/>
          </w:tcPr>
          <w:p>
            <w:pPr>
              <w:spacing w:after="0"/>
              <w:rPr>
                <w:sz w:val="15"/>
                <w:szCs w:val="15"/>
                <w:color w:val="auto"/>
              </w:rPr>
            </w:pPr>
          </w:p>
        </w:tc>
        <w:tc>
          <w:tcPr>
            <w:tcW w:w="60" w:type="dxa"/>
            <w:vAlign w:val="bottom"/>
            <w:vMerge w:val="continue"/>
            <w:shd w:val="clear" w:color="auto" w:fill="CFF0FC"/>
          </w:tcPr>
          <w:p>
            <w:pPr>
              <w:spacing w:after="0"/>
              <w:rPr>
                <w:sz w:val="15"/>
                <w:szCs w:val="15"/>
                <w:color w:val="auto"/>
              </w:rPr>
            </w:pPr>
          </w:p>
        </w:tc>
        <w:tc>
          <w:tcPr>
            <w:tcW w:w="660" w:type="dxa"/>
            <w:vAlign w:val="bottom"/>
            <w:vMerge w:val="continue"/>
            <w:shd w:val="clear" w:color="auto" w:fill="CFF0FC"/>
          </w:tcPr>
          <w:p>
            <w:pPr>
              <w:spacing w:after="0"/>
              <w:rPr>
                <w:sz w:val="15"/>
                <w:szCs w:val="15"/>
                <w:color w:val="auto"/>
              </w:rPr>
            </w:pPr>
          </w:p>
        </w:tc>
        <w:tc>
          <w:tcPr>
            <w:tcW w:w="60" w:type="dxa"/>
            <w:vAlign w:val="bottom"/>
            <w:vMerge w:val="continue"/>
            <w:shd w:val="clear" w:color="auto" w:fill="CFF0FC"/>
          </w:tcPr>
          <w:p>
            <w:pPr>
              <w:spacing w:after="0"/>
              <w:rPr>
                <w:sz w:val="15"/>
                <w:szCs w:val="15"/>
                <w:color w:val="auto"/>
              </w:rPr>
            </w:pPr>
          </w:p>
        </w:tc>
        <w:tc>
          <w:tcPr>
            <w:tcW w:w="300" w:type="dxa"/>
            <w:vAlign w:val="bottom"/>
            <w:vMerge w:val="continue"/>
            <w:shd w:val="clear" w:color="auto" w:fill="CFF0FC"/>
          </w:tcPr>
          <w:p>
            <w:pPr>
              <w:spacing w:after="0"/>
              <w:rPr>
                <w:sz w:val="15"/>
                <w:szCs w:val="15"/>
                <w:color w:val="auto"/>
              </w:rPr>
            </w:pPr>
          </w:p>
        </w:tc>
        <w:tc>
          <w:tcPr>
            <w:tcW w:w="200" w:type="dxa"/>
            <w:vAlign w:val="bottom"/>
            <w:vMerge w:val="continue"/>
            <w:shd w:val="clear" w:color="auto" w:fill="CFF0FC"/>
          </w:tcPr>
          <w:p>
            <w:pPr>
              <w:spacing w:after="0"/>
              <w:rPr>
                <w:sz w:val="15"/>
                <w:szCs w:val="15"/>
                <w:color w:val="auto"/>
              </w:rPr>
            </w:pPr>
          </w:p>
        </w:tc>
        <w:tc>
          <w:tcPr>
            <w:tcW w:w="60" w:type="dxa"/>
            <w:vAlign w:val="bottom"/>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700" w:type="dxa"/>
            <w:vAlign w:val="bottom"/>
            <w:vMerge w:val="continue"/>
            <w:shd w:val="clear" w:color="auto" w:fill="CFF0FC"/>
          </w:tcPr>
          <w:p>
            <w:pPr>
              <w:spacing w:after="0"/>
              <w:rPr>
                <w:sz w:val="15"/>
                <w:szCs w:val="15"/>
                <w:color w:val="auto"/>
              </w:rPr>
            </w:pPr>
          </w:p>
        </w:tc>
        <w:tc>
          <w:tcPr>
            <w:tcW w:w="60" w:type="dxa"/>
            <w:vAlign w:val="bottom"/>
            <w:vMerge w:val="continue"/>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1040" w:type="dxa"/>
            <w:vAlign w:val="bottom"/>
            <w:gridSpan w:val="3"/>
            <w:vMerge w:val="continue"/>
            <w:shd w:val="clear" w:color="auto" w:fill="CFF0FC"/>
          </w:tcPr>
          <w:p>
            <w:pPr>
              <w:spacing w:after="0"/>
              <w:rPr>
                <w:sz w:val="15"/>
                <w:szCs w:val="15"/>
                <w:color w:val="auto"/>
              </w:rPr>
            </w:pPr>
          </w:p>
        </w:tc>
        <w:tc>
          <w:tcPr>
            <w:tcW w:w="740" w:type="dxa"/>
            <w:vAlign w:val="bottom"/>
            <w:gridSpan w:val="3"/>
            <w:vMerge w:val="continue"/>
            <w:shd w:val="clear" w:color="auto" w:fill="CFF0FC"/>
          </w:tcPr>
          <w:p>
            <w:pPr>
              <w:spacing w:after="0"/>
              <w:rPr>
                <w:sz w:val="15"/>
                <w:szCs w:val="15"/>
                <w:color w:val="auto"/>
              </w:rPr>
            </w:pPr>
          </w:p>
        </w:tc>
        <w:tc>
          <w:tcPr>
            <w:tcW w:w="66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-25400</wp:posOffset>
            </wp:positionV>
            <wp:extent cx="342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-8255</wp:posOffset>
            </wp:positionV>
            <wp:extent cx="342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-25400</wp:posOffset>
            </wp:positionV>
            <wp:extent cx="342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-8255</wp:posOffset>
            </wp:positionV>
            <wp:extent cx="342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-25400</wp:posOffset>
            </wp:positionV>
            <wp:extent cx="431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-8255</wp:posOffset>
            </wp:positionV>
            <wp:extent cx="431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-25400</wp:posOffset>
            </wp:positionV>
            <wp:extent cx="431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-8255</wp:posOffset>
            </wp:positionV>
            <wp:extent cx="431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-25400</wp:posOffset>
            </wp:positionV>
            <wp:extent cx="425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-8255</wp:posOffset>
            </wp:positionV>
            <wp:extent cx="4254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545"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-25400</wp:posOffset>
            </wp:positionV>
            <wp:extent cx="431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-8255</wp:posOffset>
            </wp:positionV>
            <wp:extent cx="431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-25400</wp:posOffset>
            </wp:positionV>
            <wp:extent cx="342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-8255</wp:posOffset>
            </wp:positionV>
            <wp:extent cx="342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-25400</wp:posOffset>
            </wp:positionV>
            <wp:extent cx="342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-8255</wp:posOffset>
            </wp:positionV>
            <wp:extent cx="342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-25400</wp:posOffset>
            </wp:positionV>
            <wp:extent cx="431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-8255</wp:posOffset>
            </wp:positionV>
            <wp:extent cx="431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342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342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-25400</wp:posOffset>
            </wp:positionV>
            <wp:extent cx="342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-8255</wp:posOffset>
            </wp:positionV>
            <wp:extent cx="342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-8255</wp:posOffset>
            </wp:positionV>
            <wp:extent cx="342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statement of members' deficit for the nine months ended September 30, 2020 is as follows (in thousands, except unit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640" w:type="dxa"/>
            <w:vAlign w:val="bottom"/>
          </w:tcPr>
          <w:p>
            <w:pPr>
              <w:spacing w:after="0"/>
              <w:rPr>
                <w:sz w:val="11"/>
                <w:szCs w:val="11"/>
                <w:color w:val="auto"/>
              </w:rPr>
            </w:pPr>
          </w:p>
        </w:tc>
        <w:tc>
          <w:tcPr>
            <w:tcW w:w="1560" w:type="dxa"/>
            <w:vAlign w:val="bottom"/>
            <w:gridSpan w:val="4"/>
          </w:tcPr>
          <w:p>
            <w:pPr>
              <w:jc w:val="right"/>
              <w:ind w:right="230"/>
              <w:spacing w:after="0"/>
              <w:rPr>
                <w:sz w:val="20"/>
                <w:szCs w:val="20"/>
                <w:color w:val="auto"/>
              </w:rPr>
            </w:pPr>
            <w:r>
              <w:rPr>
                <w:rFonts w:ascii="Arial" w:cs="Arial" w:eastAsia="Arial" w:hAnsi="Arial"/>
                <w:sz w:val="11"/>
                <w:szCs w:val="11"/>
                <w:b w:val="1"/>
                <w:bCs w:val="1"/>
                <w:color w:val="auto"/>
              </w:rPr>
              <w:t>Series D Convertible</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96"/>
              </w:rPr>
              <w:t>Additional</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56"/>
        </w:trPr>
        <w:tc>
          <w:tcPr>
            <w:tcW w:w="1640" w:type="dxa"/>
            <w:vAlign w:val="bottom"/>
          </w:tcPr>
          <w:p>
            <w:pPr>
              <w:spacing w:after="0"/>
              <w:rPr>
                <w:sz w:val="13"/>
                <w:szCs w:val="13"/>
                <w:color w:val="auto"/>
              </w:rPr>
            </w:pPr>
          </w:p>
        </w:tc>
        <w:tc>
          <w:tcPr>
            <w:tcW w:w="1560" w:type="dxa"/>
            <w:vAlign w:val="bottom"/>
            <w:gridSpan w:val="4"/>
          </w:tcPr>
          <w:p>
            <w:pPr>
              <w:jc w:val="right"/>
              <w:ind w:right="350"/>
              <w:spacing w:after="0"/>
              <w:rPr>
                <w:sz w:val="20"/>
                <w:szCs w:val="20"/>
                <w:color w:val="auto"/>
              </w:rPr>
            </w:pPr>
            <w:r>
              <w:rPr>
                <w:rFonts w:ascii="Arial" w:cs="Arial" w:eastAsia="Arial" w:hAnsi="Arial"/>
                <w:sz w:val="11"/>
                <w:szCs w:val="11"/>
                <w:b w:val="1"/>
                <w:bCs w:val="1"/>
                <w:color w:val="auto"/>
              </w:rPr>
              <w:t>Preferred Stock</w:t>
            </w:r>
          </w:p>
        </w:tc>
        <w:tc>
          <w:tcPr>
            <w:tcW w:w="40" w:type="dxa"/>
            <w:vAlign w:val="bottom"/>
          </w:tcPr>
          <w:p>
            <w:pPr>
              <w:spacing w:after="0"/>
              <w:rPr>
                <w:sz w:val="13"/>
                <w:szCs w:val="13"/>
                <w:color w:val="auto"/>
              </w:rPr>
            </w:pPr>
          </w:p>
        </w:tc>
        <w:tc>
          <w:tcPr>
            <w:tcW w:w="1520" w:type="dxa"/>
            <w:vAlign w:val="bottom"/>
            <w:gridSpan w:val="5"/>
          </w:tcPr>
          <w:p>
            <w:pPr>
              <w:jc w:val="right"/>
              <w:ind w:right="240"/>
              <w:spacing w:after="0"/>
              <w:rPr>
                <w:sz w:val="20"/>
                <w:szCs w:val="20"/>
                <w:color w:val="auto"/>
              </w:rPr>
            </w:pPr>
            <w:r>
              <w:rPr>
                <w:rFonts w:ascii="Arial" w:cs="Arial" w:eastAsia="Arial" w:hAnsi="Arial"/>
                <w:sz w:val="11"/>
                <w:szCs w:val="11"/>
                <w:b w:val="1"/>
                <w:bCs w:val="1"/>
                <w:color w:val="auto"/>
              </w:rPr>
              <w:t>Class C Preferred Units</w:t>
            </w:r>
          </w:p>
        </w:tc>
        <w:tc>
          <w:tcPr>
            <w:tcW w:w="1140" w:type="dxa"/>
            <w:vAlign w:val="bottom"/>
            <w:gridSpan w:val="3"/>
          </w:tcPr>
          <w:p>
            <w:pPr>
              <w:jc w:val="right"/>
              <w:spacing w:after="0"/>
              <w:rPr>
                <w:sz w:val="20"/>
                <w:szCs w:val="20"/>
                <w:color w:val="auto"/>
              </w:rPr>
            </w:pPr>
            <w:r>
              <w:rPr>
                <w:rFonts w:ascii="Arial" w:cs="Arial" w:eastAsia="Arial" w:hAnsi="Arial"/>
                <w:sz w:val="11"/>
                <w:szCs w:val="11"/>
                <w:b w:val="1"/>
                <w:bCs w:val="1"/>
                <w:color w:val="auto"/>
              </w:rPr>
              <w:t>Class A Units</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3"/>
          </w:tcPr>
          <w:p>
            <w:pPr>
              <w:jc w:val="right"/>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2"/>
              </w:rPr>
              <w:t>Accumulated</w:t>
            </w:r>
          </w:p>
        </w:tc>
        <w:tc>
          <w:tcPr>
            <w:tcW w:w="860" w:type="dxa"/>
            <w:vAlign w:val="bottom"/>
            <w:gridSpan w:val="4"/>
          </w:tcPr>
          <w:p>
            <w:pPr>
              <w:jc w:val="right"/>
              <w:ind w:right="160"/>
              <w:spacing w:after="0"/>
              <w:rPr>
                <w:sz w:val="20"/>
                <w:szCs w:val="20"/>
                <w:color w:val="auto"/>
              </w:rPr>
            </w:pPr>
            <w:r>
              <w:rPr>
                <w:rFonts w:ascii="Arial" w:cs="Arial" w:eastAsia="Arial" w:hAnsi="Arial"/>
                <w:sz w:val="11"/>
                <w:szCs w:val="11"/>
                <w:b w:val="1"/>
                <w:bCs w:val="1"/>
                <w:color w:val="auto"/>
                <w:w w:val="86"/>
              </w:rPr>
              <w:t>Noncontrolling</w:t>
            </w:r>
          </w:p>
        </w:tc>
        <w:tc>
          <w:tcPr>
            <w:tcW w:w="6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Members’</w:t>
            </w:r>
          </w:p>
        </w:tc>
        <w:tc>
          <w:tcPr>
            <w:tcW w:w="0" w:type="dxa"/>
            <w:vAlign w:val="bottom"/>
          </w:tcPr>
          <w:p>
            <w:pPr>
              <w:spacing w:after="0"/>
              <w:rPr>
                <w:sz w:val="1"/>
                <w:szCs w:val="1"/>
                <w:color w:val="auto"/>
              </w:rPr>
            </w:pPr>
          </w:p>
        </w:tc>
      </w:tr>
      <w:tr>
        <w:trPr>
          <w:trHeight w:val="140"/>
        </w:trPr>
        <w:tc>
          <w:tcPr>
            <w:tcW w:w="1640" w:type="dxa"/>
            <w:vAlign w:val="bottom"/>
          </w:tcPr>
          <w:p>
            <w:pPr>
              <w:spacing w:after="0"/>
              <w:rPr>
                <w:sz w:val="12"/>
                <w:szCs w:val="12"/>
                <w:color w:val="auto"/>
              </w:rPr>
            </w:pPr>
          </w:p>
        </w:tc>
        <w:tc>
          <w:tcPr>
            <w:tcW w:w="820" w:type="dxa"/>
            <w:vAlign w:val="bottom"/>
            <w:tcBorders>
              <w:top w:val="single" w:sz="8" w:color="auto"/>
            </w:tcBorders>
          </w:tcPr>
          <w:p>
            <w:pPr>
              <w:jc w:val="right"/>
              <w:ind w:right="233"/>
              <w:spacing w:after="0"/>
              <w:rPr>
                <w:sz w:val="20"/>
                <w:szCs w:val="20"/>
                <w:color w:val="auto"/>
              </w:rPr>
            </w:pPr>
            <w:r>
              <w:rPr>
                <w:rFonts w:ascii="Arial" w:cs="Arial" w:eastAsia="Arial" w:hAnsi="Arial"/>
                <w:sz w:val="11"/>
                <w:szCs w:val="11"/>
                <w:b w:val="1"/>
                <w:bCs w:val="1"/>
                <w:color w:val="auto"/>
              </w:rPr>
              <w:t>Units</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90"/>
              <w:spacing w:after="0"/>
              <w:rPr>
                <w:sz w:val="20"/>
                <w:szCs w:val="20"/>
                <w:color w:val="auto"/>
              </w:rPr>
            </w:pPr>
            <w:r>
              <w:rPr>
                <w:rFonts w:ascii="Arial" w:cs="Arial" w:eastAsia="Arial" w:hAnsi="Arial"/>
                <w:sz w:val="11"/>
                <w:szCs w:val="11"/>
                <w:b w:val="1"/>
                <w:bCs w:val="1"/>
                <w:color w:val="auto"/>
                <w:w w:val="96"/>
              </w:rPr>
              <w:t>Amount</w:t>
            </w:r>
          </w:p>
        </w:tc>
        <w:tc>
          <w:tcPr>
            <w:tcW w:w="4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1"/>
                <w:szCs w:val="11"/>
                <w:b w:val="1"/>
                <w:bCs w:val="1"/>
                <w:color w:val="auto"/>
              </w:rPr>
              <w:t>Units</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0"/>
              <w:spacing w:after="0"/>
              <w:rPr>
                <w:sz w:val="20"/>
                <w:szCs w:val="20"/>
                <w:color w:val="auto"/>
              </w:rPr>
            </w:pPr>
            <w:r>
              <w:rPr>
                <w:rFonts w:ascii="Arial" w:cs="Arial" w:eastAsia="Arial" w:hAnsi="Arial"/>
                <w:sz w:val="11"/>
                <w:szCs w:val="11"/>
                <w:b w:val="1"/>
                <w:bCs w:val="1"/>
                <w:color w:val="auto"/>
                <w:w w:val="86"/>
              </w:rPr>
              <w:t>Amount</w:t>
            </w:r>
          </w:p>
        </w:tc>
        <w:tc>
          <w:tcPr>
            <w:tcW w:w="6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1"/>
                <w:szCs w:val="11"/>
                <w:b w:val="1"/>
                <w:bCs w:val="1"/>
                <w:color w:val="auto"/>
              </w:rPr>
              <w:t>Units</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0"/>
              <w:spacing w:after="0"/>
              <w:rPr>
                <w:sz w:val="20"/>
                <w:szCs w:val="20"/>
                <w:color w:val="auto"/>
              </w:rPr>
            </w:pPr>
            <w:r>
              <w:rPr>
                <w:rFonts w:ascii="Arial" w:cs="Arial" w:eastAsia="Arial" w:hAnsi="Arial"/>
                <w:sz w:val="11"/>
                <w:szCs w:val="11"/>
                <w:b w:val="1"/>
                <w:bCs w:val="1"/>
                <w:color w:val="auto"/>
                <w:w w:val="86"/>
              </w:rPr>
              <w:t>Amount</w:t>
            </w:r>
          </w:p>
        </w:tc>
        <w:tc>
          <w:tcPr>
            <w:tcW w:w="60" w:type="dxa"/>
            <w:vAlign w:val="bottom"/>
          </w:tcPr>
          <w:p>
            <w:pPr>
              <w:spacing w:after="0"/>
              <w:rPr>
                <w:sz w:val="12"/>
                <w:szCs w:val="12"/>
                <w:color w:val="auto"/>
              </w:rPr>
            </w:pPr>
          </w:p>
        </w:tc>
        <w:tc>
          <w:tcPr>
            <w:tcW w:w="660" w:type="dxa"/>
            <w:vAlign w:val="bottom"/>
            <w:tcBorders>
              <w:top w:val="single" w:sz="8" w:color="auto"/>
            </w:tcBorders>
          </w:tcPr>
          <w:p>
            <w:pPr>
              <w:jc w:val="right"/>
              <w:ind w:right="131"/>
              <w:spacing w:after="0"/>
              <w:rPr>
                <w:sz w:val="20"/>
                <w:szCs w:val="20"/>
                <w:color w:val="auto"/>
              </w:rPr>
            </w:pPr>
            <w:r>
              <w:rPr>
                <w:rFonts w:ascii="Arial" w:cs="Arial" w:eastAsia="Arial" w:hAnsi="Arial"/>
                <w:sz w:val="11"/>
                <w:szCs w:val="11"/>
                <w:b w:val="1"/>
                <w:bCs w:val="1"/>
                <w:color w:val="auto"/>
              </w:rPr>
              <w:t>Units</w:t>
            </w: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Capital</w:t>
            </w:r>
          </w:p>
        </w:tc>
        <w:tc>
          <w:tcPr>
            <w:tcW w:w="140" w:type="dxa"/>
            <w:vAlign w:val="bottom"/>
          </w:tcPr>
          <w:p>
            <w:pPr>
              <w:spacing w:after="0"/>
              <w:rPr>
                <w:sz w:val="12"/>
                <w:szCs w:val="1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2"/>
                <w:szCs w:val="12"/>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1"/>
                <w:szCs w:val="11"/>
                <w:b w:val="1"/>
                <w:bCs w:val="1"/>
                <w:color w:val="auto"/>
                <w:w w:val="95"/>
              </w:rPr>
              <w:t>Interest</w:t>
            </w:r>
          </w:p>
        </w:tc>
        <w:tc>
          <w:tcPr>
            <w:tcW w:w="6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Deficit</w:t>
            </w:r>
          </w:p>
        </w:tc>
        <w:tc>
          <w:tcPr>
            <w:tcW w:w="0" w:type="dxa"/>
            <w:vAlign w:val="bottom"/>
          </w:tcPr>
          <w:p>
            <w:pPr>
              <w:spacing w:after="0"/>
              <w:rPr>
                <w:sz w:val="1"/>
                <w:szCs w:val="1"/>
                <w:color w:val="auto"/>
              </w:rPr>
            </w:pPr>
          </w:p>
        </w:tc>
      </w:tr>
      <w:tr>
        <w:trPr>
          <w:trHeight w:val="22"/>
        </w:trPr>
        <w:tc>
          <w:tcPr>
            <w:tcW w:w="1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December 31,</w:t>
            </w:r>
          </w:p>
        </w:tc>
        <w:tc>
          <w:tcPr>
            <w:tcW w:w="8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2019</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23,968,178</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89,345</w:t>
            </w:r>
          </w:p>
        </w:tc>
        <w:tc>
          <w:tcPr>
            <w:tcW w:w="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54,600,000</w:t>
            </w: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w:t>
            </w:r>
          </w:p>
        </w:tc>
        <w:tc>
          <w:tcPr>
            <w:tcW w:w="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ind w:right="157"/>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2,295</w:t>
            </w: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3"/>
            <w:shd w:val="clear" w:color="auto" w:fill="CFF0FC"/>
          </w:tcPr>
          <w:p>
            <w:pPr>
              <w:jc w:val="right"/>
              <w:ind w:right="6"/>
              <w:spacing w:after="0"/>
              <w:rPr>
                <w:sz w:val="20"/>
                <w:szCs w:val="20"/>
                <w:color w:val="auto"/>
              </w:rPr>
            </w:pPr>
            <w:r>
              <w:rPr>
                <w:rFonts w:ascii="Arial" w:cs="Arial" w:eastAsia="Arial" w:hAnsi="Arial"/>
                <w:sz w:val="14"/>
                <w:szCs w:val="14"/>
                <w:color w:val="auto"/>
              </w:rPr>
              <w:t>(148,354 )$</w:t>
            </w:r>
          </w:p>
        </w:tc>
        <w:tc>
          <w:tcPr>
            <w:tcW w:w="74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(47 )$</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(56,011 )</w:t>
            </w:r>
          </w:p>
        </w:tc>
        <w:tc>
          <w:tcPr>
            <w:tcW w:w="0" w:type="dxa"/>
            <w:vAlign w:val="bottom"/>
          </w:tcPr>
          <w:p>
            <w:pPr>
              <w:spacing w:after="0"/>
              <w:rPr>
                <w:sz w:val="1"/>
                <w:szCs w:val="1"/>
                <w:color w:val="auto"/>
              </w:rPr>
            </w:pPr>
          </w:p>
        </w:tc>
      </w:tr>
      <w:tr>
        <w:trPr>
          <w:trHeight w:val="184"/>
        </w:trPr>
        <w:tc>
          <w:tcPr>
            <w:tcW w:w="1640" w:type="dxa"/>
            <w:vAlign w:val="bottom"/>
          </w:tcPr>
          <w:p>
            <w:pPr>
              <w:ind w:left="20"/>
              <w:spacing w:after="0"/>
              <w:rPr>
                <w:sz w:val="20"/>
                <w:szCs w:val="20"/>
                <w:color w:val="auto"/>
              </w:rPr>
            </w:pPr>
            <w:r>
              <w:rPr>
                <w:rFonts w:ascii="Arial" w:cs="Arial" w:eastAsia="Arial" w:hAnsi="Arial"/>
                <w:sz w:val="14"/>
                <w:szCs w:val="14"/>
                <w:color w:val="auto"/>
              </w:rPr>
              <w:t>Issuance of Series D</w:t>
            </w: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40" w:type="dxa"/>
            <w:vAlign w:val="bottom"/>
          </w:tcPr>
          <w:p>
            <w:pPr>
              <w:ind w:left="20"/>
              <w:spacing w:after="0"/>
              <w:rPr>
                <w:sz w:val="20"/>
                <w:szCs w:val="20"/>
                <w:color w:val="auto"/>
              </w:rPr>
            </w:pPr>
            <w:r>
              <w:rPr>
                <w:rFonts w:ascii="Arial" w:cs="Arial" w:eastAsia="Arial" w:hAnsi="Arial"/>
                <w:sz w:val="14"/>
                <w:szCs w:val="14"/>
                <w:color w:val="auto"/>
                <w:w w:val="96"/>
              </w:rPr>
              <w:t>convertible preferred stock</w:t>
            </w: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40" w:type="dxa"/>
            <w:vAlign w:val="bottom"/>
          </w:tcPr>
          <w:p>
            <w:pPr>
              <w:ind w:left="20"/>
              <w:spacing w:after="0"/>
              <w:rPr>
                <w:sz w:val="20"/>
                <w:szCs w:val="20"/>
                <w:color w:val="auto"/>
              </w:rPr>
            </w:pPr>
            <w:r>
              <w:rPr>
                <w:rFonts w:ascii="Arial" w:cs="Arial" w:eastAsia="Arial" w:hAnsi="Arial"/>
                <w:sz w:val="14"/>
                <w:szCs w:val="14"/>
                <w:color w:val="auto"/>
              </w:rPr>
              <w:t>for cash, net of $4,317 of</w:t>
            </w: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40" w:type="dxa"/>
            <w:vAlign w:val="bottom"/>
          </w:tcPr>
          <w:p>
            <w:pPr>
              <w:ind w:left="20"/>
              <w:spacing w:after="0"/>
              <w:rPr>
                <w:sz w:val="20"/>
                <w:szCs w:val="20"/>
                <w:color w:val="auto"/>
              </w:rPr>
            </w:pPr>
            <w:r>
              <w:rPr>
                <w:rFonts w:ascii="Arial" w:cs="Arial" w:eastAsia="Arial" w:hAnsi="Arial"/>
                <w:sz w:val="14"/>
                <w:szCs w:val="14"/>
                <w:color w:val="auto"/>
              </w:rPr>
              <w:t>issuance costs</w:t>
            </w:r>
          </w:p>
        </w:tc>
        <w:tc>
          <w:tcPr>
            <w:tcW w:w="820" w:type="dxa"/>
            <w:vAlign w:val="bottom"/>
          </w:tcPr>
          <w:p>
            <w:pPr>
              <w:jc w:val="right"/>
              <w:spacing w:after="0"/>
              <w:rPr>
                <w:sz w:val="20"/>
                <w:szCs w:val="20"/>
                <w:color w:val="auto"/>
              </w:rPr>
            </w:pPr>
            <w:r>
              <w:rPr>
                <w:rFonts w:ascii="Arial" w:cs="Arial" w:eastAsia="Arial" w:hAnsi="Arial"/>
                <w:sz w:val="14"/>
                <w:szCs w:val="14"/>
                <w:color w:val="auto"/>
              </w:rPr>
              <w:t>140,626,711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68,183</w:t>
            </w:r>
          </w:p>
        </w:tc>
        <w:tc>
          <w:tcPr>
            <w:tcW w:w="4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Series D</w:t>
            </w:r>
          </w:p>
        </w:tc>
        <w:tc>
          <w:tcPr>
            <w:tcW w:w="8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40" w:type="dxa"/>
            <w:vAlign w:val="bottom"/>
            <w:shd w:val="clear" w:color="auto" w:fill="CFF0FC"/>
          </w:tcPr>
          <w:p>
            <w:pPr>
              <w:ind w:left="20"/>
              <w:spacing w:after="0"/>
              <w:rPr>
                <w:sz w:val="20"/>
                <w:szCs w:val="20"/>
                <w:color w:val="auto"/>
              </w:rPr>
            </w:pPr>
            <w:r>
              <w:rPr>
                <w:rFonts w:ascii="Arial" w:cs="Arial" w:eastAsia="Arial" w:hAnsi="Arial"/>
                <w:sz w:val="14"/>
                <w:szCs w:val="14"/>
                <w:color w:val="auto"/>
                <w:w w:val="96"/>
              </w:rPr>
              <w:t>convertible preferred stock</w:t>
            </w:r>
          </w:p>
        </w:tc>
        <w:tc>
          <w:tcPr>
            <w:tcW w:w="8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 connection with</w:t>
            </w:r>
          </w:p>
        </w:tc>
        <w:tc>
          <w:tcPr>
            <w:tcW w:w="8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settlement of convertible</w:t>
            </w:r>
          </w:p>
        </w:tc>
        <w:tc>
          <w:tcPr>
            <w:tcW w:w="8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promissory notes</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59,164,808</w:t>
            </w: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30,594</w:t>
            </w:r>
          </w:p>
        </w:tc>
        <w:tc>
          <w:tcPr>
            <w:tcW w:w="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9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4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1640" w:type="dxa"/>
            <w:vAlign w:val="bottom"/>
          </w:tcPr>
          <w:p>
            <w:pPr>
              <w:ind w:left="20"/>
              <w:spacing w:after="0"/>
              <w:rPr>
                <w:sz w:val="20"/>
                <w:szCs w:val="20"/>
                <w:color w:val="auto"/>
              </w:rPr>
            </w:pPr>
            <w:r>
              <w:rPr>
                <w:rFonts w:ascii="Arial" w:cs="Arial" w:eastAsia="Arial" w:hAnsi="Arial"/>
                <w:sz w:val="14"/>
                <w:szCs w:val="14"/>
                <w:color w:val="auto"/>
              </w:rPr>
              <w:t>LLC Conversion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(23,968,178 )</w:t>
            </w:r>
          </w:p>
        </w:tc>
        <w:tc>
          <w:tcPr>
            <w:tcW w:w="10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w w:val="96"/>
              </w:rPr>
              <w:t>(89,345 )</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(54,600,000 )</w:t>
            </w:r>
          </w:p>
        </w:tc>
        <w:tc>
          <w:tcPr>
            <w:tcW w:w="14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(750 )</w:t>
            </w:r>
          </w:p>
        </w:tc>
        <w:tc>
          <w:tcPr>
            <w:tcW w:w="660" w:type="dxa"/>
            <w:vAlign w:val="bottom"/>
          </w:tcPr>
          <w:p>
            <w:pPr>
              <w:jc w:val="right"/>
              <w:spacing w:after="0"/>
              <w:rPr>
                <w:sz w:val="20"/>
                <w:szCs w:val="20"/>
                <w:color w:val="auto"/>
              </w:rPr>
            </w:pPr>
            <w:r>
              <w:rPr>
                <w:rFonts w:ascii="Arial" w:cs="Arial" w:eastAsia="Arial" w:hAnsi="Arial"/>
                <w:sz w:val="14"/>
                <w:szCs w:val="14"/>
                <w:color w:val="auto"/>
                <w:w w:val="99"/>
              </w:rPr>
              <w:t>6,220,050</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(3,196 )</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93,290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Assumption of profits</w:t>
            </w:r>
          </w:p>
        </w:tc>
        <w:tc>
          <w:tcPr>
            <w:tcW w:w="8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liability by affiliate</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991</w:t>
            </w: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4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991</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40" w:type="dxa"/>
            <w:vAlign w:val="bottom"/>
          </w:tcPr>
          <w:p>
            <w:pPr>
              <w:ind w:left="20"/>
              <w:spacing w:after="0"/>
              <w:rPr>
                <w:sz w:val="20"/>
                <w:szCs w:val="20"/>
                <w:color w:val="auto"/>
              </w:rPr>
            </w:pPr>
            <w:r>
              <w:rPr>
                <w:rFonts w:ascii="Arial" w:cs="Arial" w:eastAsia="Arial" w:hAnsi="Arial"/>
                <w:sz w:val="14"/>
                <w:szCs w:val="14"/>
                <w:color w:val="auto"/>
              </w:rPr>
              <w:t>Change in profits interest</w:t>
            </w: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40" w:type="dxa"/>
            <w:vAlign w:val="bottom"/>
          </w:tcPr>
          <w:p>
            <w:pPr>
              <w:ind w:left="20"/>
              <w:spacing w:after="0"/>
              <w:rPr>
                <w:sz w:val="20"/>
                <w:szCs w:val="20"/>
                <w:color w:val="auto"/>
              </w:rPr>
            </w:pPr>
            <w:r>
              <w:rPr>
                <w:rFonts w:ascii="Arial" w:cs="Arial" w:eastAsia="Arial" w:hAnsi="Arial"/>
                <w:sz w:val="14"/>
                <w:szCs w:val="14"/>
                <w:color w:val="auto"/>
                <w:w w:val="99"/>
              </w:rPr>
              <w:t>liability pushed down from</w:t>
            </w: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40" w:type="dxa"/>
            <w:vAlign w:val="bottom"/>
          </w:tcPr>
          <w:p>
            <w:pPr>
              <w:ind w:left="20"/>
              <w:spacing w:after="0"/>
              <w:rPr>
                <w:sz w:val="20"/>
                <w:szCs w:val="20"/>
                <w:color w:val="auto"/>
              </w:rPr>
            </w:pPr>
            <w:r>
              <w:rPr>
                <w:rFonts w:ascii="Arial" w:cs="Arial" w:eastAsia="Arial" w:hAnsi="Arial"/>
                <w:sz w:val="14"/>
                <w:szCs w:val="14"/>
                <w:color w:val="auto"/>
              </w:rPr>
              <w:t>affiliate</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(24 )</w:t>
            </w:r>
          </w:p>
        </w:tc>
        <w:tc>
          <w:tcPr>
            <w:tcW w:w="14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190"/>
        </w:trPr>
        <w:tc>
          <w:tcPr>
            <w:tcW w:w="1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Noncontrolling interest—</w:t>
            </w:r>
          </w:p>
        </w:tc>
        <w:tc>
          <w:tcPr>
            <w:tcW w:w="8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40" w:type="dxa"/>
            <w:vAlign w:val="bottom"/>
            <w:shd w:val="clear" w:color="auto" w:fill="CFF0FC"/>
          </w:tcPr>
          <w:p>
            <w:pPr>
              <w:ind w:left="20"/>
              <w:spacing w:after="0"/>
              <w:rPr>
                <w:sz w:val="20"/>
                <w:szCs w:val="20"/>
                <w:color w:val="auto"/>
              </w:rPr>
            </w:pPr>
            <w:r>
              <w:rPr>
                <w:rFonts w:ascii="Arial" w:cs="Arial" w:eastAsia="Arial" w:hAnsi="Arial"/>
                <w:sz w:val="14"/>
                <w:szCs w:val="14"/>
                <w:color w:val="auto"/>
                <w:w w:val="96"/>
              </w:rPr>
              <w:t>distribution of net assets to</w:t>
            </w:r>
          </w:p>
        </w:tc>
        <w:tc>
          <w:tcPr>
            <w:tcW w:w="8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affiliate and related</w:t>
            </w:r>
          </w:p>
        </w:tc>
        <w:tc>
          <w:tcPr>
            <w:tcW w:w="8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deconsolidation</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(66 )</w:t>
            </w:r>
          </w:p>
        </w:tc>
        <w:tc>
          <w:tcPr>
            <w:tcW w:w="140" w:type="dxa"/>
            <w:vAlign w:val="bottom"/>
            <w:shd w:val="clear" w:color="auto" w:fill="CFF0FC"/>
          </w:tcPr>
          <w:p>
            <w:pPr>
              <w:spacing w:after="0"/>
              <w:rPr>
                <w:sz w:val="16"/>
                <w:szCs w:val="16"/>
                <w:color w:val="auto"/>
              </w:rPr>
            </w:pPr>
          </w:p>
        </w:tc>
        <w:tc>
          <w:tcPr>
            <w:tcW w:w="9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196"/>
        </w:trPr>
        <w:tc>
          <w:tcPr>
            <w:tcW w:w="1640" w:type="dxa"/>
            <w:vAlign w:val="bottom"/>
          </w:tcPr>
          <w:p>
            <w:pPr>
              <w:ind w:left="20"/>
              <w:spacing w:after="0"/>
              <w:rPr>
                <w:sz w:val="20"/>
                <w:szCs w:val="20"/>
                <w:color w:val="auto"/>
              </w:rPr>
            </w:pPr>
            <w:r>
              <w:rPr>
                <w:rFonts w:ascii="Arial" w:cs="Arial" w:eastAsia="Arial" w:hAnsi="Arial"/>
                <w:sz w:val="14"/>
                <w:szCs w:val="14"/>
                <w:color w:val="auto"/>
              </w:rPr>
              <w:t>Net loss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(19,458 )</w:t>
            </w:r>
          </w:p>
        </w:tc>
        <w:tc>
          <w:tcPr>
            <w:tcW w:w="120" w:type="dxa"/>
            <w:vAlign w:val="bottom"/>
          </w:tcPr>
          <w:p>
            <w:pPr>
              <w:spacing w:after="0"/>
              <w:rPr>
                <w:sz w:val="17"/>
                <w:szCs w:val="17"/>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(19,458 )</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40" w:type="dxa"/>
            <w:vAlign w:val="bottom"/>
            <w:shd w:val="clear" w:color="auto" w:fill="CFF0FC"/>
          </w:tcPr>
          <w:p>
            <w:pPr>
              <w:ind w:left="20"/>
              <w:spacing w:after="0"/>
              <w:rPr>
                <w:sz w:val="20"/>
                <w:szCs w:val="20"/>
                <w:color w:val="auto"/>
              </w:rPr>
            </w:pPr>
            <w:r>
              <w:rPr>
                <w:rFonts w:ascii="Arial" w:cs="Arial" w:eastAsia="Arial" w:hAnsi="Arial"/>
                <w:sz w:val="14"/>
                <w:szCs w:val="14"/>
                <w:color w:val="auto"/>
                <w:w w:val="98"/>
              </w:rPr>
              <w:t>Balance at September 30,</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199,791,519</w:t>
            </w:r>
          </w:p>
        </w:tc>
        <w:tc>
          <w:tcPr>
            <w:tcW w:w="40" w:type="dxa"/>
            <w:vAlign w:val="bottom"/>
            <w:vMerge w:val="restart"/>
            <w:shd w:val="clear" w:color="auto" w:fill="CFF0FC"/>
          </w:tcPr>
          <w:p>
            <w:pPr>
              <w:spacing w:after="0"/>
              <w:rPr>
                <w:sz w:val="15"/>
                <w:szCs w:val="15"/>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98,777</w:t>
            </w:r>
          </w:p>
        </w:tc>
        <w:tc>
          <w:tcPr>
            <w:tcW w:w="40" w:type="dxa"/>
            <w:vAlign w:val="bottom"/>
            <w:shd w:val="clear" w:color="auto" w:fill="CFF0FC"/>
          </w:tcPr>
          <w:p>
            <w:pPr>
              <w:spacing w:after="0"/>
              <w:rPr>
                <w:sz w:val="15"/>
                <w:szCs w:val="15"/>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CFF0FC"/>
          </w:tcPr>
          <w:p>
            <w:pPr>
              <w:spacing w:after="0"/>
              <w:rPr>
                <w:sz w:val="15"/>
                <w:szCs w:val="15"/>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CFF0FC"/>
          </w:tcPr>
          <w:p>
            <w:pPr>
              <w:spacing w:after="0"/>
              <w:rPr>
                <w:sz w:val="15"/>
                <w:szCs w:val="15"/>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CFF0FC"/>
          </w:tcPr>
          <w:p>
            <w:pPr>
              <w:spacing w:after="0"/>
              <w:rPr>
                <w:sz w:val="15"/>
                <w:szCs w:val="15"/>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CFF0FC"/>
          </w:tcPr>
          <w:p>
            <w:pPr>
              <w:spacing w:after="0"/>
              <w:rPr>
                <w:sz w:val="15"/>
                <w:szCs w:val="15"/>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99"/>
              </w:rPr>
              <w:t>6,220,050</w:t>
            </w:r>
          </w:p>
        </w:tc>
        <w:tc>
          <w:tcPr>
            <w:tcW w:w="60" w:type="dxa"/>
            <w:vAlign w:val="bottom"/>
            <w:vMerge w:val="restart"/>
            <w:shd w:val="clear" w:color="auto" w:fill="CFF0FC"/>
          </w:tcPr>
          <w:p>
            <w:pPr>
              <w:spacing w:after="0"/>
              <w:rPr>
                <w:sz w:val="15"/>
                <w:szCs w:val="15"/>
                <w:color w:val="auto"/>
              </w:rPr>
            </w:pPr>
          </w:p>
        </w:tc>
        <w:tc>
          <w:tcPr>
            <w:tcW w:w="300" w:type="dxa"/>
            <w:vAlign w:val="bottom"/>
            <w:vMerge w:val="restart"/>
            <w:shd w:val="clear" w:color="auto" w:fill="CFF0FC"/>
          </w:tcPr>
          <w:p>
            <w:pPr>
              <w:jc w:val="right"/>
              <w:ind w:right="157"/>
              <w:spacing w:after="0"/>
              <w:rPr>
                <w:sz w:val="20"/>
                <w:szCs w:val="20"/>
                <w:color w:val="auto"/>
              </w:rPr>
            </w:pPr>
            <w:r>
              <w:rPr>
                <w:rFonts w:ascii="Arial" w:cs="Arial" w:eastAsia="Arial" w:hAnsi="Arial"/>
                <w:sz w:val="14"/>
                <w:szCs w:val="14"/>
                <w:color w:val="auto"/>
                <w:w w:val="76"/>
              </w:rPr>
              <w:t>$</w:t>
            </w: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60" w:type="dxa"/>
            <w:vAlign w:val="bottom"/>
            <w:vMerge w:val="restart"/>
            <w:shd w:val="clear" w:color="auto" w:fill="CFF0FC"/>
          </w:tcPr>
          <w:p>
            <w:pPr>
              <w:spacing w:after="0"/>
              <w:rPr>
                <w:sz w:val="15"/>
                <w:szCs w:val="15"/>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CFF0FC"/>
          </w:tcPr>
          <w:p>
            <w:pPr>
              <w:spacing w:after="0"/>
              <w:rPr>
                <w:sz w:val="15"/>
                <w:szCs w:val="15"/>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3"/>
            <w:vMerge w:val="restart"/>
            <w:shd w:val="clear" w:color="auto" w:fill="CFF0FC"/>
          </w:tcPr>
          <w:p>
            <w:pPr>
              <w:jc w:val="right"/>
              <w:ind w:right="6"/>
              <w:spacing w:after="0"/>
              <w:rPr>
                <w:sz w:val="20"/>
                <w:szCs w:val="20"/>
                <w:color w:val="auto"/>
              </w:rPr>
            </w:pPr>
            <w:r>
              <w:rPr>
                <w:rFonts w:ascii="Arial" w:cs="Arial" w:eastAsia="Arial" w:hAnsi="Arial"/>
                <w:sz w:val="14"/>
                <w:szCs w:val="14"/>
                <w:color w:val="auto"/>
              </w:rPr>
              <w:t>(74,522 )$</w:t>
            </w:r>
          </w:p>
        </w:tc>
        <w:tc>
          <w:tcPr>
            <w:tcW w:w="74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 $</w:t>
            </w:r>
          </w:p>
        </w:tc>
        <w:tc>
          <w:tcPr>
            <w:tcW w:w="6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(74,521 )</w:t>
            </w:r>
          </w:p>
        </w:tc>
        <w:tc>
          <w:tcPr>
            <w:tcW w:w="0" w:type="dxa"/>
            <w:vAlign w:val="bottom"/>
          </w:tcPr>
          <w:p>
            <w:pPr>
              <w:spacing w:after="0"/>
              <w:rPr>
                <w:sz w:val="1"/>
                <w:szCs w:val="1"/>
                <w:color w:val="auto"/>
              </w:rPr>
            </w:pPr>
          </w:p>
        </w:tc>
      </w:tr>
      <w:tr>
        <w:trPr>
          <w:trHeight w:val="174"/>
        </w:trPr>
        <w:tc>
          <w:tcPr>
            <w:tcW w:w="1640" w:type="dxa"/>
            <w:vAlign w:val="bottom"/>
            <w:shd w:val="clear" w:color="auto" w:fill="CFF0FC"/>
          </w:tcPr>
          <w:p>
            <w:pPr>
              <w:ind w:left="20"/>
              <w:spacing w:after="0" w:line="154" w:lineRule="exact"/>
              <w:rPr>
                <w:sz w:val="20"/>
                <w:szCs w:val="20"/>
                <w:color w:val="auto"/>
              </w:rPr>
            </w:pPr>
            <w:r>
              <w:rPr>
                <w:rFonts w:ascii="Arial" w:cs="Arial" w:eastAsia="Arial" w:hAnsi="Arial"/>
                <w:sz w:val="14"/>
                <w:szCs w:val="14"/>
                <w:color w:val="auto"/>
              </w:rPr>
              <w:t>2020</w:t>
            </w:r>
          </w:p>
        </w:tc>
        <w:tc>
          <w:tcPr>
            <w:tcW w:w="820" w:type="dxa"/>
            <w:vAlign w:val="bottom"/>
            <w:vMerge w:val="continue"/>
            <w:shd w:val="clear" w:color="auto" w:fill="CFF0FC"/>
          </w:tcPr>
          <w:p>
            <w:pPr>
              <w:spacing w:after="0"/>
              <w:rPr>
                <w:sz w:val="15"/>
                <w:szCs w:val="15"/>
                <w:color w:val="auto"/>
              </w:rPr>
            </w:pPr>
          </w:p>
        </w:tc>
        <w:tc>
          <w:tcPr>
            <w:tcW w:w="40" w:type="dxa"/>
            <w:vAlign w:val="bottom"/>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580" w:type="dxa"/>
            <w:vAlign w:val="bottom"/>
            <w:vMerge w:val="continue"/>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0" w:type="dxa"/>
            <w:vAlign w:val="bottom"/>
            <w:vMerge w:val="continue"/>
            <w:shd w:val="clear" w:color="auto" w:fill="CFF0FC"/>
          </w:tcPr>
          <w:p>
            <w:pPr>
              <w:spacing w:after="0"/>
              <w:rPr>
                <w:sz w:val="15"/>
                <w:szCs w:val="15"/>
                <w:color w:val="auto"/>
              </w:rPr>
            </w:pPr>
          </w:p>
        </w:tc>
        <w:tc>
          <w:tcPr>
            <w:tcW w:w="60" w:type="dxa"/>
            <w:vAlign w:val="bottom"/>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500" w:type="dxa"/>
            <w:vAlign w:val="bottom"/>
            <w:vMerge w:val="continue"/>
            <w:shd w:val="clear" w:color="auto" w:fill="CFF0FC"/>
          </w:tcPr>
          <w:p>
            <w:pPr>
              <w:spacing w:after="0"/>
              <w:rPr>
                <w:sz w:val="15"/>
                <w:szCs w:val="15"/>
                <w:color w:val="auto"/>
              </w:rPr>
            </w:pPr>
          </w:p>
        </w:tc>
        <w:tc>
          <w:tcPr>
            <w:tcW w:w="60" w:type="dxa"/>
            <w:vAlign w:val="bottom"/>
            <w:vMerge w:val="continue"/>
            <w:shd w:val="clear" w:color="auto" w:fill="CFF0FC"/>
          </w:tcPr>
          <w:p>
            <w:pPr>
              <w:spacing w:after="0"/>
              <w:rPr>
                <w:sz w:val="15"/>
                <w:szCs w:val="15"/>
                <w:color w:val="auto"/>
              </w:rPr>
            </w:pPr>
          </w:p>
        </w:tc>
        <w:tc>
          <w:tcPr>
            <w:tcW w:w="940" w:type="dxa"/>
            <w:vAlign w:val="bottom"/>
            <w:vMerge w:val="continue"/>
            <w:shd w:val="clear" w:color="auto" w:fill="CFF0FC"/>
          </w:tcPr>
          <w:p>
            <w:pPr>
              <w:spacing w:after="0"/>
              <w:rPr>
                <w:sz w:val="15"/>
                <w:szCs w:val="15"/>
                <w:color w:val="auto"/>
              </w:rPr>
            </w:pPr>
          </w:p>
        </w:tc>
        <w:tc>
          <w:tcPr>
            <w:tcW w:w="60" w:type="dxa"/>
            <w:vAlign w:val="bottom"/>
            <w:vMerge w:val="continue"/>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540" w:type="dxa"/>
            <w:vAlign w:val="bottom"/>
            <w:vMerge w:val="continue"/>
            <w:shd w:val="clear" w:color="auto" w:fill="CFF0FC"/>
          </w:tcPr>
          <w:p>
            <w:pPr>
              <w:spacing w:after="0"/>
              <w:rPr>
                <w:sz w:val="15"/>
                <w:szCs w:val="15"/>
                <w:color w:val="auto"/>
              </w:rPr>
            </w:pPr>
          </w:p>
        </w:tc>
        <w:tc>
          <w:tcPr>
            <w:tcW w:w="60" w:type="dxa"/>
            <w:vAlign w:val="bottom"/>
            <w:vMerge w:val="continue"/>
            <w:shd w:val="clear" w:color="auto" w:fill="CFF0FC"/>
          </w:tcPr>
          <w:p>
            <w:pPr>
              <w:spacing w:after="0"/>
              <w:rPr>
                <w:sz w:val="15"/>
                <w:szCs w:val="15"/>
                <w:color w:val="auto"/>
              </w:rPr>
            </w:pPr>
          </w:p>
        </w:tc>
        <w:tc>
          <w:tcPr>
            <w:tcW w:w="660" w:type="dxa"/>
            <w:vAlign w:val="bottom"/>
            <w:vMerge w:val="continue"/>
            <w:shd w:val="clear" w:color="auto" w:fill="CFF0FC"/>
          </w:tcPr>
          <w:p>
            <w:pPr>
              <w:spacing w:after="0"/>
              <w:rPr>
                <w:sz w:val="15"/>
                <w:szCs w:val="15"/>
                <w:color w:val="auto"/>
              </w:rPr>
            </w:pPr>
          </w:p>
        </w:tc>
        <w:tc>
          <w:tcPr>
            <w:tcW w:w="60" w:type="dxa"/>
            <w:vAlign w:val="bottom"/>
            <w:vMerge w:val="continue"/>
            <w:shd w:val="clear" w:color="auto" w:fill="CFF0FC"/>
          </w:tcPr>
          <w:p>
            <w:pPr>
              <w:spacing w:after="0"/>
              <w:rPr>
                <w:sz w:val="15"/>
                <w:szCs w:val="15"/>
                <w:color w:val="auto"/>
              </w:rPr>
            </w:pPr>
          </w:p>
        </w:tc>
        <w:tc>
          <w:tcPr>
            <w:tcW w:w="300" w:type="dxa"/>
            <w:vAlign w:val="bottom"/>
            <w:vMerge w:val="continue"/>
            <w:shd w:val="clear" w:color="auto" w:fill="CFF0FC"/>
          </w:tcPr>
          <w:p>
            <w:pPr>
              <w:spacing w:after="0"/>
              <w:rPr>
                <w:sz w:val="15"/>
                <w:szCs w:val="15"/>
                <w:color w:val="auto"/>
              </w:rPr>
            </w:pPr>
          </w:p>
        </w:tc>
        <w:tc>
          <w:tcPr>
            <w:tcW w:w="200" w:type="dxa"/>
            <w:vAlign w:val="bottom"/>
            <w:vMerge w:val="continue"/>
            <w:shd w:val="clear" w:color="auto" w:fill="CFF0FC"/>
          </w:tcPr>
          <w:p>
            <w:pPr>
              <w:spacing w:after="0"/>
              <w:rPr>
                <w:sz w:val="15"/>
                <w:szCs w:val="15"/>
                <w:color w:val="auto"/>
              </w:rPr>
            </w:pPr>
          </w:p>
        </w:tc>
        <w:tc>
          <w:tcPr>
            <w:tcW w:w="60" w:type="dxa"/>
            <w:vAlign w:val="bottom"/>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700" w:type="dxa"/>
            <w:vAlign w:val="bottom"/>
            <w:vMerge w:val="continue"/>
            <w:shd w:val="clear" w:color="auto" w:fill="CFF0FC"/>
          </w:tcPr>
          <w:p>
            <w:pPr>
              <w:spacing w:after="0"/>
              <w:rPr>
                <w:sz w:val="15"/>
                <w:szCs w:val="15"/>
                <w:color w:val="auto"/>
              </w:rPr>
            </w:pPr>
          </w:p>
        </w:tc>
        <w:tc>
          <w:tcPr>
            <w:tcW w:w="60" w:type="dxa"/>
            <w:vAlign w:val="bottom"/>
            <w:vMerge w:val="continue"/>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1040" w:type="dxa"/>
            <w:vAlign w:val="bottom"/>
            <w:gridSpan w:val="3"/>
            <w:vMerge w:val="continue"/>
            <w:shd w:val="clear" w:color="auto" w:fill="CFF0FC"/>
          </w:tcPr>
          <w:p>
            <w:pPr>
              <w:spacing w:after="0"/>
              <w:rPr>
                <w:sz w:val="15"/>
                <w:szCs w:val="15"/>
                <w:color w:val="auto"/>
              </w:rPr>
            </w:pPr>
          </w:p>
        </w:tc>
        <w:tc>
          <w:tcPr>
            <w:tcW w:w="740" w:type="dxa"/>
            <w:vAlign w:val="bottom"/>
            <w:gridSpan w:val="3"/>
            <w:vMerge w:val="continue"/>
            <w:shd w:val="clear" w:color="auto" w:fill="CFF0FC"/>
          </w:tcPr>
          <w:p>
            <w:pPr>
              <w:spacing w:after="0"/>
              <w:rPr>
                <w:sz w:val="15"/>
                <w:szCs w:val="15"/>
                <w:color w:val="auto"/>
              </w:rPr>
            </w:pPr>
          </w:p>
        </w:tc>
        <w:tc>
          <w:tcPr>
            <w:tcW w:w="66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-24765</wp:posOffset>
            </wp:positionV>
            <wp:extent cx="342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-8255</wp:posOffset>
            </wp:positionV>
            <wp:extent cx="342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-24765</wp:posOffset>
            </wp:positionV>
            <wp:extent cx="342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-8255</wp:posOffset>
            </wp:positionV>
            <wp:extent cx="342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-24765</wp:posOffset>
            </wp:positionV>
            <wp:extent cx="431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-8255</wp:posOffset>
            </wp:positionV>
            <wp:extent cx="431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-24765</wp:posOffset>
            </wp:positionV>
            <wp:extent cx="431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-8255</wp:posOffset>
            </wp:positionV>
            <wp:extent cx="431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-24765</wp:posOffset>
            </wp:positionV>
            <wp:extent cx="4254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254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-8255</wp:posOffset>
            </wp:positionV>
            <wp:extent cx="425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2545"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-24765</wp:posOffset>
            </wp:positionV>
            <wp:extent cx="431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-8255</wp:posOffset>
            </wp:positionV>
            <wp:extent cx="431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-24765</wp:posOffset>
            </wp:positionV>
            <wp:extent cx="342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-8255</wp:posOffset>
            </wp:positionV>
            <wp:extent cx="342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342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-8255</wp:posOffset>
            </wp:positionV>
            <wp:extent cx="342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431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-8255</wp:posOffset>
            </wp:positionV>
            <wp:extent cx="431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342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342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-24765</wp:posOffset>
            </wp:positionV>
            <wp:extent cx="342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-8255</wp:posOffset>
            </wp:positionV>
            <wp:extent cx="342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-8255</wp:posOffset>
            </wp:positionV>
            <wp:extent cx="342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Initial Public Offering and Related Transactions</w:t>
      </w:r>
    </w:p>
    <w:p>
      <w:pPr>
        <w:spacing w:after="0" w:line="131"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In December 2020, the Company completed its IPO selling 12,075,000 shares of its common stock at $18.00 per share. Proceeds from the Company’s IPO, net of underwriting discounts and commissions and other offering costs, were $198.3 million. In connection with the IPO, all 199,791,519 shares of convertible preferred stock outstanding at the time of the IPO converted into 13,876,510 shares of the Company’s common stock and 1,492,059 shares of the Company’s Class B common stock.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of Common Stock</w:t>
      </w:r>
    </w:p>
    <w:p>
      <w:pPr>
        <w:spacing w:after="0" w:line="131" w:lineRule="exact"/>
        <w:rPr>
          <w:sz w:val="20"/>
          <w:szCs w:val="20"/>
          <w:color w:val="auto"/>
        </w:rPr>
      </w:pPr>
    </w:p>
    <w:p>
      <w:pPr>
        <w:ind w:right="420" w:firstLine="509"/>
        <w:spacing w:after="0" w:line="279" w:lineRule="auto"/>
        <w:rPr>
          <w:sz w:val="20"/>
          <w:szCs w:val="20"/>
          <w:color w:val="auto"/>
        </w:rPr>
      </w:pPr>
      <w:r>
        <w:rPr>
          <w:rFonts w:ascii="Arial" w:cs="Arial" w:eastAsia="Arial" w:hAnsi="Arial"/>
          <w:sz w:val="18"/>
          <w:szCs w:val="18"/>
          <w:color w:val="auto"/>
        </w:rPr>
        <w:t>In September 2021, the Company entered into agreements to sell 2,678,600 shares of its common stock at a price of $28.00 per share through a private investment in public equity financing (or "Private Placement"). Proceeds from the Private Placement, net of underwriting discounts and commissions and other offering costs, were $71.0 million.</w:t>
      </w:r>
    </w:p>
    <w:p>
      <w:pPr>
        <w:spacing w:after="0" w:line="183" w:lineRule="exact"/>
        <w:rPr>
          <w:sz w:val="20"/>
          <w:szCs w:val="20"/>
          <w:color w:val="auto"/>
        </w:rPr>
      </w:pPr>
    </w:p>
    <w:p>
      <w:pPr>
        <w:ind w:right="140" w:firstLine="509"/>
        <w:spacing w:after="0" w:line="272" w:lineRule="auto"/>
        <w:rPr>
          <w:sz w:val="20"/>
          <w:szCs w:val="20"/>
          <w:color w:val="auto"/>
        </w:rPr>
      </w:pPr>
      <w:r>
        <w:rPr>
          <w:rFonts w:ascii="Arial" w:cs="Arial" w:eastAsia="Arial" w:hAnsi="Arial"/>
          <w:sz w:val="18"/>
          <w:szCs w:val="18"/>
          <w:color w:val="auto"/>
        </w:rPr>
        <w:t>In connection with the Private Placement, the Company also issued registration rights to the investors. The stock purchase agreements provide that the Company shall file a registration statement on Form S-1, or other appropriate form available to the Company, registering the resale of the shares as promptly as practicable and in any event within 30 days following the Closing Date (the “Filing Deadline”). In connection with the Private Placement, the Company filed a registration statement on Form S-1 (File No. 333-260440) with the SEC registering for resale the shares of common stock issued in the Private Placement.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31" w:lineRule="exact"/>
        <w:rPr>
          <w:sz w:val="20"/>
          <w:szCs w:val="20"/>
          <w:color w:val="auto"/>
        </w:rPr>
      </w:pPr>
    </w:p>
    <w:p>
      <w:pPr>
        <w:ind w:right="60" w:firstLine="509"/>
        <w:spacing w:after="0" w:line="306" w:lineRule="auto"/>
        <w:rPr>
          <w:sz w:val="20"/>
          <w:szCs w:val="20"/>
          <w:color w:val="auto"/>
        </w:rPr>
      </w:pPr>
      <w:r>
        <w:rPr>
          <w:rFonts w:ascii="Arial" w:cs="Arial" w:eastAsia="Arial" w:hAnsi="Arial"/>
          <w:sz w:val="16"/>
          <w:szCs w:val="16"/>
          <w:color w:val="auto"/>
        </w:rPr>
        <w:t>On October 29, 2020, the Company’s board of directors approved the adoption of the BioAtla, Inc. 2020 Equity Incentive Plan (the “2020 Plan”) and approved certain amendments to the 2020 Plan in December 2020. The Company’s stockholders approved the 2020 Plan, as amended, in December 2020. Under the 2020 Plan, the Company may grant awards of common stock to the Company’s employees, consultants and non-employee directors pursuant to option awards, stock appreciation rights awards, restricted stock awards, restricted stock unit awards, performance stock awards, performance stock unit awards and other stock-based awards. As of September 30, 2021 and December 31, 2020, the total number of common shares authorized for issuance under the 2020 Plan was 6,226,540 and 4,939,678, respectively. On January 1st of each year, commencing with the first January 1st following the effective date of the 2020 Plan, the shares authorized for issuance under the 2020 Plan shall be increased by a number of shares equal to the lesser of 4% of the total number of shares outstanding on the immediately preceding December 31st and such lesser number of shares determined by the Company’s board of directors. The maximum term of the options granted under the 2020 Plan is no more than ten years. Awards under the 2020 Plan generally vest at 25% one year from the vesting commencement date and ratably each month thereafter for a period of 36 months, subject to continuous service.</w:t>
      </w:r>
    </w:p>
    <w:p>
      <w:pPr>
        <w:spacing w:after="0" w:line="165" w:lineRule="exact"/>
        <w:rPr>
          <w:sz w:val="20"/>
          <w:szCs w:val="20"/>
          <w:color w:val="auto"/>
        </w:rPr>
      </w:pPr>
    </w:p>
    <w:p>
      <w:pPr>
        <w:ind w:right="180" w:firstLine="509"/>
        <w:spacing w:after="0" w:line="279" w:lineRule="auto"/>
        <w:rPr>
          <w:sz w:val="20"/>
          <w:szCs w:val="20"/>
          <w:color w:val="auto"/>
        </w:rPr>
      </w:pPr>
      <w:r>
        <w:rPr>
          <w:rFonts w:ascii="Arial" w:cs="Arial" w:eastAsia="Arial" w:hAnsi="Arial"/>
          <w:sz w:val="18"/>
          <w:szCs w:val="18"/>
          <w:color w:val="auto"/>
        </w:rPr>
        <w:t>There was no stock-based compensation expense reported for the three and nine months ended September 30, 2020 as the 2020 Plan was not yet adopted. Stock-based compensation expense for the three and nine months ended September 30, 2021 has been reported in the consolidated statements of operations and comprehensive loss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center"/>
              <w:ind w:right="180"/>
              <w:spacing w:after="0"/>
              <w:rPr>
                <w:sz w:val="20"/>
                <w:szCs w:val="20"/>
                <w:color w:val="auto"/>
              </w:rPr>
            </w:pPr>
            <w:r>
              <w:rPr>
                <w:rFonts w:ascii="Arial" w:cs="Arial" w:eastAsia="Arial" w:hAnsi="Arial"/>
                <w:sz w:val="14"/>
                <w:szCs w:val="14"/>
                <w:b w:val="1"/>
                <w:bCs w:val="1"/>
                <w:color w:val="auto"/>
                <w:w w:val="95"/>
              </w:rPr>
              <w:t>Three Months</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Nine Months</w:t>
            </w:r>
          </w:p>
        </w:tc>
        <w:tc>
          <w:tcPr>
            <w:tcW w:w="80" w:type="dxa"/>
            <w:vAlign w:val="bottom"/>
          </w:tcPr>
          <w:p>
            <w:pPr>
              <w:spacing w:after="0"/>
              <w:rPr>
                <w:sz w:val="15"/>
                <w:szCs w:val="15"/>
                <w:color w:val="auto"/>
              </w:rPr>
            </w:pPr>
          </w:p>
        </w:tc>
      </w:tr>
      <w:tr>
        <w:trPr>
          <w:trHeight w:val="175"/>
        </w:trPr>
        <w:tc>
          <w:tcPr>
            <w:tcW w:w="7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center"/>
              <w:ind w:right="180"/>
              <w:spacing w:after="0"/>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center"/>
              <w:ind w:right="160"/>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5"/>
                <w:szCs w:val="15"/>
                <w:color w:val="auto"/>
              </w:rPr>
            </w:pPr>
          </w:p>
        </w:tc>
      </w:tr>
      <w:tr>
        <w:trPr>
          <w:trHeight w:val="175"/>
        </w:trPr>
        <w:tc>
          <w:tcPr>
            <w:tcW w:w="7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5"/>
                <w:szCs w:val="15"/>
                <w:color w:val="auto"/>
              </w:rPr>
            </w:pPr>
          </w:p>
        </w:tc>
      </w:tr>
      <w:tr>
        <w:trPr>
          <w:trHeight w:val="192"/>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r>
      <w:tr>
        <w:trPr>
          <w:trHeight w:val="25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w:t>
            </w:r>
          </w:p>
        </w:tc>
        <w:tc>
          <w:tcPr>
            <w:tcW w:w="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3,376</w:t>
            </w:r>
          </w:p>
        </w:tc>
        <w:tc>
          <w:tcPr>
            <w:tcW w:w="80" w:type="dxa"/>
            <w:vAlign w:val="bottom"/>
            <w:shd w:val="clear" w:color="auto" w:fill="CFF0FC"/>
          </w:tcPr>
          <w:p>
            <w:pPr>
              <w:spacing w:after="0"/>
              <w:rPr>
                <w:sz w:val="22"/>
                <w:szCs w:val="22"/>
                <w:color w:val="auto"/>
              </w:rPr>
            </w:pPr>
          </w:p>
        </w:tc>
      </w:tr>
      <w:tr>
        <w:trPr>
          <w:trHeight w:val="250"/>
        </w:trPr>
        <w:tc>
          <w:tcPr>
            <w:tcW w:w="76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3,099</w:t>
            </w:r>
          </w:p>
        </w:tc>
        <w:tc>
          <w:tcPr>
            <w:tcW w:w="26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17,931</w:t>
            </w:r>
          </w:p>
        </w:tc>
        <w:tc>
          <w:tcPr>
            <w:tcW w:w="80" w:type="dxa"/>
            <w:vAlign w:val="bottom"/>
            <w:tcBorders>
              <w:bottom w:val="single" w:sz="8" w:color="CFF0FC"/>
            </w:tcBorders>
          </w:tcPr>
          <w:p>
            <w:pPr>
              <w:spacing w:after="0"/>
              <w:rPr>
                <w:sz w:val="21"/>
                <w:szCs w:val="21"/>
                <w:color w:val="auto"/>
              </w:rPr>
            </w:pPr>
          </w:p>
        </w:tc>
      </w:tr>
      <w:tr>
        <w:trPr>
          <w:trHeight w:val="290"/>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4,366</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21,307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1714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17145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-196850</wp:posOffset>
            </wp:positionV>
            <wp:extent cx="17145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-196850</wp:posOffset>
            </wp:positionV>
            <wp:extent cx="514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RSU activity under the 2020 Plan for the nine months ended September 30, 2021: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Weighted - Average</w:t>
            </w:r>
          </w:p>
        </w:tc>
        <w:tc>
          <w:tcPr>
            <w:tcW w:w="80" w:type="dxa"/>
            <w:vAlign w:val="bottom"/>
          </w:tcPr>
          <w:p>
            <w:pPr>
              <w:spacing w:after="0"/>
              <w:rPr>
                <w:sz w:val="15"/>
                <w:szCs w:val="15"/>
                <w:color w:val="auto"/>
              </w:rPr>
            </w:pPr>
          </w:p>
        </w:tc>
      </w:tr>
      <w:tr>
        <w:trPr>
          <w:trHeight w:val="175"/>
        </w:trPr>
        <w:tc>
          <w:tcPr>
            <w:tcW w:w="40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8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5"/>
                <w:szCs w:val="15"/>
                <w:color w:val="auto"/>
              </w:rPr>
            </w:pPr>
          </w:p>
        </w:tc>
        <w:tc>
          <w:tcPr>
            <w:tcW w:w="1440" w:type="dxa"/>
            <w:vAlign w:val="bottom"/>
          </w:tcPr>
          <w:p>
            <w:pPr>
              <w:jc w:val="center"/>
              <w:ind w:right="59"/>
              <w:spacing w:after="0"/>
              <w:rPr>
                <w:sz w:val="20"/>
                <w:szCs w:val="20"/>
                <w:color w:val="auto"/>
              </w:rPr>
            </w:pPr>
            <w:r>
              <w:rPr>
                <w:rFonts w:ascii="Arial" w:cs="Arial" w:eastAsia="Arial" w:hAnsi="Arial"/>
                <w:sz w:val="14"/>
                <w:szCs w:val="14"/>
                <w:b w:val="1"/>
                <w:bCs w:val="1"/>
                <w:color w:val="auto"/>
                <w:w w:val="97"/>
              </w:rPr>
              <w:t>Grant Date</w:t>
            </w:r>
          </w:p>
        </w:tc>
        <w:tc>
          <w:tcPr>
            <w:tcW w:w="80" w:type="dxa"/>
            <w:vAlign w:val="bottom"/>
          </w:tcPr>
          <w:p>
            <w:pPr>
              <w:spacing w:after="0"/>
              <w:rPr>
                <w:sz w:val="15"/>
                <w:szCs w:val="15"/>
                <w:color w:val="auto"/>
              </w:rPr>
            </w:pPr>
          </w:p>
        </w:tc>
      </w:tr>
      <w:tr>
        <w:trPr>
          <w:trHeight w:val="192"/>
        </w:trPr>
        <w:tc>
          <w:tcPr>
            <w:tcW w:w="40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6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6"/>
                <w:szCs w:val="16"/>
                <w:color w:val="auto"/>
              </w:rPr>
            </w:pPr>
          </w:p>
        </w:tc>
      </w:tr>
      <w:tr>
        <w:trPr>
          <w:trHeight w:val="256"/>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2020</w:t>
            </w:r>
          </w:p>
        </w:tc>
        <w:tc>
          <w:tcPr>
            <w:tcW w:w="5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1,920,037</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80" w:type="dxa"/>
            <w:vAlign w:val="bottom"/>
            <w:shd w:val="clear" w:color="auto" w:fill="CFF0FC"/>
          </w:tcPr>
          <w:p>
            <w:pPr>
              <w:spacing w:after="0"/>
              <w:rPr>
                <w:sz w:val="22"/>
                <w:szCs w:val="22"/>
                <w:color w:val="auto"/>
              </w:rPr>
            </w:pPr>
          </w:p>
        </w:tc>
      </w:tr>
      <w:tr>
        <w:trPr>
          <w:trHeight w:val="256"/>
        </w:trPr>
        <w:tc>
          <w:tcPr>
            <w:tcW w:w="4060" w:type="dxa"/>
            <w:vAlign w:val="bottom"/>
          </w:tcPr>
          <w:p>
            <w:pPr>
              <w:ind w:left="200"/>
              <w:spacing w:after="0"/>
              <w:rPr>
                <w:sz w:val="20"/>
                <w:szCs w:val="20"/>
                <w:color w:val="auto"/>
              </w:rPr>
            </w:pPr>
            <w:r>
              <w:rPr>
                <w:rFonts w:ascii="Arial" w:cs="Arial" w:eastAsia="Arial" w:hAnsi="Arial"/>
                <w:sz w:val="18"/>
                <w:szCs w:val="18"/>
                <w:color w:val="auto"/>
              </w:rPr>
              <w:t>Vested</w:t>
            </w:r>
          </w:p>
        </w:tc>
        <w:tc>
          <w:tcPr>
            <w:tcW w:w="3620" w:type="dxa"/>
            <w:vAlign w:val="bottom"/>
          </w:tcPr>
          <w:p>
            <w:pPr>
              <w:spacing w:after="0"/>
              <w:rPr>
                <w:sz w:val="22"/>
                <w:szCs w:val="22"/>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(327,241 )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18.00</w:t>
            </w:r>
          </w:p>
        </w:tc>
        <w:tc>
          <w:tcPr>
            <w:tcW w:w="80" w:type="dxa"/>
            <w:vAlign w:val="bottom"/>
          </w:tcPr>
          <w:p>
            <w:pPr>
              <w:spacing w:after="0"/>
              <w:rPr>
                <w:sz w:val="22"/>
                <w:szCs w:val="22"/>
                <w:color w:val="auto"/>
              </w:rPr>
            </w:pPr>
          </w:p>
        </w:tc>
      </w:tr>
      <w:tr>
        <w:trPr>
          <w:trHeight w:val="290"/>
        </w:trPr>
        <w:tc>
          <w:tcPr>
            <w:tcW w:w="4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September 30, 2021</w:t>
            </w:r>
          </w:p>
        </w:tc>
        <w:tc>
          <w:tcPr>
            <w:tcW w:w="362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1,592,796</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80" w:type="dxa"/>
            <w:vAlign w:val="bottom"/>
            <w:tcBorders>
              <w:bottom w:val="single" w:sz="8" w:color="CFF0FC"/>
            </w:tcBorders>
            <w:shd w:val="clear" w:color="auto" w:fill="CFF0FC"/>
          </w:tcPr>
          <w:p>
            <w:pPr>
              <w:spacing w:after="0"/>
              <w:rPr>
                <w:sz w:val="24"/>
                <w:szCs w:val="24"/>
                <w:color w:val="auto"/>
              </w:rPr>
            </w:pPr>
          </w:p>
        </w:tc>
      </w:tr>
      <w:tr>
        <w:trPr>
          <w:trHeight w:val="439"/>
        </w:trPr>
        <w:tc>
          <w:tcPr>
            <w:tcW w:w="4060" w:type="dxa"/>
            <w:vAlign w:val="bottom"/>
          </w:tcPr>
          <w:p>
            <w:pPr>
              <w:spacing w:after="0"/>
              <w:rPr>
                <w:sz w:val="24"/>
                <w:szCs w:val="24"/>
                <w:color w:val="auto"/>
              </w:rPr>
            </w:pPr>
          </w:p>
        </w:tc>
        <w:tc>
          <w:tcPr>
            <w:tcW w:w="3620" w:type="dxa"/>
            <w:vAlign w:val="bottom"/>
          </w:tcPr>
          <w:p>
            <w:pPr>
              <w:jc w:val="right"/>
              <w:ind w:right="1870"/>
              <w:spacing w:after="0"/>
              <w:rPr>
                <w:sz w:val="20"/>
                <w:szCs w:val="20"/>
                <w:color w:val="auto"/>
              </w:rPr>
            </w:pPr>
            <w:r>
              <w:rPr>
                <w:rFonts w:ascii="Arial" w:cs="Arial" w:eastAsia="Arial" w:hAnsi="Arial"/>
                <w:sz w:val="18"/>
                <w:szCs w:val="18"/>
                <w:color w:val="auto"/>
              </w:rPr>
              <w:t>11</w:t>
            </w: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8"/>
        </w:trPr>
        <w:tc>
          <w:tcPr>
            <w:tcW w:w="4060" w:type="dxa"/>
            <w:vAlign w:val="bottom"/>
            <w:tcBorders>
              <w:bottom w:val="single" w:sz="8" w:color="9A9A9A"/>
            </w:tcBorders>
          </w:tcPr>
          <w:p>
            <w:pPr>
              <w:spacing w:after="0"/>
              <w:rPr>
                <w:sz w:val="7"/>
                <w:szCs w:val="7"/>
                <w:color w:val="auto"/>
              </w:rPr>
            </w:pPr>
          </w:p>
        </w:tc>
        <w:tc>
          <w:tcPr>
            <w:tcW w:w="362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-385445</wp:posOffset>
            </wp:positionV>
            <wp:extent cx="1714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-368300</wp:posOffset>
            </wp:positionV>
            <wp:extent cx="17145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ind w:right="20" w:firstLine="509"/>
        <w:spacing w:after="0" w:line="279" w:lineRule="auto"/>
        <w:rPr>
          <w:sz w:val="20"/>
          <w:szCs w:val="20"/>
          <w:color w:val="auto"/>
        </w:rPr>
      </w:pPr>
      <w:r>
        <w:rPr>
          <w:rFonts w:ascii="Arial" w:cs="Arial" w:eastAsia="Arial" w:hAnsi="Arial"/>
          <w:sz w:val="18"/>
          <w:szCs w:val="18"/>
          <w:color w:val="auto"/>
        </w:rPr>
        <w:t>As of September 30, 2021, total unrecognized stock-based compensation expense for RSUs was $19.9 million, which is expected to be recognized over a remaining weighted-average period of approximately 2.4 years. During the nine months ended September 30, 2021, the Company modified 138,461 RSU's under the Transition Agreement (See Note 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31" w:lineRule="exact"/>
        <w:rPr>
          <w:sz w:val="20"/>
          <w:szCs w:val="20"/>
          <w:color w:val="auto"/>
        </w:rPr>
      </w:pPr>
    </w:p>
    <w:p>
      <w:pPr>
        <w:ind w:right="420" w:firstLine="509"/>
        <w:spacing w:after="0" w:line="293" w:lineRule="auto"/>
        <w:rPr>
          <w:sz w:val="20"/>
          <w:szCs w:val="20"/>
          <w:color w:val="auto"/>
        </w:rPr>
      </w:pPr>
      <w:r>
        <w:rPr>
          <w:rFonts w:ascii="Arial" w:cs="Arial" w:eastAsia="Arial" w:hAnsi="Arial"/>
          <w:sz w:val="18"/>
          <w:szCs w:val="18"/>
          <w:color w:val="auto"/>
        </w:rPr>
        <w:t>The following table summarizes stock option activity under the 2020 Plan for the nine months ended September 30, 2021 (in thousands, except share and per share data and years):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 -</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5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Weighted -</w:t>
            </w:r>
          </w:p>
        </w:tc>
        <w:tc>
          <w:tcPr>
            <w:tcW w:w="2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5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79"/>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5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99"/>
              <w:spacing w:after="0"/>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Contractual</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Aggregate</w:t>
            </w:r>
          </w:p>
        </w:tc>
        <w:tc>
          <w:tcPr>
            <w:tcW w:w="80" w:type="dxa"/>
            <w:vAlign w:val="bottom"/>
          </w:tcPr>
          <w:p>
            <w:pPr>
              <w:spacing w:after="0"/>
              <w:rPr>
                <w:sz w:val="15"/>
                <w:szCs w:val="15"/>
                <w:color w:val="auto"/>
              </w:rPr>
            </w:pPr>
          </w:p>
        </w:tc>
      </w:tr>
      <w:tr>
        <w:trPr>
          <w:trHeight w:val="176"/>
        </w:trPr>
        <w:tc>
          <w:tcPr>
            <w:tcW w:w="5740" w:type="dxa"/>
            <w:vAlign w:val="bottom"/>
          </w:tcPr>
          <w:p>
            <w:pPr>
              <w:spacing w:after="0"/>
              <w:rPr>
                <w:sz w:val="15"/>
                <w:szCs w:val="15"/>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5"/>
                <w:szCs w:val="15"/>
                <w:color w:val="auto"/>
              </w:rPr>
            </w:pPr>
          </w:p>
        </w:tc>
        <w:tc>
          <w:tcPr>
            <w:tcW w:w="102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Price Per</w:t>
            </w:r>
          </w:p>
        </w:tc>
        <w:tc>
          <w:tcPr>
            <w:tcW w:w="2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119"/>
              <w:spacing w:after="0"/>
              <w:rPr>
                <w:sz w:val="20"/>
                <w:szCs w:val="20"/>
                <w:color w:val="auto"/>
              </w:rPr>
            </w:pPr>
            <w:r>
              <w:rPr>
                <w:rFonts w:ascii="Arial" w:cs="Arial" w:eastAsia="Arial" w:hAnsi="Arial"/>
                <w:sz w:val="14"/>
                <w:szCs w:val="14"/>
                <w:b w:val="1"/>
                <w:bCs w:val="1"/>
                <w:color w:val="auto"/>
                <w:w w:val="99"/>
              </w:rPr>
              <w:t>Intrinsic</w:t>
            </w:r>
          </w:p>
        </w:tc>
        <w:tc>
          <w:tcPr>
            <w:tcW w:w="80" w:type="dxa"/>
            <w:vAlign w:val="bottom"/>
          </w:tcPr>
          <w:p>
            <w:pPr>
              <w:spacing w:after="0"/>
              <w:rPr>
                <w:sz w:val="15"/>
                <w:szCs w:val="15"/>
                <w:color w:val="auto"/>
              </w:rPr>
            </w:pPr>
          </w:p>
        </w:tc>
      </w:tr>
      <w:tr>
        <w:trPr>
          <w:trHeight w:val="192"/>
        </w:trPr>
        <w:tc>
          <w:tcPr>
            <w:tcW w:w="5740" w:type="dxa"/>
            <w:vAlign w:val="bottom"/>
          </w:tcPr>
          <w:p>
            <w:pPr>
              <w:spacing w:after="0"/>
              <w:rPr>
                <w:sz w:val="16"/>
                <w:szCs w:val="16"/>
                <w:color w:val="auto"/>
              </w:rPr>
            </w:pPr>
          </w:p>
        </w:tc>
        <w:tc>
          <w:tcPr>
            <w:tcW w:w="12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2"/>
              </w:rPr>
              <w:t>Share</w:t>
            </w:r>
          </w:p>
        </w:tc>
        <w:tc>
          <w:tcPr>
            <w:tcW w:w="22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6"/>
                <w:szCs w:val="16"/>
                <w:color w:val="auto"/>
              </w:rPr>
            </w:pPr>
          </w:p>
        </w:tc>
      </w:tr>
      <w:tr>
        <w:trPr>
          <w:trHeight w:val="256"/>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2020</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615,106</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9.95</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9,848</w:t>
            </w:r>
          </w:p>
        </w:tc>
        <w:tc>
          <w:tcPr>
            <w:tcW w:w="80" w:type="dxa"/>
            <w:vAlign w:val="bottom"/>
            <w:shd w:val="clear" w:color="auto" w:fill="CFF0FC"/>
          </w:tcPr>
          <w:p>
            <w:pPr>
              <w:spacing w:after="0"/>
              <w:rPr>
                <w:sz w:val="22"/>
                <w:szCs w:val="22"/>
                <w:color w:val="auto"/>
              </w:rPr>
            </w:pPr>
          </w:p>
        </w:tc>
      </w:tr>
      <w:tr>
        <w:trPr>
          <w:trHeight w:val="250"/>
        </w:trPr>
        <w:tc>
          <w:tcPr>
            <w:tcW w:w="57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353,043</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42.21</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(7,747 )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2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7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at September 30, 2021</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960,402</w:t>
            </w:r>
          </w:p>
        </w:tc>
        <w:tc>
          <w:tcPr>
            <w:tcW w:w="240" w:type="dxa"/>
            <w:vAlign w:val="bottom"/>
            <w:tcBorders>
              <w:top w:val="single" w:sz="8" w:color="CFF0FC"/>
            </w:tcBorders>
          </w:tcPr>
          <w:p>
            <w:pPr>
              <w:spacing w:after="0"/>
              <w:rPr>
                <w:sz w:val="21"/>
                <w:szCs w:val="21"/>
                <w:color w:val="auto"/>
              </w:rPr>
            </w:pPr>
          </w:p>
        </w:tc>
        <w:tc>
          <w:tcPr>
            <w:tcW w:w="1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26.83</w:t>
            </w:r>
          </w:p>
        </w:tc>
        <w:tc>
          <w:tcPr>
            <w:tcW w:w="138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9.39</w:t>
            </w:r>
          </w:p>
        </w:tc>
        <w:tc>
          <w:tcPr>
            <w:tcW w:w="420" w:type="dxa"/>
            <w:vAlign w:val="bottom"/>
            <w:tcBorders>
              <w:top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6,948</w:t>
            </w:r>
          </w:p>
        </w:tc>
        <w:tc>
          <w:tcPr>
            <w:tcW w:w="80" w:type="dxa"/>
            <w:vAlign w:val="bottom"/>
            <w:tcBorders>
              <w:top w:val="single" w:sz="8" w:color="CFF0FC"/>
            </w:tcBorders>
          </w:tcPr>
          <w:p>
            <w:pPr>
              <w:spacing w:after="0"/>
              <w:rPr>
                <w:sz w:val="21"/>
                <w:szCs w:val="21"/>
                <w:color w:val="auto"/>
              </w:rPr>
            </w:pPr>
          </w:p>
        </w:tc>
      </w:tr>
      <w:tr>
        <w:trPr>
          <w:trHeight w:val="20"/>
        </w:trPr>
        <w:tc>
          <w:tcPr>
            <w:tcW w:w="57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Vested and expected to vest at September 30, 2021</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960,402</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26.83</w:t>
            </w: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4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6,948</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Exercisable at September 30, 2021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57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-570865</wp:posOffset>
            </wp:positionV>
            <wp:extent cx="16319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-213995</wp:posOffset>
            </wp:positionV>
            <wp:extent cx="1631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-196850</wp:posOffset>
            </wp:positionV>
            <wp:extent cx="1631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236"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As of September 30, 2021, total unrecognized stock-based compensation cost for unvested common stock options was $14.3 million, which is expected to be recognized over a remaining weighted-average period of approximately 3.2 years. The weighted- average grant date fair value of stock options granted during the nine months ended September 30, 2021 was $27.42 per share. During the nine months ended September 30, 2021, the Company modified 7,747 stock options under the Transition Agreement (See Note 9).</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in the Black-Scholes option pricing model to determine the fair value of stock option grants were as follows: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6560" w:type="dxa"/>
            <w:vAlign w:val="bottom"/>
          </w:tcPr>
          <w:p>
            <w:pPr>
              <w:spacing w:after="0"/>
              <w:rPr>
                <w:sz w:val="15"/>
                <w:szCs w:val="15"/>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5"/>
              </w:rPr>
              <w:t>Nine Months</w:t>
            </w:r>
          </w:p>
        </w:tc>
      </w:tr>
      <w:tr>
        <w:trPr>
          <w:trHeight w:val="175"/>
        </w:trPr>
        <w:tc>
          <w:tcPr>
            <w:tcW w:w="6560" w:type="dxa"/>
            <w:vAlign w:val="bottom"/>
          </w:tcPr>
          <w:p>
            <w:pPr>
              <w:spacing w:after="0"/>
              <w:rPr>
                <w:sz w:val="15"/>
                <w:szCs w:val="15"/>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Ended</w:t>
            </w:r>
          </w:p>
        </w:tc>
      </w:tr>
      <w:tr>
        <w:trPr>
          <w:trHeight w:val="176"/>
        </w:trPr>
        <w:tc>
          <w:tcPr>
            <w:tcW w:w="6560" w:type="dxa"/>
            <w:vAlign w:val="bottom"/>
          </w:tcPr>
          <w:p>
            <w:pPr>
              <w:spacing w:after="0"/>
              <w:rPr>
                <w:sz w:val="15"/>
                <w:szCs w:val="15"/>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w:t>
            </w:r>
          </w:p>
        </w:tc>
      </w:tr>
      <w:tr>
        <w:trPr>
          <w:trHeight w:val="192"/>
        </w:trPr>
        <w:tc>
          <w:tcPr>
            <w:tcW w:w="6560" w:type="dxa"/>
            <w:vAlign w:val="bottom"/>
          </w:tcPr>
          <w:p>
            <w:pPr>
              <w:spacing w:after="0"/>
              <w:rPr>
                <w:sz w:val="16"/>
                <w:szCs w:val="16"/>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256"/>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w:t>
            </w:r>
          </w:p>
        </w:tc>
      </w:tr>
      <w:tr>
        <w:trPr>
          <w:trHeight w:val="250"/>
        </w:trPr>
        <w:tc>
          <w:tcPr>
            <w:tcW w:w="65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420" w:type="dxa"/>
            <w:vAlign w:val="bottom"/>
          </w:tcPr>
          <w:p>
            <w:pPr>
              <w:jc w:val="right"/>
              <w:spacing w:after="0"/>
              <w:rPr>
                <w:sz w:val="20"/>
                <w:szCs w:val="20"/>
                <w:color w:val="auto"/>
              </w:rPr>
            </w:pPr>
            <w:r>
              <w:rPr>
                <w:rFonts w:ascii="Arial" w:cs="Arial" w:eastAsia="Arial" w:hAnsi="Arial"/>
                <w:sz w:val="18"/>
                <w:szCs w:val="18"/>
                <w:color w:val="auto"/>
              </w:rPr>
              <w:t>0.99%</w:t>
            </w:r>
          </w:p>
        </w:tc>
      </w:tr>
      <w:tr>
        <w:trPr>
          <w:trHeight w:val="26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2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Expected term</w:t>
            </w:r>
          </w:p>
        </w:tc>
        <w:tc>
          <w:tcPr>
            <w:tcW w:w="2420" w:type="dxa"/>
            <w:vAlign w:val="bottom"/>
          </w:tcPr>
          <w:p>
            <w:pPr>
              <w:jc w:val="right"/>
              <w:spacing w:after="0"/>
              <w:rPr>
                <w:sz w:val="20"/>
                <w:szCs w:val="20"/>
                <w:color w:val="auto"/>
              </w:rPr>
            </w:pPr>
            <w:r>
              <w:rPr>
                <w:rFonts w:ascii="Arial" w:cs="Arial" w:eastAsia="Arial" w:hAnsi="Arial"/>
                <w:sz w:val="18"/>
                <w:szCs w:val="18"/>
                <w:color w:val="auto"/>
              </w:rPr>
              <w:t>5.86 years</w:t>
            </w:r>
          </w:p>
        </w:tc>
      </w:tr>
    </w:tbl>
    <w:p>
      <w:pPr>
        <w:spacing w:after="0" w:line="283" w:lineRule="exact"/>
        <w:rPr>
          <w:sz w:val="20"/>
          <w:szCs w:val="20"/>
          <w:color w:val="auto"/>
        </w:rPr>
      </w:pPr>
    </w:p>
    <w:p>
      <w:pPr>
        <w:ind w:right="420" w:firstLine="509"/>
        <w:spacing w:after="0" w:line="279"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As the Company’s common stock does not have a significant trading history, the expected volatility assumption 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volatilities of a peer group of similar companies whose share prices are publicly available. The peer group was developed based on companies in the biotechnology industry.</w:t>
      </w:r>
    </w:p>
    <w:p>
      <w:pPr>
        <w:spacing w:after="0" w:line="183" w:lineRule="exact"/>
        <w:rPr>
          <w:sz w:val="20"/>
          <w:szCs w:val="20"/>
          <w:color w:val="auto"/>
        </w:rPr>
      </w:pPr>
    </w:p>
    <w:p>
      <w:pPr>
        <w:ind w:right="200" w:firstLine="509"/>
        <w:spacing w:after="0" w:line="293"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Company bases the risk-free interest rate assumption on the U.S. Treasury’s rates for U.S. Treasury zero-coupon bonds</w:t>
      </w:r>
      <w:r>
        <w:rPr>
          <w:rFonts w:ascii="Arial" w:cs="Arial" w:eastAsia="Arial" w:hAnsi="Arial"/>
          <w:sz w:val="18"/>
          <w:szCs w:val="18"/>
          <w:i w:val="1"/>
          <w:iCs w:val="1"/>
          <w:color w:val="auto"/>
        </w:rPr>
        <w:t xml:space="preserve"> </w:t>
      </w:r>
      <w:r>
        <w:rPr>
          <w:rFonts w:ascii="Arial" w:cs="Arial" w:eastAsia="Arial" w:hAnsi="Arial"/>
          <w:sz w:val="18"/>
          <w:szCs w:val="18"/>
          <w:color w:val="auto"/>
        </w:rPr>
        <w:t>with maturities similar to those of the expected term of the award being valued.</w:t>
      </w:r>
    </w:p>
    <w:p>
      <w:pPr>
        <w:spacing w:after="0" w:line="170" w:lineRule="exact"/>
        <w:rPr>
          <w:sz w:val="20"/>
          <w:szCs w:val="20"/>
          <w:color w:val="auto"/>
        </w:rPr>
      </w:pPr>
    </w:p>
    <w:p>
      <w:pPr>
        <w:ind w:right="300" w:firstLine="509"/>
        <w:spacing w:after="0" w:line="293"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bases the expected dividend yield assumption on the fact that it has never paid cash dividends and has no</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plans to pay cash dividends.</w:t>
      </w:r>
    </w:p>
    <w:p>
      <w:pPr>
        <w:spacing w:after="0" w:line="170" w:lineRule="exact"/>
        <w:rPr>
          <w:sz w:val="20"/>
          <w:szCs w:val="20"/>
          <w:color w:val="auto"/>
        </w:rPr>
      </w:pPr>
    </w:p>
    <w:p>
      <w:pPr>
        <w:ind w:right="240" w:firstLine="509"/>
        <w:spacing w:after="0" w:line="303"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For employees, the expected term represents the period of time that options are expected to be outstanding. Because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has minimal historical exercise behavior, it determines the expected life assumption using the simplified method, which is an average of the contractual term of the option and its vesting period. For nonemployees, the expected term is generally the contractual term of the option.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31" w:lineRule="exact"/>
        <w:rPr>
          <w:sz w:val="20"/>
          <w:szCs w:val="20"/>
          <w:color w:val="auto"/>
        </w:rPr>
      </w:pPr>
    </w:p>
    <w:p>
      <w:pPr>
        <w:ind w:firstLine="509"/>
        <w:spacing w:after="0" w:line="266" w:lineRule="auto"/>
        <w:rPr>
          <w:sz w:val="20"/>
          <w:szCs w:val="20"/>
          <w:color w:val="auto"/>
        </w:rPr>
      </w:pPr>
      <w:r>
        <w:rPr>
          <w:rFonts w:ascii="Arial" w:cs="Arial" w:eastAsia="Arial" w:hAnsi="Arial"/>
          <w:sz w:val="18"/>
          <w:szCs w:val="18"/>
          <w:color w:val="auto"/>
        </w:rPr>
        <w:t>In December 2020, the Company’s board of directors and stockholders approved the BioAtla, Inc. Employee Stock Purchase Plan (the “ESPP”). The ESPP permits participants to purchase common stock through payroll deductions of up to 15% of their eligible compensation. As of September 30, 2021 and December 31, 2020, a total of 833,993 shares and 464,829 shares, respectively,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4" w:name="page15"/>
    <w:bookmarkEnd w:id="14"/>
    <w:p>
      <w:pPr>
        <w:ind w:right="20"/>
        <w:spacing w:after="0" w:line="287" w:lineRule="auto"/>
        <w:rPr>
          <w:sz w:val="20"/>
          <w:szCs w:val="20"/>
          <w:color w:val="auto"/>
        </w:rPr>
      </w:pPr>
      <w:r>
        <w:rPr>
          <w:rFonts w:ascii="Arial" w:cs="Arial" w:eastAsia="Arial" w:hAnsi="Arial"/>
          <w:sz w:val="17"/>
          <w:szCs w:val="17"/>
          <w:color w:val="auto"/>
        </w:rPr>
        <w:t>common stock were authorized for issuance under the ESPP. The number of shares of common stock authorized for issuance will automatically increase on January 1 of each calendar year, from January 1, 2021 through January 1, 2030 by the least of (i) 1.0% of the total number of common shares of our common stock outstanding on December 31 of the preceding calendar year (calculated on a fully diluted basis), (ii) 929,658 common shares or (iii) a number determined by the Company’s board of directors that is less than (i) and (ii). In February 2021, employees began to enroll in the ESPP and the Company’s first offering period commenced. The Company's first ESPP purchase transaction occurred on June 30, 2021. The Company's second offering period commenced in July 2021. During the nine months ended September 30, 2021, the Company issued 5,280 shares of common stock under the ESPP. As of September 30, 2021, 828,713 shares of common stock remained available for issuance under the ESPP. Stock-based compensation expense related to the ESPP for the three and nine months ended September 30, 2021 was immaterial.</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31"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Upon adoption of ASU No. 2018-07 on October 1, 2020, the measurement date of the warrants described below became fixed in accordance with the guidance, and such fair value was nominal since the warrants were deeply out-of-the-money. As of September 30, 2021 all the common stock warrants below are exercisable and expire as follows:</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3400" w:type="dxa"/>
            <w:vAlign w:val="bottom"/>
          </w:tcPr>
          <w:p>
            <w:pPr>
              <w:jc w:val="right"/>
              <w:ind w:right="1237"/>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40" w:type="dxa"/>
            <w:vAlign w:val="bottom"/>
          </w:tcPr>
          <w:p>
            <w:pPr>
              <w:jc w:val="right"/>
              <w:ind w:right="679"/>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Pr>
          <w:p>
            <w:pPr>
              <w:spacing w:after="0"/>
              <w:rPr>
                <w:sz w:val="15"/>
                <w:szCs w:val="15"/>
                <w:color w:val="auto"/>
              </w:rPr>
            </w:pPr>
          </w:p>
        </w:tc>
        <w:tc>
          <w:tcPr>
            <w:tcW w:w="2960" w:type="dxa"/>
            <w:vAlign w:val="bottom"/>
          </w:tcPr>
          <w:p>
            <w:pPr>
              <w:spacing w:after="0"/>
              <w:rPr>
                <w:sz w:val="15"/>
                <w:szCs w:val="15"/>
                <w:color w:val="auto"/>
              </w:rPr>
            </w:pPr>
          </w:p>
        </w:tc>
      </w:tr>
      <w:tr>
        <w:trPr>
          <w:trHeight w:val="192"/>
        </w:trPr>
        <w:tc>
          <w:tcPr>
            <w:tcW w:w="3400" w:type="dxa"/>
            <w:vAlign w:val="bottom"/>
            <w:tcBorders>
              <w:bottom w:val="single" w:sz="8" w:color="auto"/>
            </w:tcBorders>
          </w:tcPr>
          <w:p>
            <w:pPr>
              <w:jc w:val="right"/>
              <w:ind w:right="1137"/>
              <w:spacing w:after="0"/>
              <w:rPr>
                <w:sz w:val="20"/>
                <w:szCs w:val="20"/>
                <w:color w:val="auto"/>
              </w:rPr>
            </w:pPr>
            <w:r>
              <w:rPr>
                <w:rFonts w:ascii="Arial" w:cs="Arial" w:eastAsia="Arial" w:hAnsi="Arial"/>
                <w:sz w:val="14"/>
                <w:szCs w:val="14"/>
                <w:b w:val="1"/>
                <w:bCs w:val="1"/>
                <w:color w:val="auto"/>
              </w:rPr>
              <w:t>and Exercisable</w:t>
            </w:r>
          </w:p>
        </w:tc>
        <w:tc>
          <w:tcPr>
            <w:tcW w:w="1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799"/>
              <w:spacing w:after="0"/>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6"/>
                <w:szCs w:val="16"/>
                <w:color w:val="auto"/>
              </w:rPr>
            </w:pPr>
          </w:p>
        </w:tc>
        <w:tc>
          <w:tcPr>
            <w:tcW w:w="2960" w:type="dxa"/>
            <w:vAlign w:val="bottom"/>
            <w:tcBorders>
              <w:bottom w:val="single" w:sz="8" w:color="auto"/>
            </w:tcBorders>
          </w:tcPr>
          <w:p>
            <w:pPr>
              <w:jc w:val="right"/>
              <w:ind w:right="916"/>
              <w:spacing w:after="0"/>
              <w:rPr>
                <w:sz w:val="20"/>
                <w:szCs w:val="20"/>
                <w:color w:val="auto"/>
              </w:rPr>
            </w:pPr>
            <w:r>
              <w:rPr>
                <w:rFonts w:ascii="Arial" w:cs="Arial" w:eastAsia="Arial" w:hAnsi="Arial"/>
                <w:sz w:val="14"/>
                <w:szCs w:val="14"/>
                <w:b w:val="1"/>
                <w:bCs w:val="1"/>
                <w:color w:val="auto"/>
              </w:rPr>
              <w:t>Expiration Date</w:t>
            </w:r>
          </w:p>
        </w:tc>
      </w:tr>
      <w:tr>
        <w:trPr>
          <w:trHeight w:val="256"/>
        </w:trPr>
        <w:tc>
          <w:tcPr>
            <w:tcW w:w="3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566,586</w:t>
            </w:r>
          </w:p>
        </w:tc>
        <w:tc>
          <w:tcPr>
            <w:tcW w:w="5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88.25</w:t>
            </w:r>
          </w:p>
        </w:tc>
        <w:tc>
          <w:tcPr>
            <w:tcW w:w="120" w:type="dxa"/>
            <w:vAlign w:val="bottom"/>
            <w:shd w:val="clear" w:color="auto" w:fill="CFF0FC"/>
          </w:tcPr>
          <w:p>
            <w:pPr>
              <w:spacing w:after="0"/>
              <w:rPr>
                <w:sz w:val="22"/>
                <w:szCs w:val="22"/>
                <w:color w:val="auto"/>
              </w:rPr>
            </w:pPr>
          </w:p>
        </w:tc>
        <w:tc>
          <w:tcPr>
            <w:tcW w:w="2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December 17, 2021</w:t>
            </w:r>
          </w:p>
        </w:tc>
      </w:tr>
      <w:tr>
        <w:trPr>
          <w:trHeight w:val="257"/>
        </w:trPr>
        <w:tc>
          <w:tcPr>
            <w:tcW w:w="3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151,088</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132.37</w:t>
            </w:r>
          </w:p>
        </w:tc>
        <w:tc>
          <w:tcPr>
            <w:tcW w:w="120" w:type="dxa"/>
            <w:vAlign w:val="bottom"/>
          </w:tcPr>
          <w:p>
            <w:pPr>
              <w:spacing w:after="0"/>
              <w:rPr>
                <w:sz w:val="22"/>
                <w:szCs w:val="22"/>
                <w:color w:val="auto"/>
              </w:rPr>
            </w:pPr>
          </w:p>
        </w:tc>
        <w:tc>
          <w:tcPr>
            <w:tcW w:w="2960" w:type="dxa"/>
            <w:vAlign w:val="bottom"/>
          </w:tcPr>
          <w:p>
            <w:pPr>
              <w:jc w:val="right"/>
              <w:spacing w:after="0"/>
              <w:rPr>
                <w:sz w:val="20"/>
                <w:szCs w:val="20"/>
                <w:color w:val="auto"/>
              </w:rPr>
            </w:pPr>
            <w:r>
              <w:rPr>
                <w:rFonts w:ascii="Arial" w:cs="Arial" w:eastAsia="Arial" w:hAnsi="Arial"/>
                <w:sz w:val="18"/>
                <w:szCs w:val="18"/>
                <w:color w:val="auto"/>
              </w:rPr>
              <w:t>March 12, 2022</w:t>
            </w:r>
          </w:p>
        </w:tc>
      </w:tr>
      <w:tr>
        <w:trPr>
          <w:trHeight w:val="283"/>
        </w:trPr>
        <w:tc>
          <w:tcPr>
            <w:tcW w:w="3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717,674</w:t>
            </w:r>
          </w:p>
        </w:tc>
        <w:tc>
          <w:tcPr>
            <w:tcW w:w="1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spacing w:after="0"/>
              <w:rPr>
                <w:sz w:val="24"/>
                <w:szCs w:val="24"/>
                <w:color w:val="auto"/>
              </w:rPr>
            </w:pPr>
          </w:p>
        </w:tc>
        <w:tc>
          <w:tcPr>
            <w:tcW w:w="19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9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-25400</wp:posOffset>
            </wp:positionV>
            <wp:extent cx="15855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8559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-8255</wp:posOffset>
            </wp:positionV>
            <wp:extent cx="158559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reserved for future issuance are as follows in common equivalent shares: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5940" w:type="dxa"/>
            <w:vAlign w:val="bottom"/>
          </w:tcPr>
          <w:p>
            <w:pPr>
              <w:spacing w:after="0"/>
              <w:rPr>
                <w:sz w:val="15"/>
                <w:szCs w:val="15"/>
                <w:color w:val="auto"/>
              </w:rPr>
            </w:pPr>
          </w:p>
        </w:tc>
        <w:tc>
          <w:tcPr>
            <w:tcW w:w="1380" w:type="dxa"/>
            <w:vAlign w:val="bottom"/>
          </w:tcPr>
          <w:p>
            <w:pPr>
              <w:jc w:val="right"/>
              <w:ind w:right="175"/>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360" w:type="dxa"/>
            <w:vAlign w:val="bottom"/>
          </w:tcPr>
          <w:p>
            <w:pPr>
              <w:jc w:val="right"/>
              <w:ind w:right="199"/>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r>
      <w:tr>
        <w:trPr>
          <w:trHeight w:val="192"/>
        </w:trPr>
        <w:tc>
          <w:tcPr>
            <w:tcW w:w="5940" w:type="dxa"/>
            <w:vAlign w:val="bottom"/>
          </w:tcPr>
          <w:p>
            <w:pPr>
              <w:spacing w:after="0"/>
              <w:rPr>
                <w:sz w:val="16"/>
                <w:szCs w:val="16"/>
                <w:color w:val="auto"/>
              </w:rPr>
            </w:pPr>
          </w:p>
        </w:tc>
        <w:tc>
          <w:tcPr>
            <w:tcW w:w="13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3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56"/>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Warrants for the purchase of common stock</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717,674</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717,674</w:t>
            </w:r>
          </w:p>
        </w:tc>
        <w:tc>
          <w:tcPr>
            <w:tcW w:w="80" w:type="dxa"/>
            <w:vAlign w:val="bottom"/>
            <w:shd w:val="clear" w:color="auto" w:fill="CFF0FC"/>
          </w:tcPr>
          <w:p>
            <w:pPr>
              <w:spacing w:after="0"/>
              <w:rPr>
                <w:sz w:val="22"/>
                <w:szCs w:val="22"/>
                <w:color w:val="auto"/>
              </w:rPr>
            </w:pPr>
          </w:p>
        </w:tc>
      </w:tr>
      <w:tr>
        <w:trPr>
          <w:trHeight w:val="250"/>
        </w:trPr>
        <w:tc>
          <w:tcPr>
            <w:tcW w:w="5940" w:type="dxa"/>
            <w:vAlign w:val="bottom"/>
          </w:tcPr>
          <w:p>
            <w:pPr>
              <w:spacing w:after="0"/>
              <w:rPr>
                <w:sz w:val="20"/>
                <w:szCs w:val="20"/>
                <w:color w:val="auto"/>
              </w:rPr>
            </w:pPr>
            <w:r>
              <w:rPr>
                <w:rFonts w:ascii="Arial" w:cs="Arial" w:eastAsia="Arial" w:hAnsi="Arial"/>
                <w:sz w:val="18"/>
                <w:szCs w:val="18"/>
                <w:color w:val="auto"/>
              </w:rPr>
              <w:t>Common stock options and restricted stock units issued and outstanding</w:t>
            </w:r>
          </w:p>
        </w:tc>
        <w:tc>
          <w:tcPr>
            <w:tcW w:w="1380" w:type="dxa"/>
            <w:vAlign w:val="bottom"/>
          </w:tcPr>
          <w:p>
            <w:pPr>
              <w:jc w:val="right"/>
              <w:spacing w:after="0"/>
              <w:rPr>
                <w:sz w:val="20"/>
                <w:szCs w:val="20"/>
                <w:color w:val="auto"/>
              </w:rPr>
            </w:pPr>
            <w:r>
              <w:rPr>
                <w:rFonts w:ascii="Arial" w:cs="Arial" w:eastAsia="Arial" w:hAnsi="Arial"/>
                <w:sz w:val="18"/>
                <w:szCs w:val="18"/>
                <w:color w:val="auto"/>
              </w:rPr>
              <w:t>2,553,198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2,535,143</w:t>
            </w:r>
          </w:p>
        </w:tc>
        <w:tc>
          <w:tcPr>
            <w:tcW w:w="80" w:type="dxa"/>
            <w:vAlign w:val="bottom"/>
          </w:tcPr>
          <w:p>
            <w:pPr>
              <w:spacing w:after="0"/>
              <w:rPr>
                <w:sz w:val="21"/>
                <w:szCs w:val="21"/>
                <w:color w:val="auto"/>
              </w:rPr>
            </w:pPr>
          </w:p>
        </w:tc>
      </w:tr>
      <w:tr>
        <w:trPr>
          <w:trHeight w:val="26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Awards available for future issuance under the 2020 Plan</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3,338,354</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2,404,535</w:t>
            </w:r>
          </w:p>
        </w:tc>
        <w:tc>
          <w:tcPr>
            <w:tcW w:w="80" w:type="dxa"/>
            <w:vAlign w:val="bottom"/>
            <w:shd w:val="clear" w:color="auto" w:fill="CFF0FC"/>
          </w:tcPr>
          <w:p>
            <w:pPr>
              <w:spacing w:after="0"/>
              <w:rPr>
                <w:sz w:val="22"/>
                <w:szCs w:val="22"/>
                <w:color w:val="auto"/>
              </w:rPr>
            </w:pPr>
          </w:p>
        </w:tc>
      </w:tr>
      <w:tr>
        <w:trPr>
          <w:trHeight w:val="250"/>
        </w:trPr>
        <w:tc>
          <w:tcPr>
            <w:tcW w:w="5940" w:type="dxa"/>
            <w:vAlign w:val="bottom"/>
          </w:tcPr>
          <w:p>
            <w:pPr>
              <w:spacing w:after="0"/>
              <w:rPr>
                <w:sz w:val="20"/>
                <w:szCs w:val="20"/>
                <w:color w:val="auto"/>
              </w:rPr>
            </w:pPr>
            <w:r>
              <w:rPr>
                <w:rFonts w:ascii="Arial" w:cs="Arial" w:eastAsia="Arial" w:hAnsi="Arial"/>
                <w:sz w:val="18"/>
                <w:szCs w:val="18"/>
                <w:color w:val="auto"/>
              </w:rPr>
              <w:t>Awards available for future issuance under the ESPP</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828,713</w:t>
            </w:r>
          </w:p>
        </w:tc>
        <w:tc>
          <w:tcPr>
            <w:tcW w:w="22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464,829</w:t>
            </w:r>
          </w:p>
        </w:tc>
        <w:tc>
          <w:tcPr>
            <w:tcW w:w="80" w:type="dxa"/>
            <w:vAlign w:val="bottom"/>
          </w:tcPr>
          <w:p>
            <w:pPr>
              <w:spacing w:after="0"/>
              <w:rPr>
                <w:sz w:val="21"/>
                <w:szCs w:val="21"/>
                <w:color w:val="auto"/>
              </w:rPr>
            </w:pPr>
          </w:p>
        </w:tc>
      </w:tr>
      <w:tr>
        <w:trPr>
          <w:trHeight w:val="290"/>
        </w:trPr>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common stock reserved for future issuance</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7,437,939</w:t>
            </w:r>
          </w:p>
        </w:tc>
        <w:tc>
          <w:tcPr>
            <w:tcW w:w="22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6,122,181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-24765</wp:posOffset>
            </wp:positionV>
            <wp:extent cx="137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1371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Profits Interest Incentive Plan</w:t>
      </w:r>
    </w:p>
    <w:p>
      <w:pPr>
        <w:spacing w:after="0" w:line="135"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Prior to the Corporate Reorganization in July 2020, the Company maintained a Profits Interest Incentive Plan (the “Plan”) for selected employees, consultants and other service providers. The Class B units generally vested over four years, were subject to continued service requirements, and only provide the participants with benefits (in the form of distributions) if the distributions from BioAtla exceed specified threshold values. Generally, upon termination of services, all unvested Class B units were forfeited to the Company and the Company had the right, but not the obligation, to repurchase the vested Class B units within two years at the termination date fair value. The Class B unit repurchase would be settled in cash, at all times at the option of the Company, and the holder did not have the right to put the Class B units to the Company under any condition. Vested Class B units that are neither repurchased by the Company nor forfeited remained subject to the terms of the Company’s operating agreement. The Class B units were not subject to sale, assignment, transfer, pledge, or allowed to be otherwise encumbered or disposed of without prior written consent of the Company.</w:t>
      </w:r>
    </w:p>
    <w:p>
      <w:pPr>
        <w:spacing w:after="0" w:line="163" w:lineRule="exact"/>
        <w:rPr>
          <w:sz w:val="20"/>
          <w:szCs w:val="20"/>
          <w:color w:val="auto"/>
        </w:rPr>
      </w:pPr>
    </w:p>
    <w:p>
      <w:pPr>
        <w:ind w:right="40" w:firstLine="509"/>
        <w:spacing w:after="0" w:line="266" w:lineRule="auto"/>
        <w:rPr>
          <w:sz w:val="20"/>
          <w:szCs w:val="20"/>
          <w:color w:val="auto"/>
        </w:rPr>
      </w:pPr>
      <w:r>
        <w:rPr>
          <w:rFonts w:ascii="Arial" w:cs="Arial" w:eastAsia="Arial" w:hAnsi="Arial"/>
          <w:sz w:val="18"/>
          <w:szCs w:val="18"/>
          <w:color w:val="auto"/>
        </w:rPr>
        <w:t>The Class B units were liability awards pursuant to authoritative guidance, which required the Company to record a liability based on the fair value of the Class B units as of each reporting period. Through the date of the Corporate Reorganization, the fair value of the liability awards was determined based on the Company’s estimated enterprise value, which was allocated based on a hybrid model that, in addition to the option pricing model, considering the Company’s expected IPO. Under the option pricing method, units were valued by creating a series of call options with exercise prices based on the liquidation preferences and conversion terms of each unit class.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color w:val="auto"/>
        </w:rPr>
        <w:t>The allocation of equity-based compensation for all Class B units is as follows (in thousands):</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3620" w:type="dxa"/>
            <w:vAlign w:val="bottom"/>
          </w:tcPr>
          <w:p>
            <w:pPr>
              <w:spacing w:after="0"/>
              <w:rPr>
                <w:sz w:val="15"/>
                <w:szCs w:val="15"/>
                <w:color w:val="auto"/>
              </w:rPr>
            </w:pPr>
          </w:p>
        </w:tc>
        <w:tc>
          <w:tcPr>
            <w:tcW w:w="1520" w:type="dxa"/>
            <w:vAlign w:val="bottom"/>
          </w:tcPr>
          <w:p>
            <w:pPr>
              <w:jc w:val="center"/>
              <w:ind w:left="302"/>
              <w:spacing w:after="0"/>
              <w:rPr>
                <w:sz w:val="20"/>
                <w:szCs w:val="20"/>
                <w:color w:val="auto"/>
              </w:rPr>
            </w:pPr>
            <w:r>
              <w:rPr>
                <w:rFonts w:ascii="Arial" w:cs="Arial" w:eastAsia="Arial" w:hAnsi="Arial"/>
                <w:sz w:val="14"/>
                <w:szCs w:val="14"/>
                <w:b w:val="1"/>
                <w:bCs w:val="1"/>
                <w:color w:val="auto"/>
                <w:w w:val="93"/>
              </w:rPr>
              <w:t>Three Months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Nine Months</w:t>
            </w:r>
          </w:p>
        </w:tc>
      </w:tr>
      <w:tr>
        <w:trPr>
          <w:trHeight w:val="175"/>
        </w:trPr>
        <w:tc>
          <w:tcPr>
            <w:tcW w:w="3620" w:type="dxa"/>
            <w:vAlign w:val="bottom"/>
          </w:tcPr>
          <w:p>
            <w:pPr>
              <w:spacing w:after="0"/>
              <w:rPr>
                <w:sz w:val="15"/>
                <w:szCs w:val="15"/>
                <w:color w:val="auto"/>
              </w:rPr>
            </w:pPr>
          </w:p>
        </w:tc>
        <w:tc>
          <w:tcPr>
            <w:tcW w:w="1520" w:type="dxa"/>
            <w:vAlign w:val="bottom"/>
          </w:tcPr>
          <w:p>
            <w:pPr>
              <w:jc w:val="center"/>
              <w:ind w:left="322"/>
              <w:spacing w:after="0"/>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Ended</w:t>
            </w:r>
          </w:p>
        </w:tc>
      </w:tr>
      <w:tr>
        <w:trPr>
          <w:trHeight w:val="176"/>
        </w:trPr>
        <w:tc>
          <w:tcPr>
            <w:tcW w:w="3620" w:type="dxa"/>
            <w:vAlign w:val="bottom"/>
          </w:tcPr>
          <w:p>
            <w:pPr>
              <w:spacing w:after="0"/>
              <w:rPr>
                <w:sz w:val="15"/>
                <w:szCs w:val="15"/>
                <w:color w:val="auto"/>
              </w:rPr>
            </w:pPr>
          </w:p>
        </w:tc>
        <w:tc>
          <w:tcPr>
            <w:tcW w:w="1520" w:type="dxa"/>
            <w:vAlign w:val="bottom"/>
          </w:tcPr>
          <w:p>
            <w:pPr>
              <w:jc w:val="center"/>
              <w:ind w:left="322"/>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r>
      <w:tr>
        <w:trPr>
          <w:trHeight w:val="192"/>
        </w:trPr>
        <w:tc>
          <w:tcPr>
            <w:tcW w:w="3620" w:type="dxa"/>
            <w:vAlign w:val="bottom"/>
          </w:tcPr>
          <w:p>
            <w:pPr>
              <w:spacing w:after="0"/>
              <w:rPr>
                <w:sz w:val="16"/>
                <w:szCs w:val="16"/>
                <w:color w:val="auto"/>
              </w:rPr>
            </w:pPr>
          </w:p>
        </w:tc>
        <w:tc>
          <w:tcPr>
            <w:tcW w:w="1520" w:type="dxa"/>
            <w:vAlign w:val="bottom"/>
            <w:tcBorders>
              <w:bottom w:val="single" w:sz="8" w:color="auto"/>
            </w:tcBorders>
          </w:tcPr>
          <w:p>
            <w:pPr>
              <w:jc w:val="center"/>
              <w:ind w:left="302"/>
              <w:spacing w:after="0"/>
              <w:rPr>
                <w:sz w:val="20"/>
                <w:szCs w:val="20"/>
                <w:color w:val="auto"/>
              </w:rPr>
            </w:pPr>
            <w:r>
              <w:rPr>
                <w:rFonts w:ascii="Arial" w:cs="Arial" w:eastAsia="Arial" w:hAnsi="Arial"/>
                <w:sz w:val="14"/>
                <w:szCs w:val="14"/>
                <w:b w:val="1"/>
                <w:bCs w:val="1"/>
                <w:color w:val="auto"/>
                <w:w w:val="96"/>
              </w:rPr>
              <w:t>2020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r>
      <w:tr>
        <w:trPr>
          <w:trHeight w:val="256"/>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520" w:type="dxa"/>
            <w:vAlign w:val="bottom"/>
            <w:shd w:val="clear" w:color="auto" w:fill="CFF0FC"/>
          </w:tcPr>
          <w:p>
            <w:pPr>
              <w:jc w:val="right"/>
              <w:ind w:right="134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(3,355 )</w:t>
            </w:r>
          </w:p>
        </w:tc>
      </w:tr>
      <w:tr>
        <w:trPr>
          <w:trHeight w:val="250"/>
        </w:trPr>
        <w:tc>
          <w:tcPr>
            <w:tcW w:w="36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520" w:type="dxa"/>
            <w:vAlign w:val="bottom"/>
          </w:tcPr>
          <w:p>
            <w:pPr>
              <w:spacing w:after="0"/>
              <w:rPr>
                <w:sz w:val="21"/>
                <w:szCs w:val="21"/>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(29 )</w:t>
            </w:r>
          </w:p>
        </w:tc>
        <w:tc>
          <w:tcPr>
            <w:tcW w:w="480" w:type="dxa"/>
            <w:vAlign w:val="bottom"/>
          </w:tcPr>
          <w:p>
            <w:pPr>
              <w:spacing w:after="0"/>
              <w:rPr>
                <w:sz w:val="21"/>
                <w:szCs w:val="21"/>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(4,270 )</w:t>
            </w:r>
          </w:p>
        </w:tc>
      </w:tr>
      <w:tr>
        <w:trPr>
          <w:trHeight w:val="20"/>
        </w:trPr>
        <w:tc>
          <w:tcPr>
            <w:tcW w:w="36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520" w:type="dxa"/>
            <w:vAlign w:val="bottom"/>
            <w:shd w:val="clear" w:color="auto" w:fill="CFF0FC"/>
          </w:tcPr>
          <w:p>
            <w:pPr>
              <w:jc w:val="right"/>
              <w:ind w:right="1342"/>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(24 )</w:t>
            </w:r>
          </w:p>
        </w:tc>
        <w:tc>
          <w:tcPr>
            <w:tcW w:w="4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(7,625 )</w:t>
            </w:r>
          </w:p>
        </w:tc>
      </w:tr>
      <w:tr>
        <w:trPr>
          <w:trHeight w:val="20"/>
        </w:trPr>
        <w:tc>
          <w:tcPr>
            <w:tcW w:w="362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-25400</wp:posOffset>
            </wp:positionV>
            <wp:extent cx="768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Collaboration, License and Option Agreements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Co-Development and Collaboration Agreement with BeiGene</w:t>
      </w:r>
    </w:p>
    <w:p>
      <w:pPr>
        <w:spacing w:after="0" w:line="131" w:lineRule="exact"/>
        <w:rPr>
          <w:sz w:val="20"/>
          <w:szCs w:val="20"/>
          <w:color w:val="auto"/>
        </w:rPr>
      </w:pPr>
    </w:p>
    <w:p>
      <w:pPr>
        <w:ind w:right="40" w:firstLine="509"/>
        <w:spacing w:after="0" w:line="296" w:lineRule="auto"/>
        <w:rPr>
          <w:sz w:val="20"/>
          <w:szCs w:val="20"/>
          <w:color w:val="auto"/>
        </w:rPr>
      </w:pPr>
      <w:r>
        <w:rPr>
          <w:rFonts w:ascii="Arial" w:cs="Arial" w:eastAsia="Arial" w:hAnsi="Arial"/>
          <w:sz w:val="17"/>
          <w:szCs w:val="17"/>
          <w:color w:val="auto"/>
        </w:rPr>
        <w:t>In April 2019, the Company entered into a Global Co-Development and Collaboration agreement (the “BeiGene Collaboration”) with BeiGene, Ltd. and BeiGene Switzerland GmbH (collectively “BeiGene”), a commercial-stage biopharmaceutical company, for the development, manufacturing and commercialization of the Company’s investigational CAB CTLA-4 antibody (BA3071). The Company and BeiGene amended the Global Co-Development and Collaboration agreement in December 2019 and in October 2020 (the “Amended BeiGene Collaboration”).</w:t>
      </w:r>
    </w:p>
    <w:p>
      <w:pPr>
        <w:spacing w:after="0" w:line="170"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Under the BeiGene Collaboration, the Company would co-develop the CAB-CTLA-4 antibody to reach defined early clinical objectives (“POC Milestone”), whereby the Company would perform the development activities (“Development Services”) and BeiGene would reimburse the Company for a portion of the costs incurred by the Company for these Development Services subsequent to the filing of an Investigational New Drug Application (“IND”). Following the POC Milestone, BeiGene would then lead the parties’ joint efforts to develop the product candidate and be responsible for global regulatory filings and commercialization. Subject to the terms of the agreement, BeiGene will hold a co-exclusive license with the Company to develop and manufacture the product candidate globally and an exclusive license to commercialize the product candidate globally. BeiGene will be responsible for all costs of development, manufacturing and commercialization in China, parts of the Middle East and Asia (excluding Japan), Australia and New Zealand (the “BeiGene Territory”), and the parties would share development and manufacturing costs and commercial profits and losses upon specified terms in the rest of the world that are not part of the BeiGene Territory (the “ROW”).</w:t>
      </w:r>
    </w:p>
    <w:p>
      <w:pPr>
        <w:spacing w:after="0" w:line="178"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Subject to earlier termination, the BeiGene Collaboration shall remain in effect, on a country-by-country basis, until the earlier of ten years following commercial sale or upon such time that the parties cease pursuing commercialization. Unless terminated early, at the expiration date, BeiGene will retain all licensing rights in the applicable territories. BeiGene may terminate the BeiGene Collaboration at any time after the one-year anniversary of the agreement subject to 90 days written notice, or any time subject to 45 days’ notice if it is determined that the POC Milestone of technological or scientific feasibility will not be achieved. The BeiGene Collaboration also contains customary provisions for termination by either party, including the event of breach of the BeiGene Collaboration, subject to cure.</w:t>
      </w:r>
    </w:p>
    <w:p>
      <w:pPr>
        <w:spacing w:after="0" w:line="191" w:lineRule="exact"/>
        <w:rPr>
          <w:sz w:val="20"/>
          <w:szCs w:val="20"/>
          <w:color w:val="auto"/>
        </w:rPr>
      </w:pPr>
    </w:p>
    <w:p>
      <w:pPr>
        <w:ind w:right="100" w:firstLine="509"/>
        <w:spacing w:after="0" w:line="275" w:lineRule="auto"/>
        <w:rPr>
          <w:sz w:val="20"/>
          <w:szCs w:val="20"/>
          <w:color w:val="auto"/>
        </w:rPr>
      </w:pPr>
      <w:r>
        <w:rPr>
          <w:rFonts w:ascii="Arial" w:cs="Arial" w:eastAsia="Arial" w:hAnsi="Arial"/>
          <w:sz w:val="18"/>
          <w:szCs w:val="18"/>
          <w:color w:val="auto"/>
        </w:rPr>
        <w:t>In 2019, BeiGene paid the Company an upfront non-refundable payment of $20.0 million and paid the Company $5.0 million for reimbursement of manufacturing costs. Under the BeiGene Collaboration, the Company was eligible to receive variable consideration for subsequent development and regulatory milestones globally and commercial milestones in the BeiGene Territory and tiered royalties ranging from the mid-single digits to the mid-double digits based on net sales in the BeiGene Territory.</w:t>
      </w:r>
    </w:p>
    <w:p>
      <w:pPr>
        <w:spacing w:after="0" w:line="185"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color w:val="auto"/>
        </w:rPr>
        <w:t>The Company concluded that the BeiGene Collaboration is a contract with a customer and applied relevant guidance from Topic 606 through reaching the POC milestone as the licenses to intellectual property granted to BeiGene and the obligation to perform research and development services are outputs of the Company’s ongoing activities.</w:t>
      </w:r>
    </w:p>
    <w:p>
      <w:pPr>
        <w:spacing w:after="0" w:line="183" w:lineRule="exact"/>
        <w:rPr>
          <w:sz w:val="20"/>
          <w:szCs w:val="20"/>
          <w:color w:val="auto"/>
        </w:rPr>
      </w:pPr>
    </w:p>
    <w:p>
      <w:pPr>
        <w:ind w:right="40" w:firstLine="509"/>
        <w:spacing w:after="0" w:line="359" w:lineRule="auto"/>
        <w:rPr>
          <w:sz w:val="20"/>
          <w:szCs w:val="20"/>
          <w:color w:val="auto"/>
        </w:rPr>
      </w:pPr>
      <w:r>
        <w:rPr>
          <w:rFonts w:ascii="Arial" w:cs="Arial" w:eastAsia="Arial" w:hAnsi="Arial"/>
          <w:sz w:val="16"/>
          <w:szCs w:val="16"/>
          <w:color w:val="auto"/>
        </w:rPr>
        <w:t>The Company identified material promises in the BeiGene Collaboration through POC Milestone, consisting of the licenses described above and the Development Services. It was determined that the licenses are not distinct from the development services resulting in a single performance obligation.</w:t>
      </w:r>
    </w:p>
    <w:p>
      <w:pPr>
        <w:spacing w:after="0" w:line="125" w:lineRule="exact"/>
        <w:rPr>
          <w:sz w:val="20"/>
          <w:szCs w:val="20"/>
          <w:color w:val="auto"/>
        </w:rPr>
      </w:pPr>
    </w:p>
    <w:p>
      <w:pPr>
        <w:ind w:right="20" w:firstLine="509"/>
        <w:spacing w:after="0" w:line="299" w:lineRule="auto"/>
        <w:rPr>
          <w:sz w:val="20"/>
          <w:szCs w:val="20"/>
          <w:color w:val="auto"/>
        </w:rPr>
      </w:pPr>
      <w:r>
        <w:rPr>
          <w:rFonts w:ascii="Arial" w:cs="Arial" w:eastAsia="Arial" w:hAnsi="Arial"/>
          <w:sz w:val="16"/>
          <w:szCs w:val="16"/>
          <w:color w:val="auto"/>
        </w:rPr>
        <w:t>In accordance with Topic 606, the Company determined the transaction price of the agreement is limited to the $25.0 million received, and excluded the variable consideration of expense reimbursements, milestone payments and royalties as they are fully constrained. The expense reimbursements were included in the transaction price in the reporting period the Company concluded it was probable that inclusion of such amounts in the transaction price would not result in a significant reversal in revenue recognized. As part of the Company’s evaluation of the milestone constraints, the Company determined the achievement of such milestones are contingent upon success in future developments, regulatory approvals and commercial activities which are not within its control and are uncertain at this stage. Variable consideration related to royalties will be recognized when the related sales occur.</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 w:name="page17"/>
    <w:bookmarkEnd w:id="16"/>
    <w:p>
      <w:pPr>
        <w:ind w:firstLine="509"/>
        <w:spacing w:after="0" w:line="309" w:lineRule="auto"/>
        <w:rPr>
          <w:sz w:val="20"/>
          <w:szCs w:val="20"/>
          <w:color w:val="auto"/>
        </w:rPr>
      </w:pPr>
      <w:r>
        <w:rPr>
          <w:rFonts w:ascii="Arial" w:cs="Arial" w:eastAsia="Arial" w:hAnsi="Arial"/>
          <w:sz w:val="16"/>
          <w:szCs w:val="16"/>
          <w:color w:val="auto"/>
        </w:rPr>
        <w:t>Under the terms of the Amended BeiGene Collaboration, BeiGene is generally responsible for developing BA3071 and is responsible for global regulatory filings and commercialization. Subject to the terms of the Amended BeiGene Collaboration, BeiGene holds an exclusive license with the Company to develop and manufacture the BA3071 candidate globally, and BeiGene is responsible for all costs of development, manufacturing and commercialization globally. The Amended BeiGene Collaboration provides that the Company is eligible to receive tiered royalties on sales worldwide, ranging from the high-single digits to the low twenties, of up to $225.5 million in subsequent development and regulatory milestone payments globally and commercial milestones in the BeiGene territory (reduced from $249 million under the BeiGene Collaboration), and a $5.0 million milestone payment upon the completion of the Company’s amended performance obligations, including the transfer of the master cell bank for BA3071 and other know-how.</w:t>
      </w:r>
    </w:p>
    <w:p>
      <w:pPr>
        <w:spacing w:after="0" w:line="164" w:lineRule="exact"/>
        <w:rPr>
          <w:sz w:val="20"/>
          <w:szCs w:val="20"/>
          <w:color w:val="auto"/>
        </w:rPr>
      </w:pPr>
    </w:p>
    <w:p>
      <w:pPr>
        <w:ind w:right="100" w:firstLine="509"/>
        <w:spacing w:after="0" w:line="319" w:lineRule="auto"/>
        <w:rPr>
          <w:sz w:val="20"/>
          <w:szCs w:val="20"/>
          <w:color w:val="auto"/>
        </w:rPr>
      </w:pPr>
      <w:r>
        <w:rPr>
          <w:rFonts w:ascii="Arial" w:cs="Arial" w:eastAsia="Arial" w:hAnsi="Arial"/>
          <w:sz w:val="16"/>
          <w:szCs w:val="16"/>
          <w:color w:val="auto"/>
        </w:rPr>
        <w:t>Under the Amended BeiGene Collaboration, the Company’s amended performance obligation is satisfied at a point in time determined to be when BeiGene has received the know-how and master cell bank for BA3071. Until then BeiGene cannot benefit from the ability to further develop and manufacture the BA3071 candidate. Under the original collaboration agreement, the Company recognized revenue over time using an input method based on actual costs incurred compared to estimated total costs expected to be incurred to fulfill its performance obligation to perform development services.</w:t>
      </w:r>
    </w:p>
    <w:p>
      <w:pPr>
        <w:spacing w:after="0" w:line="156" w:lineRule="exact"/>
        <w:rPr>
          <w:sz w:val="20"/>
          <w:szCs w:val="20"/>
          <w:color w:val="auto"/>
        </w:rPr>
      </w:pPr>
    </w:p>
    <w:p>
      <w:pPr>
        <w:ind w:firstLine="509"/>
        <w:spacing w:after="0" w:line="319" w:lineRule="auto"/>
        <w:rPr>
          <w:sz w:val="20"/>
          <w:szCs w:val="20"/>
          <w:color w:val="auto"/>
        </w:rPr>
      </w:pPr>
      <w:r>
        <w:rPr>
          <w:rFonts w:ascii="Arial" w:cs="Arial" w:eastAsia="Arial" w:hAnsi="Arial"/>
          <w:sz w:val="16"/>
          <w:szCs w:val="16"/>
          <w:color w:val="auto"/>
        </w:rPr>
        <w:t>For the three and nine months ended September 30, 2021, the Company did not recognize any revenue related to the collaboration agreement with BeiGene. Collaboration revenue recognized for the three and nine months ended September 30, 2020 was $0.2 million and $0.4 million, respectively. As of September 30, 2021 and December 31, 2020, the Company had $19.8 million of related deferred revenue which was classified as current. The deferred revenue is expected to be earned upon transfer of the know-how and master cell bank within the next twelve months.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Contracts</w:t>
      </w:r>
    </w:p>
    <w:p>
      <w:pPr>
        <w:spacing w:after="0" w:line="131" w:lineRule="exact"/>
        <w:rPr>
          <w:sz w:val="20"/>
          <w:szCs w:val="20"/>
          <w:color w:val="auto"/>
        </w:rPr>
      </w:pPr>
    </w:p>
    <w:p>
      <w:pPr>
        <w:ind w:right="40" w:firstLine="509"/>
        <w:spacing w:after="0" w:line="272" w:lineRule="auto"/>
        <w:rPr>
          <w:sz w:val="20"/>
          <w:szCs w:val="20"/>
          <w:color w:val="auto"/>
        </w:rPr>
      </w:pPr>
      <w:r>
        <w:rPr>
          <w:rFonts w:ascii="Arial" w:cs="Arial" w:eastAsia="Arial" w:hAnsi="Arial"/>
          <w:sz w:val="18"/>
          <w:szCs w:val="18"/>
          <w:color w:val="auto"/>
        </w:rPr>
        <w:t>Prior to developing its own programs, the Company entered into various fixed price research services contracts. In connection with these service contracts, the Company may receive future milestone payments if certain clinical, regulatory and commercialization milestones are achieved. The Company is also eligible to receive royalties based on certain product sales. The Company recognized revenue of $0 and $0.3 million, included in Collaboration and Other Revenue, for the three and nine months ended September 30, 2021, respectively, related to the achievement of a clinical milestone on a fixed price service contract.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Biotech Investment Group, LLC</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Prior to the Corporate Reorganization, Biotech Investment Group, LLC (“BIG”), was a principal owner, related party of the Company and affiliated with Biotech Investment Group II LLC (“BIG II”). Subsequent to the Corporate Reorganization, BIG is no longer a principal owner and, as a result, neither BIG nor its affiliates are related parties of the Company.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Biotech Investment Group II LLC</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the three and nine months ended September 30, 2020, the Company recognized interest expense (including amortization of debt discounts)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$2,000 and $42,000, respectively, related to an outstanding convertible promissory note payable to BIG II. The convertible promissory note payable to BIG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II was settled in connection with the Corporate Reorganization in July 2020.</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Jay Short and Carolyn Anderson Short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Promissory Notes</w:t>
      </w:r>
    </w:p>
    <w:p>
      <w:pPr>
        <w:spacing w:after="0" w:line="131" w:lineRule="exact"/>
        <w:rPr>
          <w:sz w:val="20"/>
          <w:szCs w:val="20"/>
          <w:color w:val="auto"/>
        </w:rPr>
      </w:pPr>
    </w:p>
    <w:p>
      <w:pPr>
        <w:ind w:right="200" w:firstLine="509"/>
        <w:spacing w:after="0" w:line="266" w:lineRule="auto"/>
        <w:rPr>
          <w:sz w:val="20"/>
          <w:szCs w:val="20"/>
          <w:color w:val="auto"/>
        </w:rPr>
      </w:pPr>
      <w:r>
        <w:rPr>
          <w:rFonts w:ascii="Arial" w:cs="Arial" w:eastAsia="Arial" w:hAnsi="Arial"/>
          <w:sz w:val="18"/>
          <w:szCs w:val="18"/>
          <w:color w:val="auto"/>
        </w:rPr>
        <w:t>For the three and nine months ended September 30, 2020, the Company recognized interest expense (including amortization of debt discounts) of $6,000 and $105,000 respectively, related to outstanding convertible promissory notes payable to Dr. Jay Short and Carolyn Anderson Short. The convertible promissory notes payable to Dr. Jay Short and Carolyn Anderson Short were settled in connection with the Corporate Reorganization in July 2020.</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Transition Agreement</w:t>
      </w:r>
    </w:p>
    <w:p>
      <w:pPr>
        <w:spacing w:after="0" w:line="131"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On March 18, 2021, the Company and Carolyn Anderson Short, its co-founder and former Chief of Intellectual Property &amp; Strategy, mutually agreed that Ms. Short would depart the Company on May 31, 2021 following an agreed upon transition period. The Transition Agreement provides for the following severance benefits in exchange for a release of claims by Ms. Short: (i) a lump sum payment equal to eighteen (18) months of Ms. Short’s current base salary, (ii) a payment at her targeted bonus rate for 2021, pro-rated to the separation date, and (iii) accelerated full vesting of her equity awards including 7,747 stock options and 138,461 restricted stock units. The modification of these equity awards resulted in an incremental fair value of $7.0 million which was recognized on a straight-line basis over the transition service period. For the three and nine months ended September 30, 2021, the Company recognized $0 and $1.0 million, respectively, related to the lump sum salary payment and target bonus. The Company also recognized non-cash stock-based compensation charges of $0 and $9.4 million related to the modified equity awards for the three and nine months ended September 30, 2021, respectively. No unrecognized stock-based compensation remained as of September 30, 2021.</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of Common Stock</w:t>
      </w:r>
    </w:p>
    <w:p>
      <w:pPr>
        <w:spacing w:after="0" w:line="131" w:lineRule="exact"/>
        <w:rPr>
          <w:sz w:val="20"/>
          <w:szCs w:val="20"/>
          <w:color w:val="auto"/>
        </w:rPr>
      </w:pPr>
    </w:p>
    <w:p>
      <w:pPr>
        <w:ind w:right="240" w:firstLine="509"/>
        <w:spacing w:after="0" w:line="293" w:lineRule="auto"/>
        <w:rPr>
          <w:sz w:val="20"/>
          <w:szCs w:val="20"/>
          <w:color w:val="auto"/>
        </w:rPr>
      </w:pPr>
      <w:r>
        <w:rPr>
          <w:rFonts w:ascii="Arial" w:cs="Arial" w:eastAsia="Arial" w:hAnsi="Arial"/>
          <w:sz w:val="18"/>
          <w:szCs w:val="18"/>
          <w:color w:val="auto"/>
        </w:rPr>
        <w:t>As part of the September 2021 Private Placement, the Company issued 625,000 shares of common stock for total net proceeds of $17.5 million to certain stockholders considered to be related parties.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401(k) Plan</w:t>
      </w:r>
    </w:p>
    <w:p>
      <w:pPr>
        <w:spacing w:after="0" w:line="135" w:lineRule="exact"/>
        <w:rPr>
          <w:sz w:val="20"/>
          <w:szCs w:val="20"/>
          <w:color w:val="auto"/>
        </w:rPr>
      </w:pPr>
    </w:p>
    <w:p>
      <w:pPr>
        <w:ind w:right="420" w:firstLine="509"/>
        <w:spacing w:after="0" w:line="266" w:lineRule="auto"/>
        <w:rPr>
          <w:sz w:val="20"/>
          <w:szCs w:val="20"/>
          <w:color w:val="auto"/>
        </w:rPr>
      </w:pPr>
      <w:r>
        <w:rPr>
          <w:rFonts w:ascii="Arial" w:cs="Arial" w:eastAsia="Arial" w:hAnsi="Arial"/>
          <w:sz w:val="18"/>
          <w:szCs w:val="18"/>
          <w:color w:val="auto"/>
        </w:rPr>
        <w:t>The Company maintains a defined contribution 401(k) plan available to eligible employees. Employee contributions are voluntary and are determined on an individual basis, limited to the maximum amount allowable under federal tax regulations. The Company, at its discretion, may make certain matching contributions to the 401(k) plan. As of September 30, 2021 and December 31, 2020, the Company had not made any matching contributions.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5"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i w:val="1"/>
          <w:iCs w:val="1"/>
          <w:color w:val="auto"/>
        </w:rPr>
        <w:t>You should read the following discussion and analysis together with our unaudited financial statements and notes thereto included in “Item 1. Financial Statements” of this Quarterly Report on Form 10-Q and the audited financial statements and notes thereto as of and for the year ended December 31, 2020 included in the Annual Report on Form 10-K, filed with the Securities and Exchange Commission, or the SEC, on March 24, 2021. In addition to historical information, this Quarterly Report contains forward-looking statements that involve risks, uncertainties, and assumptions. Our actual results may differ materially from those anticipated in these forward-looking statements as a result of certain factors, including but not limited to those set forth under the caption “Risk Factors” in the Annual Report, and the caption “Risk Factors” in this Quarterly Report, as updated by our subsequent filings under the Securities Exchange Act of 1934, as amended, or the Exchange Act. Furthermore, past operating results are not necessarily indicative of results that may occur in future periods.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right="40" w:firstLine="509"/>
        <w:spacing w:after="0" w:line="288" w:lineRule="auto"/>
        <w:rPr>
          <w:sz w:val="20"/>
          <w:szCs w:val="20"/>
          <w:color w:val="auto"/>
        </w:rPr>
      </w:pPr>
      <w:r>
        <w:rPr>
          <w:rFonts w:ascii="Arial" w:cs="Arial" w:eastAsia="Arial" w:hAnsi="Arial"/>
          <w:sz w:val="17"/>
          <w:szCs w:val="17"/>
          <w:color w:val="auto"/>
        </w:rPr>
        <w:t>We are a phase 2 clinical-stage biopharmaceutical company developing our novel class of highly specific and selective antibody-based therapeutics for the treatment of solid tumor cancer. Our CABs capitalize on our proprietary discoveries with respect to tumor biology, enabling us to target known and widely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tumor cells under acidic pH conditions but not on targets in normal tissues. Our approach is to identify the necessary targeting and potency required for cancer cell destruction, while aiming to eliminate or greatly reduce on-target, off-tumor toxicity—one of the fundamental challenges of existing cancer therapies.</w:t>
      </w:r>
    </w:p>
    <w:p>
      <w:pPr>
        <w:spacing w:after="0" w:line="181"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We are a United States-based company with research facilities in San Diego, California and, through our contractual relationship with BioDuro, a provider of preclinical development services, in Beijing, China.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BA3011 and BA3021,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Since 2014, such research and development activities have exclusively related to the research, development, manufacture and Phase 1 and Phase 2 clinical testing of our CAB antibody-based product candidates and the strengthening of our proprietary CAB technology platform and pipeline. We do not have any products approved for sale, and we have not generated any revenue from product sales.</w:t>
      </w:r>
    </w:p>
    <w:p>
      <w:pPr>
        <w:spacing w:after="0" w:line="178" w:lineRule="exact"/>
        <w:rPr>
          <w:sz w:val="20"/>
          <w:szCs w:val="20"/>
          <w:color w:val="auto"/>
        </w:rPr>
      </w:pPr>
    </w:p>
    <w:p>
      <w:pPr>
        <w:ind w:right="120" w:firstLine="509"/>
        <w:spacing w:after="0" w:line="269" w:lineRule="auto"/>
        <w:rPr>
          <w:sz w:val="20"/>
          <w:szCs w:val="20"/>
          <w:color w:val="auto"/>
        </w:rPr>
      </w:pPr>
      <w:r>
        <w:rPr>
          <w:rFonts w:ascii="Arial" w:cs="Arial" w:eastAsia="Arial" w:hAnsi="Arial"/>
          <w:sz w:val="18"/>
          <w:szCs w:val="18"/>
          <w:color w:val="auto"/>
        </w:rPr>
        <w:t>In July 2020, BioAtla, LLC completed a series of transactions, or the Corporate Reorganization, in connection with which it converted from a limited liability company into a Delaware corporation, spun-off Himalaya Therapeutics SEZC, and completed a Series D convertible preferred stock financing. Following the Corporate Reorganization, BioAtla, Inc. continued to hold all operations, employees, property and assets of BioAtla, LLC (excluding Himalaya Therapeutics SEZC) and assumed all of the obligations of BioAtla, LLC (exclusive of the profits interest liability related to awards granted under BioAtla, LLC’s profits interest plan). In addition, following the Corporate Reorganization, BioAtla, Inc. is a single legal entity with no consolidated variable interest entities, or VIEs, or subsidiaries. The condensed consolidated financial statements discussed in this section and included in Item 1 of this Quarterly Report on Form 10-Q are those of BioAtla, LLC and its consolidated subsidiaries prior to the Corporate Reorganization and those of BioAtla, Inc. subsequent to the Corporate Reorganization.</w:t>
      </w:r>
    </w:p>
    <w:p>
      <w:pPr>
        <w:spacing w:after="0" w:line="196"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We have incurred significant losses to date. Our ability to generate product revenue sufficient to achieve profitability will depend on the successful development and eventual commercialization of one or more of our current and future product candidates. Our net loss was $22.9 million and $72.0 million for the three and nine months ended September 30, 2021, respectively. As of September 30, 2021, we had an accumulated deficit of $162.9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conducting preclinical studies and clinical trials, and the regulatory approval process for our product candidates. We expect our expenses, and the potential for losses, to increase substantially as we conduct clinical trials of our lead product candidates and seek to expand our pipeline.</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our expenses and capital requirements will increase substantially in connection with our ongoing activities as we: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advance the clinical development of BA3011;</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advance the clinical development of BA3021;</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advance the clinical development of BA3071;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9" w:name="page20"/>
    <w:bookmarkEnd w:id="19"/>
    <w:p>
      <w:pPr>
        <w:ind w:left="960"/>
        <w:spacing w:after="0"/>
        <w:rPr>
          <w:sz w:val="20"/>
          <w:szCs w:val="20"/>
          <w:color w:val="auto"/>
        </w:rPr>
      </w:pPr>
      <w:r>
        <w:rPr>
          <w:rFonts w:ascii="Arial" w:cs="Arial" w:eastAsia="Arial" w:hAnsi="Arial"/>
          <w:sz w:val="18"/>
          <w:szCs w:val="18"/>
          <w:color w:val="auto"/>
        </w:rPr>
        <w:t>expand our pipeline of bispecific and other CAB antibody-based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continue to invest in our CAB technology platform;</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maintain, protect and expand our intellectual property portfolio, including patents, trade secrets and know-how;</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seek marketing approvals for any product candidates that successfully complete clinical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establish additional product collaborations and commercial manufacturing relationships with third parties;</w:t>
      </w:r>
    </w:p>
    <w:p>
      <w:pPr>
        <w:spacing w:after="0" w:line="131" w:lineRule="exact"/>
        <w:rPr>
          <w:sz w:val="20"/>
          <w:szCs w:val="20"/>
          <w:color w:val="auto"/>
        </w:rPr>
      </w:pPr>
    </w:p>
    <w:p>
      <w:pPr>
        <w:ind w:left="960" w:right="260"/>
        <w:spacing w:after="0" w:line="293" w:lineRule="auto"/>
        <w:rPr>
          <w:sz w:val="20"/>
          <w:szCs w:val="20"/>
          <w:color w:val="auto"/>
        </w:rPr>
      </w:pPr>
      <w:r>
        <w:rPr>
          <w:rFonts w:ascii="Arial" w:cs="Arial" w:eastAsia="Arial" w:hAnsi="Arial"/>
          <w:sz w:val="18"/>
          <w:szCs w:val="18"/>
          <w:color w:val="auto"/>
        </w:rPr>
        <w:t>build sales, marketing and distribution infrastructure and relationships with third parties to commercialize product candidates for which we may obtain marketing approval;</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continue to expand our operational, financial and management information systems;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attract, hire and retain additional clinical, scientific, management, administrative and commercial personnel.</w:t>
      </w:r>
    </w:p>
    <w:p>
      <w:pPr>
        <w:spacing w:after="0" w:line="239" w:lineRule="exact"/>
        <w:rPr>
          <w:sz w:val="20"/>
          <w:szCs w:val="20"/>
          <w:color w:val="auto"/>
        </w:rPr>
      </w:pPr>
    </w:p>
    <w:p>
      <w:pPr>
        <w:ind w:right="160" w:firstLine="509"/>
        <w:spacing w:after="0" w:line="324" w:lineRule="auto"/>
        <w:rPr>
          <w:sz w:val="20"/>
          <w:szCs w:val="20"/>
          <w:color w:val="auto"/>
        </w:rPr>
      </w:pPr>
      <w:r>
        <w:rPr>
          <w:rFonts w:ascii="Arial" w:cs="Arial" w:eastAsia="Arial" w:hAnsi="Arial"/>
          <w:sz w:val="17"/>
          <w:szCs w:val="17"/>
          <w:color w:val="auto"/>
        </w:rPr>
        <w:t>Furthermore, we expect to incur additional costs associated with operating as a public company, including significant legal, accounting, insurance, investor relations and other administrative and professional services expenses that we did not incur as a private company.</w:t>
      </w:r>
    </w:p>
    <w:p>
      <w:pPr>
        <w:spacing w:after="0" w:line="147"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As a result, we will require substantial additional capital to develop our product candidates and fund operations for the foreseeable future. Until such time as we can generate significant revenue from product sales, if ever, we expect to finance our operations through a combination of public or private equity offerings, debt financings, collaborations and other similar arrangements.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91" w:lineRule="exact"/>
        <w:rPr>
          <w:sz w:val="20"/>
          <w:szCs w:val="20"/>
          <w:color w:val="auto"/>
        </w:rPr>
      </w:pPr>
    </w:p>
    <w:p>
      <w:pPr>
        <w:ind w:right="80" w:firstLine="509"/>
        <w:spacing w:after="0" w:line="272"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accurately predict the timing or amount of increased expenses or when, or if, we will be able to achieve profitability. Even if we do achieve profitability, we may not be able to sustain or increase profitability on a quarterly or annual basis. If we fail to become profitable or are unable to sustain profitability on a continuing basis, then we may be unable to raise capital, maintain our research and development efforts, expand our business or continue our operations at planned levels, and as a result we may be forced to substantially reduce or terminate our operations.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Through the date of our initial public offering, or IPO, in December 2020, we had funded our operations primarily through the receipt of $71.0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million from our collaboration agreements, $27.6 million from the issuance of convertible debt and $138.3 million from the issuance of equity securities.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2020, we completed our IPO in which we sold 12,075,000 shares of our common stock at the IPO price to the public of $18.00 per share, which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included the exercise in full of the underwriters’ option to purchase additional shares, for aggregate cash proceeds of $217.4 million. We incurred $19.0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million of issuance costs in connection with our IPO. Upon the closing of our IPO, all outstanding shares of our convertible preferred stock converted into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13,876,510 shares of our common stock and 1,492,059 shares of our Class B common stock. In September 2021, we received $71.0 million, net of issuance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costs, from a private investment in public equity, or PIPE, financing. As of September 30, 2021, our cash and cash equivalents totaled approximately</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$269.9 million. Based on our current operating plan, our current cash and cash equivalents are expected to be sufficient to fund our ongoing operations into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first half of 2024. However, we have based this estimate on assumptions that may prove to be wrong, and we could utilize our available capital</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resources sooner than we currently expect.</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135" w:lineRule="exact"/>
        <w:rPr>
          <w:sz w:val="20"/>
          <w:szCs w:val="20"/>
          <w:color w:val="auto"/>
        </w:rPr>
      </w:pPr>
    </w:p>
    <w:p>
      <w:pPr>
        <w:ind w:right="20" w:firstLine="509"/>
        <w:spacing w:after="0" w:line="299" w:lineRule="auto"/>
        <w:rPr>
          <w:sz w:val="20"/>
          <w:szCs w:val="20"/>
          <w:color w:val="auto"/>
        </w:rPr>
      </w:pPr>
      <w:r>
        <w:rPr>
          <w:rFonts w:ascii="Arial" w:cs="Arial" w:eastAsia="Arial" w:hAnsi="Arial"/>
          <w:sz w:val="16"/>
          <w:szCs w:val="16"/>
          <w:color w:val="auto"/>
        </w:rPr>
        <w:t>On March 11, 2020, the World Health Organization declared the outbreak of COVID-19 caused by a novel strain of coronavirus as a pandemic, which continues to spread throughout the United States and around the world. The worldwide COVID-19 pandemic may affect our ability to complete our current preclinical studies and clinical trials, initiate and complete our planned preclinical studies and clinical trials, disrupt regulatory activities or have other adverse effects on our business, results of operations, financial condition and prospects. In addition, the pandemic has caused substantial disruption in the financial markets and may adversely impact economies worldwide, both of which could adversely affect our business, operations and ability to raise funds to support our operations. To date, we have experienced non-material business disruptions, including with respect to clinical trials we are conducting, or impairments of our assets as a result of the pandemic. Our Phase 2 sarcoma trial remains on schedule and the Phase 2 interim analysis for AXL NSCLC and ROR2 studies have experienced some modest delays in patient initiations due to COVID-19, however, overall timelines for study completion have not changed at this time. We are following, and plan to continue to follow, recommendations from federal, state and local governments regarding workplace policies, practices and procedures. In March 2020, we implemented a remote working policy for many of our employees, began restricting non-essential travel and temporarily reduced salaries of our employees from March 2020 to July 2020. We are complying with all applicable guidelines for our clinical trials, including remote clinical monitoring. In April 2020, we borrowed $0.7 million under the Paycheck Protection Program under the CARES Act and we submitted an application for loan forgiveness in June 2021. We were subsequently notified on July 2, 2021 that</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0" w:name="page21"/>
    <w:bookmarkEnd w:id="20"/>
    <w:p>
      <w:pPr>
        <w:ind w:right="360"/>
        <w:spacing w:after="0" w:line="275" w:lineRule="auto"/>
        <w:rPr>
          <w:sz w:val="20"/>
          <w:szCs w:val="20"/>
          <w:color w:val="auto"/>
        </w:rPr>
      </w:pPr>
      <w:r>
        <w:rPr>
          <w:rFonts w:ascii="Arial" w:cs="Arial" w:eastAsia="Arial" w:hAnsi="Arial"/>
          <w:sz w:val="18"/>
          <w:szCs w:val="18"/>
          <w:color w:val="auto"/>
        </w:rPr>
        <w:t>the U.S. Small Business Association approved our application for loan forgiveness for the full amount of the PPP Loan outstanding, resulting in the recognition of $0.7 million to other income for the three months ended September 30, 2021. The PPP loan is discussed further under “—Liquidity and capital resources.” We are continuing to monitor the potential impact of the pandemic, but we cannot be certain what the overall impact will be on our business, financial condition, results of operations and prospects.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To date, we have not generated any revenue from the sale of products and do not expect to generate meaningful revenue in the near future.</w:t>
      </w:r>
    </w:p>
    <w:p>
      <w:pPr>
        <w:spacing w:after="0" w:line="250" w:lineRule="exact"/>
        <w:rPr>
          <w:sz w:val="20"/>
          <w:szCs w:val="20"/>
          <w:color w:val="auto"/>
        </w:rPr>
      </w:pPr>
    </w:p>
    <w:p>
      <w:pPr>
        <w:ind w:firstLine="509"/>
        <w:spacing w:after="0" w:line="284" w:lineRule="auto"/>
        <w:rPr>
          <w:sz w:val="20"/>
          <w:szCs w:val="20"/>
          <w:color w:val="auto"/>
        </w:rPr>
      </w:pPr>
      <w:r>
        <w:rPr>
          <w:rFonts w:ascii="Arial" w:cs="Arial" w:eastAsia="Arial" w:hAnsi="Arial"/>
          <w:sz w:val="17"/>
          <w:szCs w:val="17"/>
          <w:color w:val="auto"/>
        </w:rPr>
        <w:t>In April 2019, we entered into a Global Co-Development and Collaboration Agreement with BeiGene, Ltd. which, as amended in December 2019, and October 2020, provides for the development, manufacturing and commercialization of BA3071. Under the terms of our BeiGene collaboration, BeiGene is generally responsible for developing BA3071 and is responsible for global regulatory filings and commercialization. Subject to the terms of the agreement, BeiGene holds an exclusive license with us to develop and manufacture the product candidate globally. BeiGene is responsible for all costs of development, manufacturing and commercialization globally. At the time of execution of the BeiGene collaboration, we received a $20.0 million upfront payment and in December 2019, we received an additional $5.0 million for the reimbursement of manufacturing costs. We are eligible to receive up to $225.5 million in subsequent development and regulatory milestones globally and commercial milestones in the BeiGene territory, together with tiered royalties, ranging from the high-single digits to the low twenties, on sales worldwide. Pursuant to the terms of the October 2020 amendment, we agreed to transfer certain know-how and materials to BeiGene related to the manufacture of BA3071. We are currently in advanced discussions with BeiGene regarding the allocation of roles and responsibilities for global development and commercialization of BA3071 under our Global Co-Development and Collaboration Agreement with BeiGene. As part of these ongoing discussions, BeiGene is planning to initiate the transfer of the IND for BA3071 to BioAtla and BioAtla anticipates initiating the Phase I trial for BA3071 during 2021, with dosing commencing in the first half of 2022. In addition, we may in the future seek third-party collaborators or joint venture partners for development and commercialization of additional CAB product candidates. For the three and nine months ended September 30, 2020 we recognized $0.2 million and $0.4 million of revenue from our collaboration with BeiGene, respectively.</w:t>
      </w:r>
    </w:p>
    <w:p>
      <w:pPr>
        <w:spacing w:after="0" w:line="189" w:lineRule="exact"/>
        <w:rPr>
          <w:sz w:val="20"/>
          <w:szCs w:val="20"/>
          <w:color w:val="auto"/>
        </w:rPr>
      </w:pPr>
    </w:p>
    <w:p>
      <w:pPr>
        <w:jc w:val="both"/>
        <w:ind w:right="280" w:firstLine="509"/>
        <w:spacing w:after="0" w:line="279" w:lineRule="auto"/>
        <w:rPr>
          <w:sz w:val="20"/>
          <w:szCs w:val="20"/>
          <w:color w:val="auto"/>
        </w:rPr>
      </w:pPr>
      <w:r>
        <w:rPr>
          <w:rFonts w:ascii="Arial" w:cs="Arial" w:eastAsia="Arial" w:hAnsi="Arial"/>
          <w:sz w:val="18"/>
          <w:szCs w:val="18"/>
          <w:color w:val="auto"/>
        </w:rPr>
        <w:t>Prior to developing our own programs, the Company received revenue from services performed under fixed price service contracts that, in some cases, provided for potential milestone and royalty payments to us. We recognized $0 and $0.3 million in collaboration revenues for the three and nine months ended September 30, 2021 from our legacy service contracts.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consist primarily of costs incurred in the discovery and development of our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External expenses consist of:</w:t>
      </w:r>
    </w:p>
    <w:p>
      <w:pPr>
        <w:spacing w:after="0" w:line="131" w:lineRule="exact"/>
        <w:rPr>
          <w:sz w:val="20"/>
          <w:szCs w:val="20"/>
          <w:color w:val="auto"/>
        </w:rPr>
      </w:pPr>
    </w:p>
    <w:p>
      <w:pPr>
        <w:ind w:left="1340" w:right="60"/>
        <w:spacing w:after="0" w:line="293" w:lineRule="auto"/>
        <w:rPr>
          <w:sz w:val="20"/>
          <w:szCs w:val="20"/>
          <w:color w:val="auto"/>
        </w:rPr>
      </w:pPr>
      <w:r>
        <w:rPr>
          <w:rFonts w:ascii="Arial" w:cs="Arial" w:eastAsia="Arial" w:hAnsi="Arial"/>
          <w:sz w:val="18"/>
          <w:szCs w:val="18"/>
          <w:color w:val="auto"/>
        </w:rPr>
        <w:t>Fees paid to third parties such as contractors, clinical research organizations (CROs) and consultants, including through our relationship with BioDuro, and other costs related to preclinical and clinical trials;</w:t>
      </w:r>
    </w:p>
    <w:p>
      <w:pPr>
        <w:spacing w:after="0" w:line="62" w:lineRule="exact"/>
        <w:rPr>
          <w:sz w:val="20"/>
          <w:szCs w:val="20"/>
          <w:color w:val="auto"/>
        </w:rPr>
      </w:pPr>
    </w:p>
    <w:p>
      <w:pPr>
        <w:ind w:left="1340" w:right="500"/>
        <w:spacing w:after="0" w:line="293" w:lineRule="auto"/>
        <w:rPr>
          <w:sz w:val="20"/>
          <w:szCs w:val="20"/>
          <w:color w:val="auto"/>
        </w:rPr>
      </w:pPr>
      <w:r>
        <w:rPr>
          <w:rFonts w:ascii="Arial" w:cs="Arial" w:eastAsia="Arial" w:hAnsi="Arial"/>
          <w:sz w:val="18"/>
          <w:szCs w:val="18"/>
          <w:color w:val="auto"/>
        </w:rPr>
        <w:t>Fees paid to third parties such as contract manufacturing organizations (CMOs) and other vendors for manufacturing research and clinical trial materials; and</w:t>
      </w:r>
    </w:p>
    <w:p>
      <w:pPr>
        <w:spacing w:after="0" w:line="6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Expenses related to laboratory supplies and services.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Unallocated expenses consist of:</w:t>
      </w:r>
    </w:p>
    <w:p>
      <w:pPr>
        <w:spacing w:after="0" w:line="131" w:lineRule="exact"/>
        <w:rPr>
          <w:sz w:val="20"/>
          <w:szCs w:val="20"/>
          <w:color w:val="auto"/>
        </w:rPr>
      </w:pPr>
    </w:p>
    <w:p>
      <w:pPr>
        <w:ind w:left="1340" w:right="420"/>
        <w:spacing w:after="0" w:line="293" w:lineRule="auto"/>
        <w:rPr>
          <w:sz w:val="20"/>
          <w:szCs w:val="20"/>
          <w:color w:val="auto"/>
        </w:rPr>
      </w:pPr>
      <w:r>
        <w:rPr>
          <w:rFonts w:ascii="Arial" w:cs="Arial" w:eastAsia="Arial" w:hAnsi="Arial"/>
          <w:sz w:val="18"/>
          <w:szCs w:val="18"/>
          <w:color w:val="auto"/>
        </w:rPr>
        <w:t>Personnel-related expenses, including salaries, benefits and equity-based compensation expenses, for personnel in our research and development functions; and</w:t>
      </w:r>
    </w:p>
    <w:p>
      <w:pPr>
        <w:spacing w:after="0" w:line="6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Related equipment and facilities depreciation expenses.</w:t>
      </w:r>
    </w:p>
    <w:p>
      <w:pPr>
        <w:spacing w:after="0" w:line="239"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color w:val="auto"/>
        </w:rPr>
        <w:t>We expense research and development costs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services are performed.</w:t>
      </w:r>
    </w:p>
    <w:p>
      <w:pPr>
        <w:spacing w:after="0" w:line="183" w:lineRule="exact"/>
        <w:rPr>
          <w:sz w:val="20"/>
          <w:szCs w:val="20"/>
          <w:color w:val="auto"/>
        </w:rPr>
      </w:pPr>
    </w:p>
    <w:p>
      <w:pPr>
        <w:ind w:right="480" w:firstLine="509"/>
        <w:spacing w:after="0" w:line="282" w:lineRule="auto"/>
        <w:rPr>
          <w:sz w:val="20"/>
          <w:szCs w:val="20"/>
          <w:color w:val="auto"/>
        </w:rPr>
      </w:pPr>
      <w:r>
        <w:rPr>
          <w:rFonts w:ascii="Arial" w:cs="Arial" w:eastAsia="Arial" w:hAnsi="Arial"/>
          <w:sz w:val="17"/>
          <w:szCs w:val="17"/>
          <w:color w:val="auto"/>
        </w:rPr>
        <w:t>We expect our research and development expenses to increase substantially for the foreseeable future as we continue to invest in research and development activities to advance our product candidates and our clinical programs and expand our product candidate</w:t>
      </w: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21" w:name="page22"/>
    <w:bookmarkEnd w:id="21"/>
    <w:p>
      <w:pPr>
        <w:ind w:right="100"/>
        <w:spacing w:after="0" w:line="308" w:lineRule="auto"/>
        <w:rPr>
          <w:sz w:val="20"/>
          <w:szCs w:val="20"/>
          <w:color w:val="auto"/>
        </w:rPr>
      </w:pPr>
      <w:r>
        <w:rPr>
          <w:rFonts w:ascii="Arial" w:cs="Arial" w:eastAsia="Arial" w:hAnsi="Arial"/>
          <w:sz w:val="16"/>
          <w:szCs w:val="16"/>
          <w:color w:val="auto"/>
        </w:rPr>
        <w:t>pipeline. The process of conducting the necessary preclinical and clinical research to obtain regulatory approval is costly and time-consuming.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 The actual probability of success for our product candidates may be affected by a variety of factors, including the safety and efficacy of our product candidates, the quality and consistency in their manufacture, investment in our clinical programs and competition with other products. As a result of these variables, we are unable to determine the duration and completion costs of our research and development projects and programs or when and to what extent we will generate revenue from the commercialization and sale of our product candidates. We may never succeed in achieving regulatory approval for any of our product candidates.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31" w:lineRule="exact"/>
        <w:rPr>
          <w:sz w:val="20"/>
          <w:szCs w:val="20"/>
          <w:color w:val="auto"/>
        </w:rPr>
      </w:pPr>
    </w:p>
    <w:p>
      <w:pPr>
        <w:ind w:right="20" w:firstLine="509"/>
        <w:spacing w:after="0" w:line="299" w:lineRule="auto"/>
        <w:rPr>
          <w:sz w:val="20"/>
          <w:szCs w:val="20"/>
          <w:color w:val="auto"/>
        </w:rPr>
      </w:pPr>
      <w:r>
        <w:rPr>
          <w:rFonts w:ascii="Arial" w:cs="Arial" w:eastAsia="Arial" w:hAnsi="Arial"/>
          <w:sz w:val="16"/>
          <w:szCs w:val="16"/>
          <w:color w:val="auto"/>
        </w:rPr>
        <w:t>Our general and administrative expenses consist primarily of personnel-related expenses for personnel in our executive, finance, corporate and other administrative functions, intellectual property and patent costs, facilities and other allocated expenses, other expenses for outside professional services, including legal, human resources, audit and accounting services and insurance costs. Personnel-related expenses consist of salaries, benefits and equity-based compensation. We expect our general and administrative expenses to increase as a result of operating as a public company, including additional costs</w:t>
      </w:r>
    </w:p>
    <w:p>
      <w:pPr>
        <w:spacing w:after="0" w:line="2" w:lineRule="exact"/>
        <w:rPr>
          <w:sz w:val="20"/>
          <w:szCs w:val="20"/>
          <w:color w:val="auto"/>
        </w:rPr>
      </w:pPr>
    </w:p>
    <w:p>
      <w:pPr>
        <w:ind w:right="120" w:firstLine="8"/>
        <w:spacing w:after="0" w:line="279"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comply with the rules and regulations of the SEC and those of The Nasdaq Global Market, (ii) for legal and auditing services, (iii) for additional insurance, (iv) for investor relations activities and (v) for other administrative and professional services. We also expect our intellectual property expenses to increase as we expand our intellectual property portfolio.</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31" w:lineRule="exact"/>
        <w:rPr>
          <w:sz w:val="20"/>
          <w:szCs w:val="20"/>
          <w:color w:val="auto"/>
        </w:rPr>
      </w:pPr>
    </w:p>
    <w:p>
      <w:pPr>
        <w:ind w:right="160" w:firstLine="509"/>
        <w:spacing w:after="0" w:line="293" w:lineRule="auto"/>
        <w:rPr>
          <w:sz w:val="20"/>
          <w:szCs w:val="20"/>
          <w:color w:val="auto"/>
        </w:rPr>
      </w:pPr>
      <w:r>
        <w:rPr>
          <w:rFonts w:ascii="Arial" w:cs="Arial" w:eastAsia="Arial" w:hAnsi="Arial"/>
          <w:sz w:val="18"/>
          <w:szCs w:val="18"/>
          <w:color w:val="auto"/>
        </w:rPr>
        <w:t>Interest income consists primarily of interest earned on our cash and cash equivalent balances. Our interest income has not been significant to date and we do not expect any material changes.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31"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Interest expense consists primarily of interest incurred on our outstanding convertible debt, including coupon interest and the amortization of debt discounts, including those related to beneficial conversion features and embedded derivatives. Our interest expense declined subsequent to the settlement of our outstanding convertible debt in July 2020 and the forgiveness of our PPP loan in July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Derivative Liability</w:t>
      </w:r>
    </w:p>
    <w:p>
      <w:pPr>
        <w:spacing w:after="0" w:line="131" w:lineRule="exact"/>
        <w:rPr>
          <w:sz w:val="20"/>
          <w:szCs w:val="20"/>
          <w:color w:val="auto"/>
        </w:rPr>
      </w:pPr>
    </w:p>
    <w:p>
      <w:pPr>
        <w:ind w:right="80" w:firstLine="509"/>
        <w:spacing w:after="0" w:line="281" w:lineRule="auto"/>
        <w:rPr>
          <w:sz w:val="20"/>
          <w:szCs w:val="20"/>
          <w:color w:val="auto"/>
        </w:rPr>
      </w:pPr>
      <w:r>
        <w:rPr>
          <w:rFonts w:ascii="Arial" w:cs="Arial" w:eastAsia="Arial" w:hAnsi="Arial"/>
          <w:sz w:val="17"/>
          <w:szCs w:val="17"/>
          <w:color w:val="auto"/>
        </w:rPr>
        <w:t>The convertible promissory notes we issued during 2019 and 2020 contained redemption features which we determined were embedded derivatives to be recognized as liabilities and measured at fair value. At the end of each reporting period, changes in the estimated fair value during the period were recorded as a change in the fair value of derivative liability. The embedded derivative liability was recorded at fair value utilizing an income approach that identified the cash flows using a “with-and without” valuation methodology. The inputs used to determine the estimated fair value of the derivative instrument were based primarily on the probability of an underlying event triggering the embedded derivative occurring and the timing of such event. We will no longer record changes in the fair value of the derivative liability subsequent to the settlement of the derivative liability in connection with the conversion of our outstanding convertible debt in July 2020.</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2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4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14"/>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Change</w:t>
            </w:r>
          </w:p>
        </w:tc>
      </w:tr>
      <w:tr>
        <w:trPr>
          <w:trHeight w:val="197"/>
        </w:trPr>
        <w:tc>
          <w:tcPr>
            <w:tcW w:w="4900" w:type="dxa"/>
            <w:vAlign w:val="bottom"/>
          </w:tcPr>
          <w:p>
            <w:pPr>
              <w:spacing w:after="0"/>
              <w:rPr>
                <w:sz w:val="20"/>
                <w:szCs w:val="20"/>
                <w:color w:val="auto"/>
              </w:rPr>
            </w:pPr>
            <w:r>
              <w:rPr>
                <w:rFonts w:ascii="Arial" w:cs="Arial" w:eastAsia="Arial" w:hAnsi="Arial"/>
                <w:sz w:val="14"/>
                <w:szCs w:val="14"/>
                <w:color w:val="auto"/>
              </w:rPr>
              <w:t>(in thousands)</w:t>
            </w: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62"/>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gridSpan w:val="3"/>
            <w:shd w:val="clear" w:color="auto" w:fill="CFF0FC"/>
          </w:tcPr>
          <w:p>
            <w:pPr>
              <w:ind w:left="72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(150 )</w:t>
            </w:r>
          </w:p>
        </w:tc>
      </w:tr>
      <w:tr>
        <w:trPr>
          <w:trHeight w:val="250"/>
        </w:trPr>
        <w:tc>
          <w:tcPr>
            <w:tcW w:w="490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16,553</w:t>
            </w:r>
          </w:p>
        </w:tc>
        <w:tc>
          <w:tcPr>
            <w:tcW w:w="2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4,864</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11,689</w:t>
            </w: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7,142</w:t>
            </w:r>
          </w:p>
        </w:tc>
        <w:tc>
          <w:tcPr>
            <w:tcW w:w="2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3,841</w:t>
            </w:r>
          </w:p>
        </w:tc>
        <w:tc>
          <w:tcPr>
            <w:tcW w:w="100" w:type="dxa"/>
            <w:vAlign w:val="bottom"/>
          </w:tcPr>
          <w:p>
            <w:pPr>
              <w:spacing w:after="0"/>
              <w:rPr>
                <w:sz w:val="21"/>
                <w:szCs w:val="21"/>
                <w:color w:val="auto"/>
              </w:rPr>
            </w:pPr>
          </w:p>
        </w:tc>
      </w:tr>
      <w:tr>
        <w:trPr>
          <w:trHeight w:val="250"/>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23,695</w:t>
            </w:r>
          </w:p>
        </w:tc>
        <w:tc>
          <w:tcPr>
            <w:tcW w:w="2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8,165</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(23,695 )</w:t>
            </w:r>
          </w:p>
        </w:tc>
        <w:tc>
          <w:tcPr>
            <w:tcW w:w="3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(8,015 )</w:t>
            </w:r>
          </w:p>
        </w:tc>
        <w:tc>
          <w:tcPr>
            <w:tcW w:w="22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(15,680 )</w:t>
            </w:r>
          </w:p>
        </w:tc>
      </w:tr>
      <w:tr>
        <w:trPr>
          <w:trHeight w:val="26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r>
      <w:tr>
        <w:trPr>
          <w:trHeight w:val="263"/>
        </w:trPr>
        <w:tc>
          <w:tcPr>
            <w:tcW w:w="4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spacing w:after="0"/>
              <w:rPr>
                <w:sz w:val="22"/>
                <w:szCs w:val="22"/>
                <w:color w:val="auto"/>
              </w:rPr>
            </w:pPr>
          </w:p>
        </w:tc>
        <w:tc>
          <w:tcPr>
            <w:tcW w:w="1500" w:type="dxa"/>
            <w:vAlign w:val="bottom"/>
            <w:gridSpan w:val="3"/>
            <w:shd w:val="clear" w:color="auto" w:fill="CFF0FC"/>
          </w:tcPr>
          <w:p>
            <w:pPr>
              <w:jc w:val="right"/>
              <w:ind w:right="6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(86 )</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180"/>
              <w:spacing w:after="0"/>
              <w:rPr>
                <w:sz w:val="20"/>
                <w:szCs w:val="20"/>
                <w:color w:val="auto"/>
              </w:rPr>
            </w:pPr>
            <w:r>
              <w:rPr>
                <w:rFonts w:ascii="Arial" w:cs="Arial" w:eastAsia="Arial" w:hAnsi="Arial"/>
                <w:sz w:val="18"/>
                <w:szCs w:val="18"/>
                <w:color w:val="auto"/>
              </w:rPr>
              <w:t>Change in fair value of derivative liability</w:t>
            </w:r>
          </w:p>
        </w:tc>
        <w:tc>
          <w:tcPr>
            <w:tcW w:w="280" w:type="dxa"/>
            <w:vAlign w:val="bottom"/>
          </w:tcPr>
          <w:p>
            <w:pPr>
              <w:spacing w:after="0"/>
              <w:rPr>
                <w:sz w:val="21"/>
                <w:szCs w:val="21"/>
                <w:color w:val="auto"/>
              </w:rPr>
            </w:pPr>
          </w:p>
        </w:tc>
        <w:tc>
          <w:tcPr>
            <w:tcW w:w="15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(853 )</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1"/>
                <w:szCs w:val="21"/>
                <w:color w:val="auto"/>
              </w:rPr>
            </w:pPr>
          </w:p>
        </w:tc>
      </w:tr>
      <w:tr>
        <w:trPr>
          <w:trHeight w:val="263"/>
        </w:trPr>
        <w:tc>
          <w:tcPr>
            <w:tcW w:w="4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Gain (loss) on extinguishment of debt</w:t>
            </w: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2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(2,709 )</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3,399</w:t>
            </w: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(1 )</w:t>
            </w:r>
          </w:p>
        </w:tc>
        <w:tc>
          <w:tcPr>
            <w:tcW w:w="3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r>
      <w:tr>
        <w:trPr>
          <w:trHeight w:val="20"/>
        </w:trPr>
        <w:tc>
          <w:tcPr>
            <w:tcW w:w="4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(3,617 )</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4,382</w:t>
            </w:r>
          </w:p>
        </w:tc>
        <w:tc>
          <w:tcPr>
            <w:tcW w:w="100" w:type="dxa"/>
            <w:vAlign w:val="bottom"/>
            <w:shd w:val="clear" w:color="auto" w:fill="CFF0FC"/>
          </w:tcPr>
          <w:p>
            <w:pPr>
              <w:spacing w:after="0"/>
              <w:rPr>
                <w:sz w:val="21"/>
                <w:szCs w:val="21"/>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18"/>
                <w:szCs w:val="18"/>
                <w:color w:val="auto"/>
              </w:rPr>
              <w:t>Consolidated net loss and comprehensive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(22,930 )</w:t>
            </w:r>
          </w:p>
        </w:tc>
        <w:tc>
          <w:tcPr>
            <w:tcW w:w="3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(11,632 )</w:t>
            </w:r>
          </w:p>
        </w:tc>
        <w:tc>
          <w:tcPr>
            <w:tcW w:w="22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(11,298 )</w:t>
            </w:r>
          </w:p>
        </w:tc>
      </w:tr>
      <w:tr>
        <w:trPr>
          <w:trHeight w:val="20"/>
        </w:trPr>
        <w:tc>
          <w:tcPr>
            <w:tcW w:w="4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-1513840</wp:posOffset>
            </wp:positionV>
            <wp:extent cx="13716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-1513840</wp:posOffset>
            </wp:positionV>
            <wp:extent cx="13716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-1513840</wp:posOffset>
            </wp:positionV>
            <wp:extent cx="6858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-193675</wp:posOffset>
            </wp:positionV>
            <wp:extent cx="13716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-193675</wp:posOffset>
            </wp:positionV>
            <wp:extent cx="13716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-193675</wp:posOffset>
            </wp:positionV>
            <wp:extent cx="6858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31" w:lineRule="exact"/>
        <w:rPr>
          <w:sz w:val="20"/>
          <w:szCs w:val="20"/>
          <w:color w:val="auto"/>
        </w:rPr>
      </w:pPr>
    </w:p>
    <w:p>
      <w:pPr>
        <w:ind w:right="100" w:firstLine="509"/>
        <w:spacing w:after="0" w:line="275" w:lineRule="auto"/>
        <w:rPr>
          <w:sz w:val="20"/>
          <w:szCs w:val="20"/>
          <w:color w:val="auto"/>
        </w:rPr>
      </w:pPr>
      <w:r>
        <w:rPr>
          <w:rFonts w:ascii="Arial" w:cs="Arial" w:eastAsia="Arial" w:hAnsi="Arial"/>
          <w:sz w:val="18"/>
          <w:szCs w:val="18"/>
          <w:color w:val="auto"/>
        </w:rPr>
        <w:t>There was no revenue recognized under our collaboration with BeiGene during the three months ended September 30, 2021. Collaboration revenue for the three months ended September 30, 2020 was $0.2 million and consisted of revenue recognized under our collaboration agreement with BeiGene. Under the collaboration agreement with BeiGene, the remaining $19.8 million of deferred revenue is expected to be earned upon transfer of the know-how and materials to BeiGene related to the manufacture of BA3071.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allocated by CAB program for the periods indicated:</w:t>
      </w:r>
    </w:p>
    <w:p>
      <w:pPr>
        <w:spacing w:after="0" w:line="257" w:lineRule="exact"/>
        <w:rPr>
          <w:sz w:val="20"/>
          <w:szCs w:val="20"/>
          <w:color w:val="auto"/>
        </w:rPr>
      </w:pPr>
    </w:p>
    <w:tbl>
      <w:tblPr>
        <w:tblLayout w:type="fixed"/>
        <w:tblInd w:w="1080" w:type="dxa"/>
        <w:tblCellMar>
          <w:top w:w="0" w:type="dxa"/>
          <w:left w:w="0" w:type="dxa"/>
          <w:bottom w:w="0" w:type="dxa"/>
          <w:right w:w="0" w:type="dxa"/>
        </w:tblCellMar>
      </w:tblPr>
      <w:tr>
        <w:trPr>
          <w:trHeight w:val="175"/>
        </w:trPr>
        <w:tc>
          <w:tcPr>
            <w:tcW w:w="5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5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5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7"/>
                <w:szCs w:val="17"/>
                <w:color w:val="auto"/>
              </w:rPr>
            </w:pPr>
          </w:p>
        </w:tc>
      </w:tr>
      <w:tr>
        <w:trPr>
          <w:trHeight w:val="196"/>
        </w:trPr>
        <w:tc>
          <w:tcPr>
            <w:tcW w:w="52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External expenses:</w:t>
            </w: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240" w:type="dxa"/>
            <w:vAlign w:val="bottom"/>
          </w:tcPr>
          <w:p>
            <w:pPr>
              <w:ind w:left="200"/>
              <w:spacing w:after="0"/>
              <w:rPr>
                <w:sz w:val="20"/>
                <w:szCs w:val="20"/>
                <w:color w:val="auto"/>
              </w:rPr>
            </w:pPr>
            <w:r>
              <w:rPr>
                <w:rFonts w:ascii="Arial" w:cs="Arial" w:eastAsia="Arial" w:hAnsi="Arial"/>
                <w:sz w:val="18"/>
                <w:szCs w:val="18"/>
                <w:color w:val="auto"/>
              </w:rPr>
              <w:t>BA3011 (AXL-ADC)</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3,851</w:t>
            </w:r>
          </w:p>
        </w:tc>
        <w:tc>
          <w:tcPr>
            <w:tcW w:w="5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1,494</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21"/>
                <w:szCs w:val="21"/>
                <w:color w:val="auto"/>
              </w:rPr>
            </w:pPr>
          </w:p>
        </w:tc>
      </w:tr>
      <w:tr>
        <w:trPr>
          <w:trHeight w:val="263"/>
        </w:trPr>
        <w:tc>
          <w:tcPr>
            <w:tcW w:w="5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BA3021 (ROR2-ADC)</w:t>
            </w: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2,982</w:t>
            </w: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2,339</w:t>
            </w:r>
          </w:p>
        </w:tc>
        <w:tc>
          <w:tcPr>
            <w:tcW w:w="100" w:type="dxa"/>
            <w:vAlign w:val="bottom"/>
            <w:shd w:val="clear" w:color="auto" w:fill="CFF0FC"/>
          </w:tcPr>
          <w:p>
            <w:pPr>
              <w:spacing w:after="0"/>
              <w:rPr>
                <w:sz w:val="22"/>
                <w:szCs w:val="22"/>
                <w:color w:val="auto"/>
              </w:rPr>
            </w:pPr>
          </w:p>
        </w:tc>
      </w:tr>
      <w:tr>
        <w:trPr>
          <w:trHeight w:val="250"/>
        </w:trPr>
        <w:tc>
          <w:tcPr>
            <w:tcW w:w="5240" w:type="dxa"/>
            <w:vAlign w:val="bottom"/>
          </w:tcPr>
          <w:p>
            <w:pPr>
              <w:ind w:left="200"/>
              <w:spacing w:after="0"/>
              <w:rPr>
                <w:sz w:val="20"/>
                <w:szCs w:val="20"/>
                <w:color w:val="auto"/>
              </w:rPr>
            </w:pPr>
            <w:r>
              <w:rPr>
                <w:rFonts w:ascii="Arial" w:cs="Arial" w:eastAsia="Arial" w:hAnsi="Arial"/>
                <w:sz w:val="18"/>
                <w:szCs w:val="18"/>
                <w:color w:val="auto"/>
              </w:rPr>
              <w:t>Other CAB Programs</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5,675</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4,724</w:t>
            </w:r>
          </w:p>
        </w:tc>
        <w:tc>
          <w:tcPr>
            <w:tcW w:w="100" w:type="dxa"/>
            <w:vAlign w:val="bottom"/>
          </w:tcPr>
          <w:p>
            <w:pPr>
              <w:spacing w:after="0"/>
              <w:rPr>
                <w:sz w:val="21"/>
                <w:szCs w:val="21"/>
                <w:color w:val="auto"/>
              </w:rPr>
            </w:pPr>
          </w:p>
        </w:tc>
      </w:tr>
      <w:tr>
        <w:trPr>
          <w:trHeight w:val="257"/>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external expenses</w:t>
            </w: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12,508</w:t>
            </w: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3,088</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9,420</w:t>
            </w:r>
          </w:p>
        </w:tc>
        <w:tc>
          <w:tcPr>
            <w:tcW w:w="100" w:type="dxa"/>
            <w:vAlign w:val="bottom"/>
            <w:shd w:val="clear" w:color="auto" w:fill="CFF0FC"/>
          </w:tcPr>
          <w:p>
            <w:pPr>
              <w:spacing w:after="0"/>
              <w:rPr>
                <w:sz w:val="22"/>
                <w:szCs w:val="22"/>
                <w:color w:val="auto"/>
              </w:rPr>
            </w:pPr>
          </w:p>
        </w:tc>
      </w:tr>
      <w:tr>
        <w:trPr>
          <w:trHeight w:val="250"/>
        </w:trPr>
        <w:tc>
          <w:tcPr>
            <w:tcW w:w="5240" w:type="dxa"/>
            <w:vAlign w:val="bottom"/>
          </w:tcPr>
          <w:p>
            <w:pPr>
              <w:ind w:left="200"/>
              <w:spacing w:after="0"/>
              <w:rPr>
                <w:sz w:val="20"/>
                <w:szCs w:val="20"/>
                <w:color w:val="auto"/>
              </w:rPr>
            </w:pPr>
            <w:r>
              <w:rPr>
                <w:rFonts w:ascii="Arial" w:cs="Arial" w:eastAsia="Arial" w:hAnsi="Arial"/>
                <w:sz w:val="18"/>
                <w:szCs w:val="18"/>
                <w:color w:val="auto"/>
              </w:rPr>
              <w:t>Personnel and related</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r>
      <w:tr>
        <w:trPr>
          <w:trHeight w:val="263"/>
        </w:trPr>
        <w:tc>
          <w:tcPr>
            <w:tcW w:w="5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Equity-based compensation</w:t>
            </w: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w:t>
            </w: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FF0FC"/>
          </w:tcPr>
          <w:p>
            <w:pPr>
              <w:spacing w:after="0"/>
              <w:rPr>
                <w:sz w:val="22"/>
                <w:szCs w:val="22"/>
                <w:color w:val="auto"/>
              </w:rPr>
            </w:pPr>
          </w:p>
        </w:tc>
      </w:tr>
      <w:tr>
        <w:trPr>
          <w:trHeight w:val="250"/>
        </w:trPr>
        <w:tc>
          <w:tcPr>
            <w:tcW w:w="5240" w:type="dxa"/>
            <w:vAlign w:val="bottom"/>
          </w:tcPr>
          <w:p>
            <w:pPr>
              <w:ind w:left="200"/>
              <w:spacing w:after="0"/>
              <w:rPr>
                <w:sz w:val="20"/>
                <w:szCs w:val="20"/>
                <w:color w:val="auto"/>
              </w:rPr>
            </w:pPr>
            <w:r>
              <w:rPr>
                <w:rFonts w:ascii="Arial" w:cs="Arial" w:eastAsia="Arial" w:hAnsi="Arial"/>
                <w:sz w:val="18"/>
                <w:szCs w:val="18"/>
                <w:color w:val="auto"/>
              </w:rPr>
              <w:t>Facilities and other</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r>
      <w:tr>
        <w:trPr>
          <w:trHeight w:val="270"/>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16,553</w:t>
            </w:r>
          </w:p>
        </w:tc>
        <w:tc>
          <w:tcPr>
            <w:tcW w:w="220" w:type="dxa"/>
            <w:vAlign w:val="bottom"/>
            <w:shd w:val="clear" w:color="auto" w:fill="CFF0FC"/>
          </w:tcPr>
          <w:p>
            <w:pPr>
              <w:spacing w:after="0"/>
              <w:rPr>
                <w:sz w:val="23"/>
                <w:szCs w:val="23"/>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4,864</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11,689</w:t>
            </w:r>
          </w:p>
        </w:tc>
        <w:tc>
          <w:tcPr>
            <w:tcW w:w="100" w:type="dxa"/>
            <w:vAlign w:val="bottom"/>
            <w:shd w:val="clear" w:color="auto" w:fill="CFF0FC"/>
          </w:tcPr>
          <w:p>
            <w:pPr>
              <w:spacing w:after="0"/>
              <w:rPr>
                <w:sz w:val="23"/>
                <w:szCs w:val="23"/>
                <w:color w:val="auto"/>
              </w:rPr>
            </w:pPr>
          </w:p>
        </w:tc>
      </w:tr>
      <w:tr>
        <w:trPr>
          <w:trHeight w:val="20"/>
        </w:trPr>
        <w:tc>
          <w:tcPr>
            <w:tcW w:w="5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-24765</wp:posOffset>
            </wp:positionV>
            <wp:extent cx="14605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-8255</wp:posOffset>
            </wp:positionV>
            <wp:extent cx="14605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1371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13716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596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-8255</wp:posOffset>
            </wp:positionV>
            <wp:extent cx="596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36"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Research and development expenses were $16.6 million and $4.9 million for the three months ended September 30, 2021 and 2020, respectively. The increase of $11.7 million was primarily driven by a $4.7 million increase in external costs due to manufacturing for our clinical candidates and ongoing clinical development for BA3011 and BA3021, a $4.7 million increase in pre-clinical development including manufacturing and IND enabling studies for CAB bispecific programs, a $1.3 million increase in stock-based compensation due to awards issued in connection with our 2020 Equity Incentive Plan, a $0.8 million increase in personnel related costs due to an increase in headcount to support ongoing development activities on our programs, and a $0.2 million increase in facility and other related expense.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31" w:lineRule="exact"/>
        <w:rPr>
          <w:sz w:val="20"/>
          <w:szCs w:val="20"/>
          <w:color w:val="auto"/>
        </w:rPr>
      </w:pPr>
    </w:p>
    <w:p>
      <w:pPr>
        <w:jc w:val="both"/>
        <w:ind w:right="20" w:firstLine="509"/>
        <w:spacing w:after="0" w:line="266" w:lineRule="auto"/>
        <w:rPr>
          <w:sz w:val="20"/>
          <w:szCs w:val="20"/>
          <w:color w:val="auto"/>
        </w:rPr>
      </w:pPr>
      <w:r>
        <w:rPr>
          <w:rFonts w:ascii="Arial" w:cs="Arial" w:eastAsia="Arial" w:hAnsi="Arial"/>
          <w:sz w:val="18"/>
          <w:szCs w:val="18"/>
          <w:color w:val="auto"/>
        </w:rPr>
        <w:t>General and administrative expenses were $7.1 million and $3.3 million for the three months ended September 30, 2021 and 2020, respectively. The increase of $3.8 million was primarily driven by a $3.1 million increase in stock-based compensation due to awards issued under our 2020 Equity Incentive Plan, a $0.8 million increase in insurance expense, and a $0.2 million increase in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158" w:gutter="0" w:footer="0" w:header="0"/>
        </w:sectPr>
      </w:pPr>
    </w:p>
    <w:bookmarkStart w:id="23" w:name="page24"/>
    <w:bookmarkEnd w:id="23"/>
    <w:p>
      <w:pPr>
        <w:ind w:right="480"/>
        <w:spacing w:after="0" w:line="293" w:lineRule="auto"/>
        <w:rPr>
          <w:sz w:val="20"/>
          <w:szCs w:val="20"/>
          <w:color w:val="auto"/>
        </w:rPr>
      </w:pPr>
      <w:r>
        <w:rPr>
          <w:rFonts w:ascii="Arial" w:cs="Arial" w:eastAsia="Arial" w:hAnsi="Arial"/>
          <w:sz w:val="18"/>
          <w:szCs w:val="18"/>
          <w:color w:val="auto"/>
        </w:rPr>
        <w:t>personnel related expenses as we expanded our administrative functions in support of our development activities. This increase was offset by a $0.3 million decrease in professional fees related to accounting, audit and legal services.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31" w:lineRule="exact"/>
        <w:rPr>
          <w:sz w:val="20"/>
          <w:szCs w:val="20"/>
          <w:color w:val="auto"/>
        </w:rPr>
      </w:pPr>
    </w:p>
    <w:p>
      <w:pPr>
        <w:ind w:right="60" w:firstLine="509"/>
        <w:spacing w:after="0" w:line="293" w:lineRule="auto"/>
        <w:rPr>
          <w:sz w:val="20"/>
          <w:szCs w:val="20"/>
          <w:color w:val="auto"/>
        </w:rPr>
      </w:pPr>
      <w:r>
        <w:rPr>
          <w:rFonts w:ascii="Arial" w:cs="Arial" w:eastAsia="Arial" w:hAnsi="Arial"/>
          <w:sz w:val="18"/>
          <w:szCs w:val="18"/>
          <w:color w:val="auto"/>
        </w:rPr>
        <w:t>Interest income was $76,000 and $31,000 for the three months ended September 30, 2021 and 2020, respectively. The increase of $45,000 was due to higher average cash and cash equivalent balances after our December 2020 IPO.</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31" w:lineRule="exact"/>
        <w:rPr>
          <w:sz w:val="20"/>
          <w:szCs w:val="20"/>
          <w:color w:val="auto"/>
        </w:rPr>
      </w:pPr>
    </w:p>
    <w:p>
      <w:pPr>
        <w:ind w:right="200" w:firstLine="509"/>
        <w:spacing w:after="0" w:line="359" w:lineRule="auto"/>
        <w:rPr>
          <w:sz w:val="20"/>
          <w:szCs w:val="20"/>
          <w:color w:val="auto"/>
        </w:rPr>
      </w:pPr>
      <w:r>
        <w:rPr>
          <w:rFonts w:ascii="Arial" w:cs="Arial" w:eastAsia="Arial" w:hAnsi="Arial"/>
          <w:sz w:val="16"/>
          <w:szCs w:val="16"/>
          <w:color w:val="auto"/>
        </w:rPr>
        <w:t>Interest expense was $0 and $86,000 for the three months ended September 30, 2021 and 2020, respectively. The decrease of $86,000 was due to reduced interest expense as a result of the settlement of all of our convertible debt in July 2020 and forgiveness of our PPP loan in July 2021.</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Derivative Liability</w:t>
      </w:r>
    </w:p>
    <w:p>
      <w:pPr>
        <w:spacing w:after="0" w:line="131"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Change in fair value of derivative liability was $0 and $0.9 million for the three months ended September 30, 2021 and 2020, respectively. The decrease of $0.9 million was primarily due to changes in the fair value of embedded derivatives in connection with our outstanding convertible promissory notes which all settled in July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Extinguishment of Debt</w:t>
      </w:r>
    </w:p>
    <w:p>
      <w:pPr>
        <w:spacing w:after="0" w:line="131"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Extinguishment of debt was $0.7 million and ($2.7) million for the three months ended September 30, 2021 and 2020, respectively. The $0.7 million gain and $2.7 million in recognized loss on extinguishment during the three months ended September 30, 2021 and 2020 were related to the forgiveness of our PPP loan in July 2021, and the settlement of our then outstanding convertible promissory notes in connection with our July 2020 Series D Financing, respectively.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2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4"/>
              </w:rPr>
              <w:t>Nine Months Ended</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4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14"/>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Change</w:t>
            </w:r>
          </w:p>
        </w:tc>
      </w:tr>
      <w:tr>
        <w:trPr>
          <w:trHeight w:val="191"/>
        </w:trPr>
        <w:tc>
          <w:tcPr>
            <w:tcW w:w="4900" w:type="dxa"/>
            <w:vAlign w:val="bottom"/>
          </w:tcPr>
          <w:p>
            <w:pPr>
              <w:spacing w:after="0"/>
              <w:rPr>
                <w:sz w:val="20"/>
                <w:szCs w:val="20"/>
                <w:color w:val="auto"/>
              </w:rPr>
            </w:pPr>
            <w:r>
              <w:rPr>
                <w:rFonts w:ascii="Arial" w:cs="Arial" w:eastAsia="Arial" w:hAnsi="Arial"/>
                <w:sz w:val="14"/>
                <w:szCs w:val="14"/>
                <w:color w:val="auto"/>
              </w:rPr>
              <w:t>(in thousands)</w:t>
            </w: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62"/>
        </w:trPr>
        <w:tc>
          <w:tcPr>
            <w:tcW w:w="4900" w:type="dxa"/>
            <w:vAlign w:val="bottom"/>
          </w:tcPr>
          <w:p>
            <w:pPr>
              <w:spacing w:after="0"/>
              <w:rPr>
                <w:sz w:val="20"/>
                <w:szCs w:val="20"/>
                <w:color w:val="auto"/>
              </w:rPr>
            </w:pPr>
            <w:r>
              <w:rPr>
                <w:rFonts w:ascii="Arial" w:cs="Arial" w:eastAsia="Arial" w:hAnsi="Arial"/>
                <w:sz w:val="18"/>
                <w:szCs w:val="18"/>
                <w:color w:val="auto"/>
              </w:rPr>
              <w:t>Collaboration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429</w:t>
            </w:r>
          </w:p>
        </w:tc>
        <w:tc>
          <w:tcPr>
            <w:tcW w:w="2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(179 )</w:t>
            </w:r>
          </w:p>
        </w:tc>
      </w:tr>
      <w:tr>
        <w:trPr>
          <w:trHeight w:val="26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41,826</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9,448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32,378</w:t>
            </w:r>
          </w:p>
        </w:tc>
        <w:tc>
          <w:tcPr>
            <w:tcW w:w="100" w:type="dxa"/>
            <w:vAlign w:val="bottom"/>
          </w:tcPr>
          <w:p>
            <w:pPr>
              <w:spacing w:after="0"/>
              <w:rPr>
                <w:sz w:val="21"/>
                <w:szCs w:val="21"/>
                <w:color w:val="auto"/>
              </w:rPr>
            </w:pPr>
          </w:p>
        </w:tc>
      </w:tr>
      <w:tr>
        <w:trPr>
          <w:trHeight w:val="257"/>
        </w:trPr>
        <w:tc>
          <w:tcPr>
            <w:tcW w:w="49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31,376</w:t>
            </w:r>
          </w:p>
        </w:tc>
        <w:tc>
          <w:tcPr>
            <w:tcW w:w="2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4,625</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26,751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73,202</w:t>
            </w:r>
          </w:p>
        </w:tc>
        <w:tc>
          <w:tcPr>
            <w:tcW w:w="2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14,073</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59,129</w:t>
            </w:r>
          </w:p>
        </w:tc>
        <w:tc>
          <w:tcPr>
            <w:tcW w:w="100" w:type="dxa"/>
            <w:vAlign w:val="bottom"/>
          </w:tcPr>
          <w:p>
            <w:pPr>
              <w:spacing w:after="0"/>
              <w:rPr>
                <w:sz w:val="21"/>
                <w:szCs w:val="21"/>
                <w:color w:val="auto"/>
              </w:rPr>
            </w:pPr>
          </w:p>
        </w:tc>
      </w:tr>
      <w:tr>
        <w:trPr>
          <w:trHeight w:val="257"/>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(72,952 )</w:t>
            </w:r>
          </w:p>
        </w:tc>
        <w:tc>
          <w:tcPr>
            <w:tcW w:w="38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(13,644 )</w:t>
            </w:r>
          </w:p>
        </w:tc>
        <w:tc>
          <w:tcPr>
            <w:tcW w:w="22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(59,308 )</w:t>
            </w:r>
          </w:p>
        </w:tc>
      </w:tr>
      <w:tr>
        <w:trPr>
          <w:trHeight w:val="250"/>
        </w:trPr>
        <w:tc>
          <w:tcPr>
            <w:tcW w:w="4900" w:type="dxa"/>
            <w:vAlign w:val="bottom"/>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(3 )</w:t>
            </w:r>
          </w:p>
        </w:tc>
        <w:tc>
          <w:tcPr>
            <w:tcW w:w="3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(1,387 )</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21"/>
                <w:szCs w:val="21"/>
                <w:color w:val="auto"/>
              </w:rPr>
            </w:pPr>
          </w:p>
        </w:tc>
      </w:tr>
      <w:tr>
        <w:trPr>
          <w:trHeight w:val="263"/>
        </w:trPr>
        <w:tc>
          <w:tcPr>
            <w:tcW w:w="4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Change in fair value of derivative liability</w:t>
            </w:r>
          </w:p>
        </w:tc>
        <w:tc>
          <w:tcPr>
            <w:tcW w:w="2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(1,581 )</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w:t>
            </w: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180"/>
              <w:spacing w:after="0"/>
              <w:rPr>
                <w:sz w:val="20"/>
                <w:szCs w:val="20"/>
                <w:color w:val="auto"/>
              </w:rPr>
            </w:pPr>
            <w:r>
              <w:rPr>
                <w:rFonts w:ascii="Arial" w:cs="Arial" w:eastAsia="Arial" w:hAnsi="Arial"/>
                <w:sz w:val="18"/>
                <w:szCs w:val="18"/>
                <w:color w:val="auto"/>
              </w:rPr>
              <w:t>Gain (loss) on extinguishment of debt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690</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(2,883 )</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3,573</w:t>
            </w:r>
          </w:p>
        </w:tc>
        <w:tc>
          <w:tcPr>
            <w:tcW w:w="100" w:type="dxa"/>
            <w:vAlign w:val="bottom"/>
          </w:tcPr>
          <w:p>
            <w:pPr>
              <w:spacing w:after="0"/>
              <w:rPr>
                <w:sz w:val="21"/>
                <w:szCs w:val="21"/>
                <w:color w:val="auto"/>
              </w:rPr>
            </w:pPr>
          </w:p>
        </w:tc>
      </w:tr>
      <w:tr>
        <w:trPr>
          <w:trHeight w:val="257"/>
        </w:trPr>
        <w:tc>
          <w:tcPr>
            <w:tcW w:w="4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(1 )</w:t>
            </w:r>
          </w:p>
        </w:tc>
        <w:tc>
          <w:tcPr>
            <w:tcW w:w="38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(1 )</w:t>
            </w:r>
          </w:p>
        </w:tc>
      </w:tr>
      <w:tr>
        <w:trPr>
          <w:trHeight w:val="20"/>
        </w:trPr>
        <w:tc>
          <w:tcPr>
            <w:tcW w:w="49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940</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(5,814 )</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6,754</w:t>
            </w:r>
          </w:p>
        </w:tc>
        <w:tc>
          <w:tcPr>
            <w:tcW w:w="100" w:type="dxa"/>
            <w:vAlign w:val="bottom"/>
          </w:tcPr>
          <w:p>
            <w:pPr>
              <w:spacing w:after="0"/>
              <w:rPr>
                <w:sz w:val="21"/>
                <w:szCs w:val="21"/>
                <w:color w:val="auto"/>
              </w:rPr>
            </w:pPr>
          </w:p>
        </w:tc>
      </w:tr>
      <w:tr>
        <w:trPr>
          <w:trHeight w:val="20"/>
        </w:trPr>
        <w:tc>
          <w:tcPr>
            <w:tcW w:w="4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loss and comprehensive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(72,012 )</w:t>
            </w:r>
          </w:p>
        </w:tc>
        <w:tc>
          <w:tcPr>
            <w:tcW w:w="380" w:type="dxa"/>
            <w:vAlign w:val="bottom"/>
            <w:shd w:val="clear" w:color="auto" w:fill="CFF0FC"/>
          </w:tcPr>
          <w:p>
            <w:pPr>
              <w:spacing w:after="0"/>
              <w:rPr>
                <w:sz w:val="23"/>
                <w:szCs w:val="23"/>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(19,458 )</w:t>
            </w:r>
          </w:p>
        </w:tc>
        <w:tc>
          <w:tcPr>
            <w:tcW w:w="220" w:type="dxa"/>
            <w:vAlign w:val="bottom"/>
            <w:shd w:val="clear" w:color="auto" w:fill="CFF0FC"/>
          </w:tcPr>
          <w:p>
            <w:pPr>
              <w:spacing w:after="0"/>
              <w:rPr>
                <w:sz w:val="23"/>
                <w:szCs w:val="23"/>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(52,554 )</w:t>
            </w: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-1685290</wp:posOffset>
            </wp:positionV>
            <wp:extent cx="13716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-1685290</wp:posOffset>
            </wp:positionV>
            <wp:extent cx="13716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-1685290</wp:posOffset>
            </wp:positionV>
            <wp:extent cx="6858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-365125</wp:posOffset>
            </wp:positionV>
            <wp:extent cx="13716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-365125</wp:posOffset>
            </wp:positionV>
            <wp:extent cx="13716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-365125</wp:posOffset>
            </wp:positionV>
            <wp:extent cx="6858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-24765</wp:posOffset>
            </wp:positionV>
            <wp:extent cx="137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1371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137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1371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31" w:lineRule="exact"/>
        <w:rPr>
          <w:sz w:val="20"/>
          <w:szCs w:val="20"/>
          <w:color w:val="auto"/>
        </w:rPr>
      </w:pPr>
    </w:p>
    <w:p>
      <w:pPr>
        <w:jc w:val="both"/>
        <w:ind w:right="180" w:firstLine="509"/>
        <w:spacing w:after="0" w:line="299" w:lineRule="auto"/>
        <w:rPr>
          <w:sz w:val="20"/>
          <w:szCs w:val="20"/>
          <w:color w:val="auto"/>
        </w:rPr>
      </w:pPr>
      <w:r>
        <w:rPr>
          <w:rFonts w:ascii="Arial" w:cs="Arial" w:eastAsia="Arial" w:hAnsi="Arial"/>
          <w:sz w:val="16"/>
          <w:szCs w:val="16"/>
          <w:color w:val="auto"/>
        </w:rPr>
        <w:t>Collaboration revenue for the nine months ended September 30, 2021 was $0.3 million, which consisted solely of revenue recognized under our legacy service contracts. Collaboration revenue for the nine months ended September 30, 2020 was $0.4 million, which consisted of revenue recognized under our collaboration agreement with BeiGene. Under the collaboration agreement with BeiGene, the remaining $19.8 million of deferred revenue is expected to be earned upon transfer of the know-how and materials to BeiGene related to the manufacture of BA3071.</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76" w:right="41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allocated by CAB program for the periods indicated:</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4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2"/>
        </w:trPr>
        <w:tc>
          <w:tcPr>
            <w:tcW w:w="4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9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7"/>
                <w:szCs w:val="17"/>
                <w:color w:val="auto"/>
              </w:rPr>
            </w:pPr>
          </w:p>
        </w:tc>
      </w:tr>
      <w:tr>
        <w:trPr>
          <w:trHeight w:val="197"/>
        </w:trPr>
        <w:tc>
          <w:tcPr>
            <w:tcW w:w="4960" w:type="dxa"/>
            <w:vAlign w:val="bottom"/>
          </w:tcPr>
          <w:p>
            <w:pPr>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2"/>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External expenses:</w:t>
            </w: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960" w:type="dxa"/>
            <w:vAlign w:val="bottom"/>
          </w:tcPr>
          <w:p>
            <w:pPr>
              <w:ind w:left="180"/>
              <w:spacing w:after="0"/>
              <w:rPr>
                <w:sz w:val="20"/>
                <w:szCs w:val="20"/>
                <w:color w:val="auto"/>
              </w:rPr>
            </w:pPr>
            <w:r>
              <w:rPr>
                <w:rFonts w:ascii="Arial" w:cs="Arial" w:eastAsia="Arial" w:hAnsi="Arial"/>
                <w:sz w:val="18"/>
                <w:szCs w:val="18"/>
                <w:color w:val="auto"/>
              </w:rPr>
              <w:t>BA3011 (AXL-ADC)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13,633</w:t>
            </w:r>
          </w:p>
        </w:tc>
        <w:tc>
          <w:tcPr>
            <w:tcW w:w="5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3,052</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10,581</w:t>
            </w:r>
          </w:p>
        </w:tc>
        <w:tc>
          <w:tcPr>
            <w:tcW w:w="80" w:type="dxa"/>
            <w:vAlign w:val="bottom"/>
          </w:tcPr>
          <w:p>
            <w:pPr>
              <w:spacing w:after="0"/>
              <w:rPr>
                <w:sz w:val="21"/>
                <w:szCs w:val="21"/>
                <w:color w:val="auto"/>
              </w:rPr>
            </w:pPr>
          </w:p>
        </w:tc>
      </w:tr>
      <w:tr>
        <w:trPr>
          <w:trHeight w:val="263"/>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BA3021 (ROR2-ADC)</w:t>
            </w: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8,365</w:t>
            </w:r>
          </w:p>
        </w:tc>
        <w:tc>
          <w:tcPr>
            <w:tcW w:w="1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2,114</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6,251</w:t>
            </w:r>
          </w:p>
        </w:tc>
        <w:tc>
          <w:tcPr>
            <w:tcW w:w="80" w:type="dxa"/>
            <w:vAlign w:val="bottom"/>
            <w:shd w:val="clear" w:color="auto" w:fill="CFF0FC"/>
          </w:tcPr>
          <w:p>
            <w:pPr>
              <w:spacing w:after="0"/>
              <w:rPr>
                <w:sz w:val="22"/>
                <w:szCs w:val="22"/>
                <w:color w:val="auto"/>
              </w:rPr>
            </w:pPr>
          </w:p>
        </w:tc>
      </w:tr>
      <w:tr>
        <w:trPr>
          <w:trHeight w:val="250"/>
        </w:trPr>
        <w:tc>
          <w:tcPr>
            <w:tcW w:w="4960" w:type="dxa"/>
            <w:vAlign w:val="bottom"/>
          </w:tcPr>
          <w:p>
            <w:pPr>
              <w:ind w:left="180"/>
              <w:spacing w:after="0"/>
              <w:rPr>
                <w:sz w:val="20"/>
                <w:szCs w:val="20"/>
                <w:color w:val="auto"/>
              </w:rPr>
            </w:pPr>
            <w:r>
              <w:rPr>
                <w:rFonts w:ascii="Arial" w:cs="Arial" w:eastAsia="Arial" w:hAnsi="Arial"/>
                <w:sz w:val="18"/>
                <w:szCs w:val="18"/>
                <w:color w:val="auto"/>
              </w:rPr>
              <w:t>Other CAB Programs</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9,485</w:t>
            </w:r>
          </w:p>
        </w:tc>
        <w:tc>
          <w:tcPr>
            <w:tcW w:w="1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7,322</w:t>
            </w:r>
          </w:p>
        </w:tc>
        <w:tc>
          <w:tcPr>
            <w:tcW w:w="80" w:type="dxa"/>
            <w:vAlign w:val="bottom"/>
          </w:tcPr>
          <w:p>
            <w:pPr>
              <w:spacing w:after="0"/>
              <w:rPr>
                <w:sz w:val="21"/>
                <w:szCs w:val="21"/>
                <w:color w:val="auto"/>
              </w:rPr>
            </w:pPr>
          </w:p>
        </w:tc>
      </w:tr>
      <w:tr>
        <w:trPr>
          <w:trHeight w:val="257"/>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Total external expenses</w:t>
            </w: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31,483</w:t>
            </w:r>
          </w:p>
        </w:tc>
        <w:tc>
          <w:tcPr>
            <w:tcW w:w="1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7,329</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24,154</w:t>
            </w:r>
          </w:p>
        </w:tc>
        <w:tc>
          <w:tcPr>
            <w:tcW w:w="80" w:type="dxa"/>
            <w:vAlign w:val="bottom"/>
            <w:shd w:val="clear" w:color="auto" w:fill="CFF0FC"/>
          </w:tcPr>
          <w:p>
            <w:pPr>
              <w:spacing w:after="0"/>
              <w:rPr>
                <w:sz w:val="22"/>
                <w:szCs w:val="22"/>
                <w:color w:val="auto"/>
              </w:rPr>
            </w:pPr>
          </w:p>
        </w:tc>
      </w:tr>
      <w:tr>
        <w:trPr>
          <w:trHeight w:val="250"/>
        </w:trPr>
        <w:tc>
          <w:tcPr>
            <w:tcW w:w="4960" w:type="dxa"/>
            <w:vAlign w:val="bottom"/>
          </w:tcPr>
          <w:p>
            <w:pPr>
              <w:ind w:left="180"/>
              <w:spacing w:after="0"/>
              <w:rPr>
                <w:sz w:val="20"/>
                <w:szCs w:val="20"/>
                <w:color w:val="auto"/>
              </w:rPr>
            </w:pPr>
            <w:r>
              <w:rPr>
                <w:rFonts w:ascii="Arial" w:cs="Arial" w:eastAsia="Arial" w:hAnsi="Arial"/>
                <w:sz w:val="18"/>
                <w:szCs w:val="18"/>
                <w:color w:val="auto"/>
              </w:rPr>
              <w:t>Personnel and related</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4,907</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3,751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1,156</w:t>
            </w:r>
          </w:p>
        </w:tc>
        <w:tc>
          <w:tcPr>
            <w:tcW w:w="80" w:type="dxa"/>
            <w:vAlign w:val="bottom"/>
          </w:tcPr>
          <w:p>
            <w:pPr>
              <w:spacing w:after="0"/>
              <w:rPr>
                <w:sz w:val="21"/>
                <w:szCs w:val="21"/>
                <w:color w:val="auto"/>
              </w:rPr>
            </w:pPr>
          </w:p>
        </w:tc>
      </w:tr>
      <w:tr>
        <w:trPr>
          <w:trHeight w:val="263"/>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Equity-based compensation</w:t>
            </w: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3,376</w:t>
            </w:r>
          </w:p>
        </w:tc>
        <w:tc>
          <w:tcPr>
            <w:tcW w:w="1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(3,355 )</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6,731</w:t>
            </w:r>
          </w:p>
        </w:tc>
        <w:tc>
          <w:tcPr>
            <w:tcW w:w="80" w:type="dxa"/>
            <w:vAlign w:val="bottom"/>
            <w:shd w:val="clear" w:color="auto" w:fill="CFF0FC"/>
          </w:tcPr>
          <w:p>
            <w:pPr>
              <w:spacing w:after="0"/>
              <w:rPr>
                <w:sz w:val="22"/>
                <w:szCs w:val="22"/>
                <w:color w:val="auto"/>
              </w:rPr>
            </w:pPr>
          </w:p>
        </w:tc>
      </w:tr>
      <w:tr>
        <w:trPr>
          <w:trHeight w:val="250"/>
        </w:trPr>
        <w:tc>
          <w:tcPr>
            <w:tcW w:w="4960" w:type="dxa"/>
            <w:vAlign w:val="bottom"/>
          </w:tcPr>
          <w:p>
            <w:pPr>
              <w:ind w:left="180"/>
              <w:spacing w:after="0"/>
              <w:rPr>
                <w:sz w:val="20"/>
                <w:szCs w:val="20"/>
                <w:color w:val="auto"/>
              </w:rPr>
            </w:pPr>
            <w:r>
              <w:rPr>
                <w:rFonts w:ascii="Arial" w:cs="Arial" w:eastAsia="Arial" w:hAnsi="Arial"/>
                <w:sz w:val="18"/>
                <w:szCs w:val="18"/>
                <w:color w:val="auto"/>
              </w:rPr>
              <w:t>Facilities and other</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w:t>
            </w:r>
          </w:p>
        </w:tc>
        <w:tc>
          <w:tcPr>
            <w:tcW w:w="1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80" w:type="dxa"/>
            <w:vAlign w:val="bottom"/>
          </w:tcPr>
          <w:p>
            <w:pPr>
              <w:spacing w:after="0"/>
              <w:rPr>
                <w:sz w:val="21"/>
                <w:szCs w:val="21"/>
                <w:color w:val="auto"/>
              </w:rPr>
            </w:pPr>
          </w:p>
        </w:tc>
      </w:tr>
      <w:tr>
        <w:trPr>
          <w:trHeight w:val="290"/>
        </w:trPr>
        <w:tc>
          <w:tcPr>
            <w:tcW w:w="4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41,826</w:t>
            </w:r>
          </w:p>
        </w:tc>
        <w:tc>
          <w:tcPr>
            <w:tcW w:w="1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9,448</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32,378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-25400</wp:posOffset>
            </wp:positionV>
            <wp:extent cx="1200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-8255</wp:posOffset>
            </wp:positionV>
            <wp:extent cx="12001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-25400</wp:posOffset>
            </wp:positionV>
            <wp:extent cx="137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1371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49"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Research and development expenses were $41.8 million and $9.4 million for the nine months ended September 30, 2021 and 2020, respectively. The increase of $32.4 million was primarily driven by a $16.8 million increase in external costs as due to manufacturing and ongoing clinical development for our clinical programs BA3011 and BA3021, a $7.3 million increase in pre-clinical development costs including costs for manufacturing and IND enabling studies for CAB bispecific programs, a $3.4 million increase in equity-based compensation related to a decrease in the fair value of awards under our profits interest plan during the nine months ended September 30, 2020, a $3.4 million increase in stock-based compensation due to awards issued in connection with our 2020 Equity Incentive Plan, a $1.2 million increase in personnel related costs, and $0.3 million increase in facility and other costs.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31"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General and administrative expenses were $31.4 million and $4.6 million for the nine months ended September 30, 2021 and 2020, respectively. The increase of $26.8 million was primarily driven by a $17.9 million increase in stock-based compensation due to awards issued in connection with our 2020 Equity Incentive Plan and the modification of awards issued to one of our co-founders, a $4.3 million increase in equity-based compensation related to a decrease in the fair value of awards under our profits interest plan during the nine months ended September 30, 2020, a $2.3 million increase in insurance expense, a $1.5 million increase in personnel related expenses as we expanded our administrative functions in support of our development activities plus severance benefits related to the departure of one of our co-founders, a $0.5 million increase in professional fees related to accounting, audit and legal services, a $0.4 million increase in other expenses including corporate franchise taxes and software subscriptions, and a $0.2 million increase in depreciation expense. These decreases were offset by a $0.2 million decrease in facility costs and a $0.1 million decrease in travel related expense.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31" w:lineRule="exact"/>
        <w:rPr>
          <w:sz w:val="20"/>
          <w:szCs w:val="20"/>
          <w:color w:val="auto"/>
        </w:rPr>
      </w:pPr>
    </w:p>
    <w:p>
      <w:pPr>
        <w:ind w:right="240" w:firstLine="509"/>
        <w:spacing w:after="0" w:line="293" w:lineRule="auto"/>
        <w:rPr>
          <w:sz w:val="20"/>
          <w:szCs w:val="20"/>
          <w:color w:val="auto"/>
        </w:rPr>
      </w:pPr>
      <w:r>
        <w:rPr>
          <w:rFonts w:ascii="Arial" w:cs="Arial" w:eastAsia="Arial" w:hAnsi="Arial"/>
          <w:sz w:val="18"/>
          <w:szCs w:val="18"/>
          <w:color w:val="auto"/>
        </w:rPr>
        <w:t>Interest income was $0.3 million and $37,000 for the nine months ended September 30, 2021 and 2020, respectively. The increase of $0.2 million was due to higher average cash and cash equivalent balances after our December 2020 IPO.</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31" w:lineRule="exact"/>
        <w:rPr>
          <w:sz w:val="20"/>
          <w:szCs w:val="20"/>
          <w:color w:val="auto"/>
        </w:rPr>
      </w:pPr>
    </w:p>
    <w:p>
      <w:pPr>
        <w:ind w:right="200" w:firstLine="509"/>
        <w:spacing w:after="0" w:line="293" w:lineRule="auto"/>
        <w:rPr>
          <w:sz w:val="20"/>
          <w:szCs w:val="20"/>
          <w:color w:val="auto"/>
        </w:rPr>
      </w:pPr>
      <w:r>
        <w:rPr>
          <w:rFonts w:ascii="Arial" w:cs="Arial" w:eastAsia="Arial" w:hAnsi="Arial"/>
          <w:sz w:val="18"/>
          <w:szCs w:val="18"/>
          <w:color w:val="auto"/>
        </w:rPr>
        <w:t>Interest expense was $3,000 and $1.4 million for the nine months ended September 30, 2021 and 2020, respectively. The decrease of $1.4 million was due to reduced interest expense as a result of the settlement of all of our convertible debt in July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Derivative Liability</w:t>
      </w:r>
    </w:p>
    <w:p>
      <w:pPr>
        <w:spacing w:after="0" w:line="131" w:lineRule="exact"/>
        <w:rPr>
          <w:sz w:val="20"/>
          <w:szCs w:val="20"/>
          <w:color w:val="auto"/>
        </w:rPr>
      </w:pPr>
    </w:p>
    <w:p>
      <w:pPr>
        <w:ind w:right="120" w:firstLine="509"/>
        <w:spacing w:after="0" w:line="279" w:lineRule="auto"/>
        <w:rPr>
          <w:sz w:val="20"/>
          <w:szCs w:val="20"/>
          <w:color w:val="auto"/>
        </w:rPr>
      </w:pPr>
      <w:r>
        <w:rPr>
          <w:rFonts w:ascii="Arial" w:cs="Arial" w:eastAsia="Arial" w:hAnsi="Arial"/>
          <w:sz w:val="18"/>
          <w:szCs w:val="18"/>
          <w:color w:val="auto"/>
        </w:rPr>
        <w:t>Change in fair value of derivative liability was $0 and $1.6 million for the nine months ended September 30, 2021 and 2020, respectively. The $1.6 million recorded was primarily due to changes in the fair value during 2020 of embedded derivatives in connection with our outstanding convertible promissory notes which all settled in July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Extinguishment of Debt</w:t>
      </w:r>
    </w:p>
    <w:p>
      <w:pPr>
        <w:spacing w:after="0" w:line="131" w:lineRule="exact"/>
        <w:rPr>
          <w:sz w:val="20"/>
          <w:szCs w:val="20"/>
          <w:color w:val="auto"/>
        </w:rPr>
      </w:pPr>
    </w:p>
    <w:p>
      <w:pPr>
        <w:ind w:right="220" w:firstLine="509"/>
        <w:spacing w:after="0" w:line="299" w:lineRule="auto"/>
        <w:rPr>
          <w:sz w:val="20"/>
          <w:szCs w:val="20"/>
          <w:color w:val="auto"/>
        </w:rPr>
      </w:pPr>
      <w:r>
        <w:rPr>
          <w:rFonts w:ascii="Arial" w:cs="Arial" w:eastAsia="Arial" w:hAnsi="Arial"/>
          <w:sz w:val="16"/>
          <w:szCs w:val="16"/>
          <w:color w:val="auto"/>
        </w:rPr>
        <w:t>Extinguishment of debt was $0.7 and ($2.9) million for the nine months ended September 30, 2021 and 2020, respectively. The $0.7 million gain and $2.9 million in recognized loss on extinguishment during the nine months ended September 30, 2021 and 2020 were related to the forgiveness of our</w:t>
      </w:r>
    </w:p>
    <w:p>
      <w:pPr>
        <w:spacing w:after="0" w:line="1" w:lineRule="exact"/>
        <w:rPr>
          <w:sz w:val="20"/>
          <w:szCs w:val="20"/>
          <w:color w:val="auto"/>
        </w:rPr>
      </w:pPr>
    </w:p>
    <w:p>
      <w:pPr>
        <w:ind w:right="500" w:firstLine="8"/>
        <w:spacing w:after="0" w:line="299" w:lineRule="auto"/>
        <w:tabs>
          <w:tab w:leader="none" w:pos="345" w:val="left"/>
        </w:tabs>
        <w:numPr>
          <w:ilvl w:val="0"/>
          <w:numId w:val="6"/>
        </w:numPr>
        <w:rPr>
          <w:rFonts w:ascii="Arial" w:cs="Arial" w:eastAsia="Arial" w:hAnsi="Arial"/>
          <w:sz w:val="16"/>
          <w:szCs w:val="16"/>
          <w:color w:val="auto"/>
        </w:rPr>
      </w:pPr>
      <w:r>
        <w:rPr>
          <w:rFonts w:ascii="Arial" w:cs="Arial" w:eastAsia="Arial" w:hAnsi="Arial"/>
          <w:sz w:val="16"/>
          <w:szCs w:val="16"/>
          <w:color w:val="auto"/>
        </w:rPr>
        <w:t>loan in July 2021, and the settlement of our then outstanding convertible promissory notes in connection with our July 2020 Series D Financing, respectively.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ind w:right="420" w:firstLine="509"/>
        <w:spacing w:after="0" w:line="293" w:lineRule="auto"/>
        <w:rPr>
          <w:sz w:val="20"/>
          <w:szCs w:val="20"/>
          <w:color w:val="auto"/>
        </w:rPr>
      </w:pPr>
      <w:r>
        <w:rPr>
          <w:rFonts w:ascii="Arial" w:cs="Arial" w:eastAsia="Arial" w:hAnsi="Arial"/>
          <w:sz w:val="18"/>
          <w:szCs w:val="18"/>
          <w:color w:val="auto"/>
        </w:rPr>
        <w:t>We have incurred aggregate net losses and negative cash flows from operations since our inception and anticipate we will continue to incur net losses for the foreseeable future. As of September 30, 2021, we had cash and cash equivalents of $269.9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and Promissory Notes</w:t>
      </w:r>
    </w:p>
    <w:p>
      <w:pPr>
        <w:spacing w:after="0" w:line="131" w:lineRule="exact"/>
        <w:rPr>
          <w:sz w:val="20"/>
          <w:szCs w:val="20"/>
          <w:color w:val="auto"/>
        </w:rPr>
      </w:pPr>
    </w:p>
    <w:p>
      <w:pPr>
        <w:jc w:val="both"/>
        <w:ind w:right="60" w:firstLine="509"/>
        <w:spacing w:after="0" w:line="279" w:lineRule="auto"/>
        <w:rPr>
          <w:sz w:val="20"/>
          <w:szCs w:val="20"/>
          <w:color w:val="auto"/>
        </w:rPr>
      </w:pPr>
      <w:r>
        <w:rPr>
          <w:rFonts w:ascii="Arial" w:cs="Arial" w:eastAsia="Arial" w:hAnsi="Arial"/>
          <w:sz w:val="18"/>
          <w:szCs w:val="18"/>
          <w:color w:val="auto"/>
        </w:rPr>
        <w:t>As of December 31, 2019, we had outstanding convertible notes with an aggregate principal balance of $19.0 million and issued an additional $2.8 million of convertible notes between March and April of 2020. All principal and accrued interest under the convertible notes was converted into our Series D convertible preferred stock in July 2020.</w:t>
      </w:r>
    </w:p>
    <w:p>
      <w:pPr>
        <w:spacing w:after="0" w:line="183" w:lineRule="exact"/>
        <w:rPr>
          <w:sz w:val="20"/>
          <w:szCs w:val="20"/>
          <w:color w:val="auto"/>
        </w:rPr>
      </w:pPr>
    </w:p>
    <w:p>
      <w:pPr>
        <w:ind w:right="220" w:firstLine="509"/>
        <w:spacing w:after="0" w:line="299" w:lineRule="auto"/>
        <w:rPr>
          <w:sz w:val="20"/>
          <w:szCs w:val="20"/>
          <w:color w:val="auto"/>
        </w:rPr>
      </w:pPr>
      <w:r>
        <w:rPr>
          <w:rFonts w:ascii="Arial" w:cs="Arial" w:eastAsia="Arial" w:hAnsi="Arial"/>
          <w:sz w:val="16"/>
          <w:szCs w:val="16"/>
          <w:color w:val="auto"/>
        </w:rPr>
        <w:t>On April 22, 2020, we received proceeds from a loan, or PPP Loan, in the amount of $0.7 million from City National Bank, as lender, pursuant to the Paycheck Protection Program, or PPP, of the CARES Act. The PPP Loan was evidenced by a promissory note, or Note, which contains customary events of default relating to, among other things, payment defaults and breaches of representations, warranties or terms of the PPP Loan documents. The</w:t>
      </w:r>
    </w:p>
    <w:p>
      <w:pPr>
        <w:spacing w:after="0" w:line="2" w:lineRule="exact"/>
        <w:rPr>
          <w:sz w:val="20"/>
          <w:szCs w:val="20"/>
          <w:color w:val="auto"/>
        </w:rPr>
      </w:pPr>
    </w:p>
    <w:p>
      <w:pPr>
        <w:ind w:right="160" w:firstLine="8"/>
        <w:spacing w:after="0" w:line="358" w:lineRule="auto"/>
        <w:tabs>
          <w:tab w:leader="none" w:pos="345" w:val="left"/>
        </w:tabs>
        <w:numPr>
          <w:ilvl w:val="0"/>
          <w:numId w:val="7"/>
        </w:numPr>
        <w:rPr>
          <w:rFonts w:ascii="Arial" w:cs="Arial" w:eastAsia="Arial" w:hAnsi="Arial"/>
          <w:sz w:val="16"/>
          <w:szCs w:val="16"/>
          <w:color w:val="auto"/>
        </w:rPr>
      </w:pPr>
      <w:r>
        <w:rPr>
          <w:rFonts w:ascii="Arial" w:cs="Arial" w:eastAsia="Arial" w:hAnsi="Arial"/>
          <w:sz w:val="16"/>
          <w:szCs w:val="16"/>
          <w:color w:val="auto"/>
        </w:rPr>
        <w:t>Loan was scheduled to mature on April 22, 2022 with monthly payments of principal and interest scheduled to begin in August 2021. Prepayment of the PPP Loan was permitted at any time prior to maturity with no prepayment penalties.</w:t>
      </w:r>
    </w:p>
    <w:p>
      <w:pPr>
        <w:spacing w:after="0" w:line="125" w:lineRule="exact"/>
        <w:rPr>
          <w:sz w:val="20"/>
          <w:szCs w:val="20"/>
          <w:color w:val="auto"/>
        </w:rPr>
      </w:pPr>
    </w:p>
    <w:p>
      <w:pPr>
        <w:jc w:val="both"/>
        <w:ind w:right="200" w:firstLine="509"/>
        <w:spacing w:after="0" w:line="279" w:lineRule="auto"/>
        <w:rPr>
          <w:sz w:val="20"/>
          <w:szCs w:val="20"/>
          <w:color w:val="auto"/>
        </w:rPr>
      </w:pPr>
      <w:r>
        <w:rPr>
          <w:rFonts w:ascii="Arial" w:cs="Arial" w:eastAsia="Arial" w:hAnsi="Arial"/>
          <w:sz w:val="18"/>
          <w:szCs w:val="18"/>
          <w:color w:val="auto"/>
        </w:rPr>
        <w:t>We applied for debt forgiveness on our PPP loan in June 2021. On July 2, 2021, we were notified by our lender, City National Bank, that our PPP Loan had been fully forgiven by the SBA and that there was no remaining balance on the PPP Loan. We recorded the forgiveness as other income in July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31" w:lineRule="exact"/>
        <w:rPr>
          <w:sz w:val="20"/>
          <w:szCs w:val="20"/>
          <w:color w:val="auto"/>
        </w:rPr>
      </w:pPr>
    </w:p>
    <w:p>
      <w:pPr>
        <w:ind w:right="20" w:firstLine="509"/>
        <w:spacing w:after="0" w:line="324" w:lineRule="auto"/>
        <w:rPr>
          <w:sz w:val="20"/>
          <w:szCs w:val="20"/>
          <w:color w:val="auto"/>
        </w:rPr>
      </w:pPr>
      <w:r>
        <w:rPr>
          <w:rFonts w:ascii="Arial" w:cs="Arial" w:eastAsia="Arial" w:hAnsi="Arial"/>
          <w:sz w:val="17"/>
          <w:szCs w:val="17"/>
          <w:color w:val="auto"/>
        </w:rPr>
        <w:t>Our primary uses of cash are to fund operating expenses, which consist primarily of research and development expenses related to our programs and related personnel costs. The timing and amount of future funding requirements depends on many factors, including the following:</w:t>
      </w:r>
    </w:p>
    <w:p>
      <w:pPr>
        <w:spacing w:after="0" w:line="39" w:lineRule="exact"/>
        <w:rPr>
          <w:sz w:val="20"/>
          <w:szCs w:val="20"/>
          <w:color w:val="auto"/>
        </w:rPr>
      </w:pPr>
    </w:p>
    <w:p>
      <w:pPr>
        <w:ind w:left="960" w:right="440"/>
        <w:spacing w:after="0" w:line="293" w:lineRule="auto"/>
        <w:rPr>
          <w:sz w:val="20"/>
          <w:szCs w:val="20"/>
          <w:color w:val="auto"/>
        </w:rPr>
      </w:pPr>
      <w:r>
        <w:rPr>
          <w:rFonts w:ascii="Arial" w:cs="Arial" w:eastAsia="Arial" w:hAnsi="Arial"/>
          <w:sz w:val="18"/>
          <w:szCs w:val="18"/>
          <w:color w:val="auto"/>
        </w:rPr>
        <w:t>the initiation, scope, rate of progress, results and costs of our preclinical studies, clinical trials and other related activities for our product candidates;</w:t>
      </w:r>
    </w:p>
    <w:p>
      <w:pPr>
        <w:spacing w:after="0" w:line="62" w:lineRule="exact"/>
        <w:rPr>
          <w:sz w:val="20"/>
          <w:szCs w:val="20"/>
          <w:color w:val="auto"/>
        </w:rPr>
      </w:pPr>
    </w:p>
    <w:p>
      <w:pPr>
        <w:ind w:left="960" w:right="280"/>
        <w:spacing w:after="0" w:line="293" w:lineRule="auto"/>
        <w:rPr>
          <w:sz w:val="20"/>
          <w:szCs w:val="20"/>
          <w:color w:val="auto"/>
        </w:rPr>
      </w:pPr>
      <w:r>
        <w:rPr>
          <w:rFonts w:ascii="Arial" w:cs="Arial" w:eastAsia="Arial" w:hAnsi="Arial"/>
          <w:sz w:val="18"/>
          <w:szCs w:val="18"/>
          <w:color w:val="auto"/>
        </w:rPr>
        <w:t>the costs associated with manufacturing our product candidates and establishing commercial supplies and sales, marketing and distribution capabilities;</w:t>
      </w:r>
    </w:p>
    <w:p>
      <w:pPr>
        <w:spacing w:after="0" w:line="62" w:lineRule="exact"/>
        <w:rPr>
          <w:sz w:val="20"/>
          <w:szCs w:val="20"/>
          <w:color w:val="auto"/>
        </w:rPr>
      </w:pPr>
    </w:p>
    <w:p>
      <w:pPr>
        <w:ind w:left="960" w:right="3600"/>
        <w:spacing w:after="0" w:line="414" w:lineRule="auto"/>
        <w:rPr>
          <w:sz w:val="20"/>
          <w:szCs w:val="20"/>
          <w:color w:val="auto"/>
        </w:rPr>
      </w:pPr>
      <w:r>
        <w:rPr>
          <w:rFonts w:ascii="Arial" w:cs="Arial" w:eastAsia="Arial" w:hAnsi="Arial"/>
          <w:sz w:val="17"/>
          <w:szCs w:val="17"/>
          <w:color w:val="auto"/>
        </w:rPr>
        <w:t>the timing and costs of capital expenditures to support our research and development efforts; the number and characteristics of other product candidates that we pursue;</w:t>
      </w:r>
    </w:p>
    <w:p>
      <w:pPr>
        <w:spacing w:after="0" w:line="1" w:lineRule="exact"/>
        <w:rPr>
          <w:sz w:val="20"/>
          <w:szCs w:val="20"/>
          <w:color w:val="auto"/>
        </w:rPr>
      </w:pPr>
    </w:p>
    <w:p>
      <w:pPr>
        <w:ind w:left="960" w:right="160"/>
        <w:spacing w:after="0" w:line="279" w:lineRule="auto"/>
        <w:rPr>
          <w:sz w:val="20"/>
          <w:szCs w:val="20"/>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timing, receipt and amount of sales from our potential products;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need and ability to hire additional management, scientific and medical personnel;</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effect of competing products that may limit market penetration of our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31"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the economic and other terms, timing and success of any collaboration, licensing, or other arrangements into which we may enter in the future, including the timing of receipt of any milestone or royalty payments under these agreements;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compliance and administrative costs associated with being a public company; and</w:t>
      </w:r>
    </w:p>
    <w:p>
      <w:pPr>
        <w:spacing w:after="0" w:line="131" w:lineRule="exact"/>
        <w:rPr>
          <w:sz w:val="20"/>
          <w:szCs w:val="20"/>
          <w:color w:val="auto"/>
        </w:rPr>
      </w:pPr>
    </w:p>
    <w:p>
      <w:pPr>
        <w:ind w:left="960" w:right="100"/>
        <w:spacing w:after="0" w:line="293" w:lineRule="auto"/>
        <w:rPr>
          <w:sz w:val="20"/>
          <w:szCs w:val="20"/>
          <w:color w:val="auto"/>
        </w:rPr>
      </w:pPr>
      <w:r>
        <w:rPr>
          <w:rFonts w:ascii="Arial" w:cs="Arial" w:eastAsia="Arial" w:hAnsi="Arial"/>
          <w:sz w:val="18"/>
          <w:szCs w:val="18"/>
          <w:color w:val="auto"/>
        </w:rPr>
        <w:t>the extent to which we acquire or invest in businesses, products or technologies, although we have no commitments or agreements relating to any of these types of transactions.</w:t>
      </w:r>
    </w:p>
    <w:p>
      <w:pPr>
        <w:spacing w:after="0" w:line="170" w:lineRule="exact"/>
        <w:rPr>
          <w:sz w:val="20"/>
          <w:szCs w:val="20"/>
          <w:color w:val="auto"/>
        </w:rPr>
      </w:pPr>
    </w:p>
    <w:p>
      <w:pPr>
        <w:jc w:val="both"/>
        <w:ind w:right="20" w:firstLine="509"/>
        <w:spacing w:after="0" w:line="279" w:lineRule="auto"/>
        <w:rPr>
          <w:sz w:val="20"/>
          <w:szCs w:val="20"/>
          <w:color w:val="auto"/>
        </w:rPr>
      </w:pPr>
      <w:r>
        <w:rPr>
          <w:rFonts w:ascii="Arial" w:cs="Arial" w:eastAsia="Arial" w:hAnsi="Arial"/>
          <w:sz w:val="18"/>
          <w:szCs w:val="18"/>
          <w:color w:val="auto"/>
        </w:rPr>
        <w:t>Based on our current operating plan, our current cash and cash equivalents are expected to be sufficient to fund our ongoing operations into the first half of 2024. However, we have based this estimate on assumptions that may prove to be wrong, and we could utilize our available capital resources sooner than we currently expect.</w:t>
      </w:r>
    </w:p>
    <w:p>
      <w:pPr>
        <w:spacing w:after="0" w:line="183" w:lineRule="exact"/>
        <w:rPr>
          <w:sz w:val="20"/>
          <w:szCs w:val="20"/>
          <w:color w:val="auto"/>
        </w:rPr>
      </w:pPr>
    </w:p>
    <w:p>
      <w:pPr>
        <w:ind w:right="460" w:firstLine="509"/>
        <w:spacing w:after="0" w:line="266" w:lineRule="auto"/>
        <w:rPr>
          <w:sz w:val="20"/>
          <w:szCs w:val="20"/>
          <w:color w:val="auto"/>
        </w:rPr>
      </w:pPr>
      <w:r>
        <w:rPr>
          <w:rFonts w:ascii="Arial" w:cs="Arial" w:eastAsia="Arial" w:hAnsi="Arial"/>
          <w:sz w:val="18"/>
          <w:szCs w:val="18"/>
          <w:color w:val="auto"/>
        </w:rPr>
        <w:t>In addition, we will require additional funding in order to complete development of our product candidates and commercialize our products, if approved. We may seek to raise any necessary additional capital through a combination of public or private equity offerings, debt financings, collaborations, strategic alliances, licensing arrangements and other marketing and distribution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6" w:name="page27"/>
    <w:bookmarkEnd w:id="26"/>
    <w:p>
      <w:pPr>
        <w:ind w:right="40"/>
        <w:spacing w:after="0" w:line="284" w:lineRule="auto"/>
        <w:rPr>
          <w:sz w:val="20"/>
          <w:szCs w:val="20"/>
          <w:color w:val="auto"/>
        </w:rPr>
      </w:pPr>
      <w:r>
        <w:rPr>
          <w:rFonts w:ascii="Arial" w:cs="Arial" w:eastAsia="Arial" w:hAnsi="Arial"/>
          <w:sz w:val="17"/>
          <w:szCs w:val="17"/>
          <w:color w:val="auto"/>
        </w:rPr>
        <w:t>arrangements. We cannot assure you that, in the event we require additional financing,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Because of the numerous risks and uncertainties associated with the development and commercialization of our product candidates, we are unable to estimate the amounts of increased capital outlays and operating expenditures associated with our current and anticipated preclinical studies and clinical trials.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For example, market volatility resulting from the COVID-19 pandemic could adversely impact our ability to access capital as and when needed. We may choose to raise additional capital through the issuance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our investors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summarizes our cash flows for the periods indicated:</w:t>
      </w:r>
    </w:p>
    <w:p>
      <w:pPr>
        <w:spacing w:after="0" w:line="257" w:lineRule="exact"/>
        <w:rPr>
          <w:sz w:val="20"/>
          <w:szCs w:val="20"/>
          <w:color w:val="auto"/>
        </w:rPr>
      </w:pPr>
    </w:p>
    <w:p>
      <w:pPr>
        <w:jc w:val="center"/>
        <w:ind w:left="4700"/>
        <w:spacing w:after="0"/>
        <w:rPr>
          <w:sz w:val="20"/>
          <w:szCs w:val="20"/>
          <w:color w:val="auto"/>
        </w:rPr>
      </w:pPr>
      <w:r>
        <w:rPr>
          <w:rFonts w:ascii="Arial" w:cs="Arial" w:eastAsia="Arial" w:hAnsi="Arial"/>
          <w:sz w:val="14"/>
          <w:szCs w:val="14"/>
          <w:b w:val="1"/>
          <w:bCs w:val="1"/>
          <w:color w:val="auto"/>
        </w:rPr>
        <w:t>Nine Months Ended</w:t>
      </w:r>
    </w:p>
    <w:p>
      <w:pPr>
        <w:spacing w:after="0" w:line="25" w:lineRule="exact"/>
        <w:rPr>
          <w:sz w:val="20"/>
          <w:szCs w:val="20"/>
          <w:color w:val="auto"/>
        </w:rPr>
      </w:pPr>
    </w:p>
    <w:p>
      <w:pPr>
        <w:jc w:val="center"/>
        <w:ind w:left="47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17145</wp:posOffset>
            </wp:positionV>
            <wp:extent cx="18599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24"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r>
      <w:tr>
        <w:trPr>
          <w:trHeight w:val="196"/>
        </w:trPr>
        <w:tc>
          <w:tcPr>
            <w:tcW w:w="4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50"/>
        </w:trPr>
        <w:tc>
          <w:tcPr>
            <w:tcW w:w="48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(41,265 )</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(22,328 )</w:t>
            </w:r>
          </w:p>
        </w:tc>
      </w:tr>
      <w:tr>
        <w:trPr>
          <w:trHeight w:val="263"/>
        </w:trPr>
        <w:tc>
          <w:tcPr>
            <w:tcW w:w="48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(835 )</w:t>
            </w:r>
          </w:p>
        </w:tc>
        <w:tc>
          <w:tcPr>
            <w:tcW w:w="50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(195 )</w:t>
            </w:r>
          </w:p>
        </w:tc>
      </w:tr>
      <w:tr>
        <w:trPr>
          <w:trHeight w:val="250"/>
        </w:trPr>
        <w:tc>
          <w:tcPr>
            <w:tcW w:w="48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73,420</w:t>
            </w:r>
          </w:p>
        </w:tc>
        <w:tc>
          <w:tcPr>
            <w:tcW w:w="1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75,576</w:t>
            </w:r>
          </w:p>
        </w:tc>
        <w:tc>
          <w:tcPr>
            <w:tcW w:w="120" w:type="dxa"/>
            <w:vAlign w:val="bottom"/>
          </w:tcPr>
          <w:p>
            <w:pPr>
              <w:spacing w:after="0"/>
              <w:rPr>
                <w:sz w:val="21"/>
                <w:szCs w:val="21"/>
                <w:color w:val="auto"/>
              </w:rPr>
            </w:pPr>
          </w:p>
        </w:tc>
      </w:tr>
      <w:tr>
        <w:trPr>
          <w:trHeight w:val="290"/>
        </w:trPr>
        <w:tc>
          <w:tcPr>
            <w:tcW w:w="4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31,320</w:t>
            </w:r>
          </w:p>
        </w:tc>
        <w:tc>
          <w:tcPr>
            <w:tcW w:w="12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53,053</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-24765</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Operating Activities</w:t>
      </w:r>
    </w:p>
    <w:p>
      <w:pPr>
        <w:spacing w:after="0" w:line="131"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Net cash used in operating activities totaled $41.3 million for the nine months ended September 30, 2021, which consisted of a consolidated net loss of $72.0 million, a net change of $9.3 million in our operating assets and liabilities and $21.4 million of non-cash transactions. The net change in our operating assets and liabilities was primarily due to an increase in accounts payable and accrued expenses of $10.8 million, offset by an increase in prepaid expenses and other assets of $1.5 million. The non-cash transactions primarily consisted of $21.3 million of stock-based compensation and non-cash charges of $1.0 million related to depreciation and amortization, offset by the $0.7 million gain on the extinguishment of our PPP loan and $0.2 million of deferred rent.</w:t>
      </w:r>
    </w:p>
    <w:p>
      <w:pPr>
        <w:spacing w:after="0" w:line="191" w:lineRule="exact"/>
        <w:rPr>
          <w:sz w:val="20"/>
          <w:szCs w:val="20"/>
          <w:color w:val="auto"/>
        </w:rPr>
      </w:pPr>
    </w:p>
    <w:p>
      <w:pPr>
        <w:ind w:firstLine="509"/>
        <w:spacing w:after="0" w:line="288" w:lineRule="auto"/>
        <w:rPr>
          <w:sz w:val="20"/>
          <w:szCs w:val="20"/>
          <w:color w:val="auto"/>
        </w:rPr>
      </w:pPr>
      <w:r>
        <w:rPr>
          <w:rFonts w:ascii="Arial" w:cs="Arial" w:eastAsia="Arial" w:hAnsi="Arial"/>
          <w:sz w:val="17"/>
          <w:szCs w:val="17"/>
          <w:color w:val="auto"/>
        </w:rPr>
        <w:t>Net cash used in operating activities for the nine months ended September 30, 2020 was $22.3 million, which consisted of a consolidated net loss of $19.5 million and a net change of ($1.7) million in our net operating assets and liabilities, compounded by a decrease of $1.2 million in non-cash transactions. The net change in our operating assets and liabilities was primarily due to a decrease in accounts payable and accrued expenses of $1.3 million and a decrease in deferred revenue of $0.4 million. The $1.2 million change in non-cash transactions primarily consisted of a decrease in the profits interest liability of $7.6 million primarily due to a decrease in the fair value of the underlying awards, partially offset by accrued interest of $0.9 million on our outstanding convertible debt, $1.6 million related to the change in fair value of our derivative liability, $0.5 million of non-cash interest, $0.7 million related to depreciation and amortization and $2.9 million related to the loss on the extinguishment of our convertible debt.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131" w:lineRule="exact"/>
        <w:rPr>
          <w:sz w:val="20"/>
          <w:szCs w:val="20"/>
          <w:color w:val="auto"/>
        </w:rPr>
      </w:pPr>
    </w:p>
    <w:p>
      <w:pPr>
        <w:ind w:right="100" w:firstLine="509"/>
        <w:spacing w:after="0" w:line="266" w:lineRule="auto"/>
        <w:rPr>
          <w:sz w:val="20"/>
          <w:szCs w:val="20"/>
          <w:color w:val="auto"/>
        </w:rPr>
      </w:pPr>
      <w:r>
        <w:rPr>
          <w:rFonts w:ascii="Arial" w:cs="Arial" w:eastAsia="Arial" w:hAnsi="Arial"/>
          <w:sz w:val="18"/>
          <w:szCs w:val="18"/>
          <w:color w:val="auto"/>
        </w:rPr>
        <w:t>Cash used in investing activities was $0.8 million and $0.2 million for the nine months ended September 30, 2021 and 2020, respectively, related to the purchase of property and equipment.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31" w:lineRule="exact"/>
        <w:rPr>
          <w:sz w:val="20"/>
          <w:szCs w:val="20"/>
          <w:color w:val="auto"/>
        </w:rPr>
      </w:pPr>
    </w:p>
    <w:p>
      <w:pPr>
        <w:ind w:right="20" w:firstLine="509"/>
        <w:spacing w:after="0" w:line="275" w:lineRule="auto"/>
        <w:rPr>
          <w:sz w:val="20"/>
          <w:szCs w:val="20"/>
          <w:color w:val="auto"/>
        </w:rPr>
      </w:pPr>
      <w:r>
        <w:rPr>
          <w:rFonts w:ascii="Arial" w:cs="Arial" w:eastAsia="Arial" w:hAnsi="Arial"/>
          <w:sz w:val="18"/>
          <w:szCs w:val="18"/>
          <w:color w:val="auto"/>
        </w:rPr>
        <w:t>Net cash provided by financing activities was $73.4 million for the nine months ended September 30, 2021, which consisted primarily of the proceeds from the issuance of common stock through a Private Placement of $75.0 million, the proceeds from the issuance of common stock under our Employee Stock Purchase Plan of $0.2 million, and $0.1 million due to the exercise of stock options under our Equity Incentive Plan, partially offset by our payment of initial public offering costs of $1.9 million.</w:t>
      </w:r>
    </w:p>
    <w:p>
      <w:pPr>
        <w:spacing w:after="0" w:line="185" w:lineRule="exact"/>
        <w:rPr>
          <w:sz w:val="20"/>
          <w:szCs w:val="20"/>
          <w:color w:val="auto"/>
        </w:rPr>
      </w:pPr>
    </w:p>
    <w:p>
      <w:pPr>
        <w:ind w:right="180" w:firstLine="509"/>
        <w:spacing w:after="0" w:line="275" w:lineRule="auto"/>
        <w:rPr>
          <w:sz w:val="20"/>
          <w:szCs w:val="20"/>
          <w:color w:val="auto"/>
        </w:rPr>
      </w:pPr>
      <w:r>
        <w:rPr>
          <w:rFonts w:ascii="Arial" w:cs="Arial" w:eastAsia="Arial" w:hAnsi="Arial"/>
          <w:sz w:val="18"/>
          <w:szCs w:val="18"/>
          <w:color w:val="auto"/>
        </w:rPr>
        <w:t>Net cash provided by financing activities was $75.6 million for the nine months ended September 30, 2020, which consisted primarily of $72.3 million of net proceeds from the issuance of Series D convertible preferred stock, $2.8 million of proceeds from the issuance of convertible promissory notes and $0.7 million of proceeds from a PPP loan, offset by the payment of $0.1 million of costs incurred in connection with our proposed initial public offering.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5"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and conditions.</w:t>
      </w:r>
    </w:p>
    <w:p>
      <w:pPr>
        <w:spacing w:after="0" w:line="163"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policies, see the section entitled “Management’s Discussion and Analysis of Financial Condition and Results of Operations — Critical Accounting Policies and Estimates” contained in our Annual Report on Form 10-K for the year ended December 31, 2020. There have not been any material changes to the critical accounting policies discussed therein during the nine months ended September 30,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not entered into any off-balance sheet arrangements, as defined in the rules and regulations of the SEC.</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 to a smaller reporting company.</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5" w:lineRule="exact"/>
        <w:rPr>
          <w:sz w:val="20"/>
          <w:szCs w:val="20"/>
          <w:color w:val="auto"/>
        </w:rPr>
      </w:pPr>
    </w:p>
    <w:p>
      <w:pPr>
        <w:ind w:right="20" w:firstLine="509"/>
        <w:spacing w:after="0" w:line="281" w:lineRule="auto"/>
        <w:rPr>
          <w:sz w:val="20"/>
          <w:szCs w:val="20"/>
          <w:color w:val="auto"/>
        </w:rPr>
      </w:pPr>
      <w:r>
        <w:rPr>
          <w:rFonts w:ascii="Arial" w:cs="Arial" w:eastAsia="Arial" w:hAnsi="Arial"/>
          <w:sz w:val="17"/>
          <w:szCs w:val="17"/>
          <w:color w:val="auto"/>
        </w:rPr>
        <w:t>As required by Rules 13a-15(b) and 15d-15(b) of the Exchange Act, our management with the participation of our Chief Executive Officer and our Chief Financial Officer, evaluated the effectiveness of our disclosure controls and procedures as of September 30,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2021, our Chief Executive Officer and our Chief Financial Officer concluded that, as of such date, our disclosure controls and procedures were effective at the reasonable assurance level.</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5" w:lineRule="exact"/>
        <w:rPr>
          <w:sz w:val="20"/>
          <w:szCs w:val="20"/>
          <w:color w:val="auto"/>
        </w:rPr>
      </w:pPr>
    </w:p>
    <w:p>
      <w:pPr>
        <w:ind w:right="660" w:firstLine="509"/>
        <w:spacing w:after="0" w:line="293"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2021 that have materially affected, or are reasonably likely to materially affect, our internal control over financial reporting.</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From time to time, we may be subject to various claims and suits arising in the ordinary course of business. We are not currently a party to any legal proceedings the outcome of which we believe, if determined adversely to us, would individually or in the aggregate have a material adverse effect on our business, operating results or financial condition.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35" w:lineRule="exact"/>
        <w:rPr>
          <w:sz w:val="20"/>
          <w:szCs w:val="20"/>
          <w:color w:val="auto"/>
        </w:rPr>
      </w:pPr>
    </w:p>
    <w:p>
      <w:pPr>
        <w:ind w:right="160" w:firstLine="509"/>
        <w:spacing w:after="0" w:line="275" w:lineRule="auto"/>
        <w:rPr>
          <w:sz w:val="20"/>
          <w:szCs w:val="20"/>
          <w:color w:val="auto"/>
        </w:rPr>
      </w:pPr>
      <w:r>
        <w:rPr>
          <w:rFonts w:ascii="Arial" w:cs="Arial" w:eastAsia="Arial" w:hAnsi="Arial"/>
          <w:sz w:val="18"/>
          <w:szCs w:val="18"/>
          <w:color w:val="auto"/>
        </w:rPr>
        <w:t>Investing in our common stock involves a high degree of risk. You should carefully consider all information in this Annual Report on Form 10-K, including our consolidated financial statements and related notes appearing elsewhere in this prospectus and “Management’s discussion and analysis of financial condition and results of operations,” before purchasing our common stock. These risks are discussed more fully in the section titled “Risk Factors.” These risks and uncertainties include, but are not limited to, the following:</w:t>
      </w:r>
    </w:p>
    <w:p>
      <w:pPr>
        <w:spacing w:after="0" w:line="77" w:lineRule="exact"/>
        <w:rPr>
          <w:sz w:val="20"/>
          <w:szCs w:val="20"/>
          <w:color w:val="auto"/>
        </w:rPr>
      </w:pPr>
    </w:p>
    <w:p>
      <w:pPr>
        <w:ind w:left="960" w:right="220"/>
        <w:spacing w:after="0" w:line="293" w:lineRule="auto"/>
        <w:rPr>
          <w:sz w:val="20"/>
          <w:szCs w:val="20"/>
          <w:color w:val="auto"/>
        </w:rPr>
      </w:pPr>
      <w:r>
        <w:rPr>
          <w:rFonts w:ascii="Arial" w:cs="Arial" w:eastAsia="Arial" w:hAnsi="Arial"/>
          <w:sz w:val="18"/>
          <w:szCs w:val="18"/>
          <w:color w:val="auto"/>
        </w:rPr>
        <w:t>We are a clinical-stage biopharmaceutical company with a limited operating history and no products approved for commercial sale, and we have a history of significant losses and expect to continue to incur significant losses for the foreseeable future.</w:t>
      </w:r>
    </w:p>
    <w:p>
      <w:pPr>
        <w:spacing w:after="0" w:line="62" w:lineRule="exact"/>
        <w:rPr>
          <w:sz w:val="20"/>
          <w:szCs w:val="20"/>
          <w:color w:val="auto"/>
        </w:rPr>
      </w:pPr>
    </w:p>
    <w:p>
      <w:pPr>
        <w:ind w:left="960" w:right="400"/>
        <w:spacing w:after="0" w:line="279" w:lineRule="auto"/>
        <w:rPr>
          <w:sz w:val="20"/>
          <w:szCs w:val="20"/>
          <w:color w:val="auto"/>
        </w:rPr>
      </w:pPr>
      <w:r>
        <w:rPr>
          <w:rFonts w:ascii="Arial" w:cs="Arial" w:eastAsia="Arial" w:hAnsi="Arial"/>
          <w:sz w:val="18"/>
          <w:szCs w:val="18"/>
          <w:color w:val="auto"/>
        </w:rPr>
        <w:t>We will require substantial additional capital to finance our operations, and if we fail to raise such capital when needed, or on acceptable terms, we may be forced to delay, reduce or eliminate one or more of our research and drug development programs or future commercialization efforts.</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product candidates may fail in development or suffer delays that adversely affect their commercial viability.</w:t>
      </w:r>
    </w:p>
    <w:p>
      <w:pPr>
        <w:spacing w:after="0" w:line="131" w:lineRule="exact"/>
        <w:rPr>
          <w:sz w:val="20"/>
          <w:szCs w:val="20"/>
          <w:color w:val="auto"/>
        </w:rPr>
      </w:pPr>
    </w:p>
    <w:p>
      <w:pPr>
        <w:ind w:left="960" w:right="460"/>
        <w:spacing w:after="0" w:line="293" w:lineRule="auto"/>
        <w:rPr>
          <w:sz w:val="20"/>
          <w:szCs w:val="20"/>
          <w:color w:val="auto"/>
        </w:rPr>
      </w:pPr>
      <w:r>
        <w:rPr>
          <w:rFonts w:ascii="Arial" w:cs="Arial" w:eastAsia="Arial" w:hAnsi="Arial"/>
          <w:sz w:val="18"/>
          <w:szCs w:val="18"/>
          <w:color w:val="auto"/>
        </w:rPr>
        <w:t>We are substantially dependent on the success of our patented CAB technology platform, and our future success depends heavily on the successful development of this platform.</w:t>
      </w:r>
    </w:p>
    <w:p>
      <w:pPr>
        <w:spacing w:after="0" w:line="62" w:lineRule="exact"/>
        <w:rPr>
          <w:sz w:val="20"/>
          <w:szCs w:val="20"/>
          <w:color w:val="auto"/>
        </w:rPr>
      </w:pPr>
    </w:p>
    <w:p>
      <w:pPr>
        <w:ind w:left="960" w:right="40"/>
        <w:spacing w:after="0" w:line="293" w:lineRule="auto"/>
        <w:rPr>
          <w:sz w:val="20"/>
          <w:szCs w:val="20"/>
          <w:color w:val="auto"/>
        </w:rPr>
      </w:pPr>
      <w:r>
        <w:rPr>
          <w:rFonts w:ascii="Arial" w:cs="Arial" w:eastAsia="Arial" w:hAnsi="Arial"/>
          <w:sz w:val="18"/>
          <w:szCs w:val="18"/>
          <w:color w:val="auto"/>
        </w:rPr>
        <w:t>We may expend our resources to pursue particular product candidates and fail to capitalize on product candidates that may be more profitable or for which there is a greater likelihood of success.</w:t>
      </w:r>
    </w:p>
    <w:p>
      <w:pPr>
        <w:spacing w:after="0" w:line="62" w:lineRule="exact"/>
        <w:rPr>
          <w:sz w:val="20"/>
          <w:szCs w:val="20"/>
          <w:color w:val="auto"/>
        </w:rPr>
      </w:pPr>
    </w:p>
    <w:p>
      <w:pPr>
        <w:ind w:left="960" w:right="580"/>
        <w:spacing w:after="0" w:line="293" w:lineRule="auto"/>
        <w:rPr>
          <w:sz w:val="20"/>
          <w:szCs w:val="20"/>
          <w:color w:val="auto"/>
        </w:rPr>
      </w:pPr>
      <w:r>
        <w:rPr>
          <w:rFonts w:ascii="Arial" w:cs="Arial" w:eastAsia="Arial" w:hAnsi="Arial"/>
          <w:sz w:val="18"/>
          <w:szCs w:val="18"/>
          <w:color w:val="auto"/>
        </w:rPr>
        <w:t>The market may not be receptive to our product candidates because they are based on our novel therapeutic modality, and we may not generate any future revenue from the sale or licensing of product candidates.</w:t>
      </w:r>
    </w:p>
    <w:p>
      <w:pPr>
        <w:spacing w:after="0" w:line="62" w:lineRule="exact"/>
        <w:rPr>
          <w:sz w:val="20"/>
          <w:szCs w:val="20"/>
          <w:color w:val="auto"/>
        </w:rPr>
      </w:pPr>
    </w:p>
    <w:p>
      <w:pPr>
        <w:ind w:left="960" w:right="260"/>
        <w:spacing w:after="0" w:line="293" w:lineRule="auto"/>
        <w:rPr>
          <w:sz w:val="20"/>
          <w:szCs w:val="20"/>
          <w:color w:val="auto"/>
        </w:rPr>
      </w:pPr>
      <w:r>
        <w:rPr>
          <w:rFonts w:ascii="Arial" w:cs="Arial" w:eastAsia="Arial" w:hAnsi="Arial"/>
          <w:sz w:val="18"/>
          <w:szCs w:val="18"/>
          <w:color w:val="auto"/>
        </w:rPr>
        <w:t>Results from early-stage clinical trials may not be predictive of results from late-stage or other clinical trials, and the results of our clinical trials may not satisfy the requirements of the FDA, EMA or other comparable foreign regulatory authorities.</w:t>
      </w:r>
    </w:p>
    <w:p>
      <w:pPr>
        <w:spacing w:after="0" w:line="62" w:lineRule="exact"/>
        <w:rPr>
          <w:sz w:val="20"/>
          <w:szCs w:val="20"/>
          <w:color w:val="auto"/>
        </w:rPr>
      </w:pPr>
    </w:p>
    <w:p>
      <w:pPr>
        <w:jc w:val="both"/>
        <w:ind w:left="960" w:right="140"/>
        <w:spacing w:after="0" w:line="324" w:lineRule="auto"/>
        <w:rPr>
          <w:sz w:val="20"/>
          <w:szCs w:val="20"/>
          <w:color w:val="auto"/>
        </w:rPr>
      </w:pPr>
      <w:r>
        <w:rPr>
          <w:rFonts w:ascii="Arial" w:cs="Arial" w:eastAsia="Arial" w:hAnsi="Arial"/>
          <w:sz w:val="17"/>
          <w:szCs w:val="17"/>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9" w:lineRule="exact"/>
        <w:rPr>
          <w:sz w:val="20"/>
          <w:szCs w:val="20"/>
          <w:color w:val="auto"/>
        </w:rPr>
      </w:pPr>
    </w:p>
    <w:p>
      <w:pPr>
        <w:ind w:left="960" w:right="1000"/>
        <w:spacing w:after="0" w:line="293" w:lineRule="auto"/>
        <w:rPr>
          <w:sz w:val="20"/>
          <w:szCs w:val="20"/>
          <w:color w:val="auto"/>
        </w:rPr>
      </w:pPr>
      <w:r>
        <w:rPr>
          <w:rFonts w:ascii="Arial" w:cs="Arial" w:eastAsia="Arial" w:hAnsi="Arial"/>
          <w:sz w:val="18"/>
          <w:szCs w:val="18"/>
          <w:color w:val="auto"/>
        </w:rPr>
        <w:t>Delays in the commencement and completion of clinical trials could increase costs and delay or prevent regulatory approval and commercialization of our product candidates.</w:t>
      </w:r>
    </w:p>
    <w:p>
      <w:pPr>
        <w:spacing w:after="0" w:line="62" w:lineRule="exact"/>
        <w:rPr>
          <w:sz w:val="20"/>
          <w:szCs w:val="20"/>
          <w:color w:val="auto"/>
        </w:rPr>
      </w:pPr>
    </w:p>
    <w:p>
      <w:pPr>
        <w:ind w:left="960" w:right="100"/>
        <w:spacing w:after="0" w:line="293" w:lineRule="auto"/>
        <w:rPr>
          <w:sz w:val="20"/>
          <w:szCs w:val="20"/>
          <w:color w:val="auto"/>
        </w:rPr>
      </w:pPr>
      <w:r>
        <w:rPr>
          <w:rFonts w:ascii="Arial" w:cs="Arial" w:eastAsia="Arial" w:hAnsi="Arial"/>
          <w:sz w:val="18"/>
          <w:szCs w:val="18"/>
          <w:color w:val="auto"/>
        </w:rPr>
        <w:t>We face competition from entities that have developed or may develop product candidates for cancer, including companies developing novel treatments and technology platforms.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We may be unable to obtain U.S. or foreign regulatory approval and, as a result, unable to commercialize our product candidates.</w:t>
      </w:r>
    </w:p>
    <w:p>
      <w:pPr>
        <w:spacing w:after="0" w:line="142" w:lineRule="exact"/>
        <w:rPr>
          <w:sz w:val="20"/>
          <w:szCs w:val="20"/>
          <w:color w:val="auto"/>
        </w:rPr>
      </w:pPr>
    </w:p>
    <w:p>
      <w:pPr>
        <w:jc w:val="both"/>
        <w:ind w:left="960" w:right="120"/>
        <w:spacing w:after="0" w:line="329" w:lineRule="auto"/>
        <w:rPr>
          <w:sz w:val="20"/>
          <w:szCs w:val="20"/>
          <w:color w:val="auto"/>
        </w:rPr>
      </w:pPr>
      <w:r>
        <w:rPr>
          <w:rFonts w:ascii="Arial" w:cs="Arial" w:eastAsia="Arial" w:hAnsi="Arial"/>
          <w:sz w:val="16"/>
          <w:szCs w:val="16"/>
          <w:color w:val="auto"/>
        </w:rPr>
        <w:t>We intend to seek approval from the FDA or comparable foreign regulatory authorities through the use of accelerated approval pathways, if available, and if we are unable to obtain such approval, we may be required to conduct additional preclinical studies or clinical trials beyond those that we contemplate, which could increase the expense of obtaining, and delay the receipt of, necessary marketing approvals.</w:t>
      </w:r>
    </w:p>
    <w:p>
      <w:pPr>
        <w:spacing w:after="0" w:line="40" w:lineRule="exact"/>
        <w:rPr>
          <w:sz w:val="20"/>
          <w:szCs w:val="20"/>
          <w:color w:val="auto"/>
        </w:rPr>
      </w:pPr>
    </w:p>
    <w:p>
      <w:pPr>
        <w:ind w:left="960" w:right="80"/>
        <w:spacing w:after="0" w:line="266" w:lineRule="auto"/>
        <w:rPr>
          <w:sz w:val="20"/>
          <w:szCs w:val="20"/>
          <w:color w:val="auto"/>
        </w:rPr>
      </w:pPr>
      <w:r>
        <w:rPr>
          <w:rFonts w:ascii="Arial" w:cs="Arial" w:eastAsia="Arial" w:hAnsi="Arial"/>
          <w:sz w:val="18"/>
          <w:szCs w:val="18"/>
          <w:color w:val="auto"/>
        </w:rPr>
        <w:t>Even if we receive regulatory approval for any of our product candidates, we will be subject to ongoing regulatory obligations and continued regulatory review, which may result in significant additional expense.</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29" w:name="page30"/>
    <w:bookmarkEnd w:id="29"/>
    <w:p>
      <w:pPr>
        <w:ind w:left="960" w:right="620"/>
        <w:spacing w:after="0" w:line="293" w:lineRule="auto"/>
        <w:rPr>
          <w:sz w:val="20"/>
          <w:szCs w:val="20"/>
          <w:color w:val="auto"/>
        </w:rPr>
      </w:pPr>
      <w:r>
        <w:rPr>
          <w:rFonts w:ascii="Arial" w:cs="Arial" w:eastAsia="Arial" w:hAnsi="Arial"/>
          <w:sz w:val="18"/>
          <w:szCs w:val="18"/>
          <w:color w:val="auto"/>
        </w:rPr>
        <w:t>If we fail to attract and retain qualified senior management and key scientific personnel, our business may be materially and adversely affected.</w:t>
      </w:r>
    </w:p>
    <w:p>
      <w:pPr>
        <w:spacing w:after="0" w:line="62" w:lineRule="exact"/>
        <w:rPr>
          <w:sz w:val="20"/>
          <w:szCs w:val="20"/>
          <w:color w:val="auto"/>
        </w:rPr>
      </w:pPr>
    </w:p>
    <w:p>
      <w:pPr>
        <w:ind w:left="960" w:right="220"/>
        <w:spacing w:after="0" w:line="359" w:lineRule="auto"/>
        <w:rPr>
          <w:sz w:val="20"/>
          <w:szCs w:val="20"/>
          <w:color w:val="auto"/>
        </w:rPr>
      </w:pPr>
      <w:r>
        <w:rPr>
          <w:rFonts w:ascii="Arial" w:cs="Arial" w:eastAsia="Arial" w:hAnsi="Arial"/>
          <w:sz w:val="16"/>
          <w:szCs w:val="16"/>
          <w:color w:val="auto"/>
        </w:rPr>
        <w:t>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spacing w:after="0" w:line="17" w:lineRule="exact"/>
        <w:rPr>
          <w:sz w:val="20"/>
          <w:szCs w:val="20"/>
          <w:color w:val="auto"/>
        </w:rPr>
      </w:pPr>
    </w:p>
    <w:p>
      <w:pPr>
        <w:ind w:left="960" w:right="60"/>
        <w:spacing w:after="0" w:line="279" w:lineRule="auto"/>
        <w:rPr>
          <w:sz w:val="20"/>
          <w:szCs w:val="20"/>
          <w:color w:val="auto"/>
        </w:rPr>
      </w:pPr>
      <w:r>
        <w:rPr>
          <w:rFonts w:ascii="Arial" w:cs="Arial" w:eastAsia="Arial" w:hAnsi="Arial"/>
          <w:sz w:val="18"/>
          <w:szCs w:val="18"/>
          <w:color w:val="auto"/>
        </w:rPr>
        <w:t>A portion of our research and development activities take place in China, and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spacing w:after="0" w:line="75" w:lineRule="exact"/>
        <w:rPr>
          <w:sz w:val="20"/>
          <w:szCs w:val="20"/>
          <w:color w:val="auto"/>
        </w:rPr>
      </w:pPr>
    </w:p>
    <w:p>
      <w:pPr>
        <w:ind w:left="960" w:right="100"/>
        <w:spacing w:after="0" w:line="279" w:lineRule="auto"/>
        <w:rPr>
          <w:sz w:val="20"/>
          <w:szCs w:val="20"/>
          <w:color w:val="auto"/>
        </w:rPr>
      </w:pPr>
      <w:r>
        <w:rPr>
          <w:rFonts w:ascii="Arial" w:cs="Arial" w:eastAsia="Arial" w:hAnsi="Arial"/>
          <w:sz w:val="18"/>
          <w:szCs w:val="18"/>
          <w:color w:val="auto"/>
        </w:rPr>
        <w:t>We face risks related to health epidemics and outbreaks, including the COVID-19 pandemic, which could significantly disrupt our preclinical studies and could affect enrollment of patients in our clinical trials. Continuation and increasing severity of these conditions could delay or prevent our receipt of necessary regulatory approvals.</w:t>
      </w:r>
    </w:p>
    <w:p>
      <w:pPr>
        <w:spacing w:after="0" w:line="75" w:lineRule="exact"/>
        <w:rPr>
          <w:sz w:val="20"/>
          <w:szCs w:val="20"/>
          <w:color w:val="auto"/>
        </w:rPr>
      </w:pPr>
    </w:p>
    <w:p>
      <w:pPr>
        <w:jc w:val="both"/>
        <w:ind w:left="960" w:right="180"/>
        <w:spacing w:after="0" w:line="279" w:lineRule="auto"/>
        <w:rPr>
          <w:sz w:val="20"/>
          <w:szCs w:val="20"/>
          <w:color w:val="auto"/>
        </w:rPr>
      </w:pPr>
      <w:r>
        <w:rPr>
          <w:rFonts w:ascii="Arial" w:cs="Arial" w:eastAsia="Arial" w:hAnsi="Arial"/>
          <w:sz w:val="18"/>
          <w:szCs w:val="18"/>
          <w:color w:val="auto"/>
        </w:rPr>
        <w:t>If we fail to enter into collaborations with third parties for the development and commercialization of certain of our product candidates, or if our current and future collaborations are not successful, we may not be able to capitalize on the market potential of our patented technology platform and resulting product candidates.</w:t>
      </w:r>
    </w:p>
    <w:p>
      <w:pPr>
        <w:spacing w:after="0" w:line="75" w:lineRule="exact"/>
        <w:rPr>
          <w:sz w:val="20"/>
          <w:szCs w:val="20"/>
          <w:color w:val="auto"/>
        </w:rPr>
      </w:pPr>
    </w:p>
    <w:p>
      <w:pPr>
        <w:ind w:left="960" w:right="60"/>
        <w:spacing w:after="0" w:line="279" w:lineRule="auto"/>
        <w:rPr>
          <w:sz w:val="20"/>
          <w:szCs w:val="20"/>
          <w:color w:val="auto"/>
        </w:rPr>
      </w:pPr>
      <w:r>
        <w:rPr>
          <w:rFonts w:ascii="Arial" w:cs="Arial" w:eastAsia="Arial" w:hAnsi="Arial"/>
          <w:sz w:val="18"/>
          <w:szCs w:val="18"/>
          <w:color w:val="auto"/>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75" w:lineRule="exact"/>
        <w:rPr>
          <w:sz w:val="20"/>
          <w:szCs w:val="20"/>
          <w:color w:val="auto"/>
        </w:rPr>
      </w:pPr>
    </w:p>
    <w:p>
      <w:pPr>
        <w:jc w:val="both"/>
        <w:ind w:left="960" w:right="100"/>
        <w:spacing w:after="0" w:line="279" w:lineRule="auto"/>
        <w:rPr>
          <w:sz w:val="20"/>
          <w:szCs w:val="20"/>
          <w:color w:val="auto"/>
        </w:rPr>
      </w:pPr>
      <w:r>
        <w:rPr>
          <w:rFonts w:ascii="Arial" w:cs="Arial" w:eastAsia="Arial" w:hAnsi="Arial"/>
          <w:sz w:val="18"/>
          <w:szCs w:val="18"/>
          <w:color w:val="auto"/>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future issuance of equity or of debt securities that are convertible into equity will dilute our share capital.</w:t>
      </w:r>
    </w:p>
    <w:p>
      <w:pPr>
        <w:spacing w:after="0" w:line="131" w:lineRule="exact"/>
        <w:rPr>
          <w:sz w:val="20"/>
          <w:szCs w:val="20"/>
          <w:color w:val="auto"/>
        </w:rPr>
      </w:pPr>
    </w:p>
    <w:p>
      <w:pPr>
        <w:ind w:left="960"/>
        <w:spacing w:after="0" w:line="324" w:lineRule="auto"/>
        <w:rPr>
          <w:sz w:val="20"/>
          <w:szCs w:val="20"/>
          <w:color w:val="auto"/>
        </w:rPr>
      </w:pPr>
      <w:r>
        <w:rPr>
          <w:rFonts w:ascii="Arial" w:cs="Arial" w:eastAsia="Arial" w:hAnsi="Arial"/>
          <w:sz w:val="17"/>
          <w:szCs w:val="17"/>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35" w:lineRule="exact"/>
        <w:rPr>
          <w:sz w:val="20"/>
          <w:szCs w:val="20"/>
          <w:color w:val="auto"/>
        </w:rPr>
      </w:pPr>
    </w:p>
    <w:p>
      <w:pPr>
        <w:jc w:val="both"/>
        <w:ind w:right="160"/>
        <w:spacing w:after="0" w:line="279" w:lineRule="auto"/>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 and no products approved for commercial sale. We have a history of significant losses and we expect to continue to incur significant losses for the foreseeable future, which together with our limited operating history, makes it difficult to assess our future viability.</w:t>
      </w:r>
    </w:p>
    <w:p>
      <w:pPr>
        <w:spacing w:after="0" w:line="75" w:lineRule="exact"/>
        <w:rPr>
          <w:sz w:val="20"/>
          <w:szCs w:val="20"/>
          <w:color w:val="auto"/>
        </w:rPr>
      </w:pPr>
    </w:p>
    <w:p>
      <w:pPr>
        <w:ind w:right="80" w:firstLine="509"/>
        <w:spacing w:after="0" w:line="287" w:lineRule="auto"/>
        <w:rPr>
          <w:sz w:val="20"/>
          <w:szCs w:val="20"/>
          <w:color w:val="auto"/>
        </w:rPr>
      </w:pPr>
      <w:r>
        <w:rPr>
          <w:rFonts w:ascii="Arial" w:cs="Arial" w:eastAsia="Arial" w:hAnsi="Arial"/>
          <w:sz w:val="17"/>
          <w:szCs w:val="17"/>
          <w:color w:val="auto"/>
        </w:rPr>
        <w:t>We are a phase 2 clinical-stage biopharmaceutical company with a limited operating history upon which you can evaluate our business and prospects. We have no products approved for commercial sale and have not generated any revenue from product sales.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BA3011 and BA3021,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We have not yet demonstrated our ability to successfully obtain marketing approvals, manufacture a commercial-scale product or arrange for a third party to do so on our behalf or conduct sales and marketing activities necessary for successful product commercialization. As a result, it may be more difficult for you to assess our future viability than it could be if we had a longer operating history.</w:t>
      </w:r>
    </w:p>
    <w:p>
      <w:pPr>
        <w:spacing w:after="0" w:line="178" w:lineRule="exact"/>
        <w:rPr>
          <w:sz w:val="20"/>
          <w:szCs w:val="20"/>
          <w:color w:val="auto"/>
        </w:rPr>
      </w:pPr>
    </w:p>
    <w:p>
      <w:pPr>
        <w:ind w:right="60" w:firstLine="509"/>
        <w:spacing w:after="0" w:line="299" w:lineRule="auto"/>
        <w:rPr>
          <w:sz w:val="20"/>
          <w:szCs w:val="20"/>
          <w:color w:val="auto"/>
        </w:rPr>
      </w:pPr>
      <w:r>
        <w:rPr>
          <w:rFonts w:ascii="Arial" w:cs="Arial" w:eastAsia="Arial" w:hAnsi="Arial"/>
          <w:sz w:val="16"/>
          <w:szCs w:val="16"/>
          <w:color w:val="auto"/>
        </w:rPr>
        <w:t>We have incurred significant losses to date. Our ability to generate product revenue sufficient to achieve profitability will depend on the successful development and eventual commercialization of one or more of our current and future product candidates. Our net losses were $35.9 million and $29.8 million for the years ended December 31, 2020 and 2019, respectively. For the three and nine months ended September 30, 2021, our net losses were $22.9 million and $72.0 million, respectively. As of September 30, 2021, we had an accumulated deficit of $162.9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We expect our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expenses, and the potential for losses, to increase substantially as we conduct clinical trials of our lead product candidates and seek to expand our pipeline.</w:t>
      </w:r>
    </w:p>
    <w:p>
      <w:pPr>
        <w:spacing w:after="0" w:line="262" w:lineRule="exact"/>
        <w:rPr>
          <w:sz w:val="20"/>
          <w:szCs w:val="20"/>
          <w:color w:val="auto"/>
        </w:rPr>
      </w:pPr>
    </w:p>
    <w:p>
      <w:pPr>
        <w:ind w:right="40" w:firstLine="509"/>
        <w:spacing w:after="0" w:line="290" w:lineRule="auto"/>
        <w:rPr>
          <w:sz w:val="20"/>
          <w:szCs w:val="20"/>
          <w:color w:val="auto"/>
        </w:rPr>
      </w:pPr>
      <w:r>
        <w:rPr>
          <w:rFonts w:ascii="Arial" w:cs="Arial" w:eastAsia="Arial" w:hAnsi="Arial"/>
          <w:sz w:val="17"/>
          <w:szCs w:val="17"/>
          <w:color w:val="auto"/>
        </w:rPr>
        <w:t>However, the amount of our future expenses and potential losses is uncertain. Our ability to achieve profitability, if ever, will depend on, among other things, our successfully developing product candidates, obtaining regulatory approvals to market and commercialize product candidates, manufacturing any approved products on commercially reasonable terms and potentially establishing a sales and marketing organization or suitable third-party alternatives to commercialize any approved product. If we, or our existing or future collaborators, are unable to develop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284" w:lineRule="exact"/>
        <w:rPr>
          <w:sz w:val="20"/>
          <w:szCs w:val="20"/>
          <w:color w:val="auto"/>
        </w:rPr>
      </w:pPr>
    </w:p>
    <w:p>
      <w:pPr>
        <w:ind w:right="100"/>
        <w:spacing w:after="0" w:line="394" w:lineRule="auto"/>
        <w:rPr>
          <w:sz w:val="20"/>
          <w:szCs w:val="20"/>
          <w:color w:val="auto"/>
        </w:rPr>
      </w:pPr>
      <w:r>
        <w:rPr>
          <w:rFonts w:ascii="Arial" w:cs="Arial" w:eastAsia="Arial" w:hAnsi="Arial"/>
          <w:sz w:val="15"/>
          <w:szCs w:val="15"/>
          <w:b w:val="1"/>
          <w:bCs w:val="1"/>
          <w:i w:val="1"/>
          <w:iCs w:val="1"/>
          <w:color w:val="auto"/>
        </w:rPr>
        <w:t>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p>
    <w:p>
      <w:pPr>
        <w:spacing w:after="0" w:line="1" w:lineRule="exact"/>
        <w:rPr>
          <w:sz w:val="20"/>
          <w:szCs w:val="20"/>
          <w:color w:val="auto"/>
        </w:rPr>
      </w:pPr>
    </w:p>
    <w:p>
      <w:pPr>
        <w:ind w:right="40" w:firstLine="509"/>
        <w:spacing w:after="0" w:line="269" w:lineRule="auto"/>
        <w:rPr>
          <w:sz w:val="20"/>
          <w:szCs w:val="20"/>
          <w:color w:val="auto"/>
        </w:rPr>
      </w:pPr>
      <w:r>
        <w:rPr>
          <w:rFonts w:ascii="Arial" w:cs="Arial" w:eastAsia="Arial" w:hAnsi="Arial"/>
          <w:sz w:val="18"/>
          <w:szCs w:val="18"/>
          <w:color w:val="auto"/>
        </w:rPr>
        <w:t>The development of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BA3011 and BA3021 and advance our other programs.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comparable foreign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spacing w:after="0" w:line="191" w:lineRule="exact"/>
        <w:rPr>
          <w:sz w:val="20"/>
          <w:szCs w:val="20"/>
          <w:color w:val="auto"/>
        </w:rPr>
      </w:pPr>
    </w:p>
    <w:p>
      <w:pPr>
        <w:ind w:right="40" w:firstLine="509"/>
        <w:spacing w:after="0" w:line="314" w:lineRule="auto"/>
        <w:rPr>
          <w:sz w:val="20"/>
          <w:szCs w:val="20"/>
          <w:color w:val="auto"/>
        </w:rPr>
      </w:pPr>
      <w:r>
        <w:rPr>
          <w:rFonts w:ascii="Arial" w:cs="Arial" w:eastAsia="Arial" w:hAnsi="Arial"/>
          <w:sz w:val="16"/>
          <w:szCs w:val="16"/>
          <w:color w:val="auto"/>
        </w:rPr>
        <w:t>As of September 30, 2021, we had approximately $269.9 million in cash and cash equivalents. Based on our current operating plan, our current cash and cash equivalents are expected to be sufficient to fund our ongoing operations into the first half of 2024. Our estimate as to how long we expect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60"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We plan to use our existing cash and cash equivalents to fund the research and development of our product candidates and development programs, and to fund working capital and other general corporate purposes. Advancing the development of our product candidates will require a significant amount of capital. Our existing cash and cash equivalents may not be sufficient to fund any of our product candidates through regulatory approval. Because the length of time and activities associated with successful research and development of any individual product candidate are highly uncertain, we are unable to estimate the actual funds we will require for development, marketing approval and commercialization activities. The timing and amount of our operating expenditures will depend largely on:</w:t>
      </w:r>
    </w:p>
    <w:p>
      <w:pPr>
        <w:spacing w:after="0" w:line="8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timing and progress of our ongoing clinical trials for BA3011 and BA3021;</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number and scope of preclinical and clinical programs we decide to pursue;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progress of the development efforts for BA3071;</w:t>
      </w:r>
    </w:p>
    <w:p>
      <w:pPr>
        <w:spacing w:after="0" w:line="131" w:lineRule="exact"/>
        <w:rPr>
          <w:sz w:val="20"/>
          <w:szCs w:val="20"/>
          <w:color w:val="auto"/>
        </w:rPr>
      </w:pPr>
    </w:p>
    <w:p>
      <w:pPr>
        <w:ind w:left="960" w:right="20"/>
        <w:spacing w:after="0" w:line="293" w:lineRule="auto"/>
        <w:rPr>
          <w:sz w:val="20"/>
          <w:szCs w:val="20"/>
          <w:color w:val="auto"/>
        </w:rPr>
      </w:pPr>
      <w:r>
        <w:rPr>
          <w:rFonts w:ascii="Arial" w:cs="Arial" w:eastAsia="Arial" w:hAnsi="Arial"/>
          <w:sz w:val="18"/>
          <w:szCs w:val="18"/>
          <w:color w:val="auto"/>
        </w:rPr>
        <w:t>the progress of our current and future collaborators with whom we have entered or may in the future enter into collaborations and research and development agreements;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timing and amount of target specific indication and milestone payments we may receive under our collaboration agreements;</w:t>
      </w:r>
    </w:p>
    <w:p>
      <w:pPr>
        <w:spacing w:after="0" w:line="131" w:lineRule="exact"/>
        <w:rPr>
          <w:sz w:val="20"/>
          <w:szCs w:val="20"/>
          <w:color w:val="auto"/>
        </w:rPr>
      </w:pPr>
    </w:p>
    <w:p>
      <w:pPr>
        <w:ind w:left="960" w:right="380"/>
        <w:spacing w:after="0" w:line="293" w:lineRule="auto"/>
        <w:rPr>
          <w:sz w:val="20"/>
          <w:szCs w:val="20"/>
          <w:color w:val="auto"/>
        </w:rPr>
      </w:pPr>
      <w:r>
        <w:rPr>
          <w:rFonts w:ascii="Arial" w:cs="Arial" w:eastAsia="Arial" w:hAnsi="Arial"/>
          <w:sz w:val="18"/>
          <w:szCs w:val="18"/>
          <w:color w:val="auto"/>
        </w:rPr>
        <w:t>our ability to maintain our current licenses, collaboration and research and development programs or possibly establish new collaboration arrangements;</w:t>
      </w:r>
    </w:p>
    <w:p>
      <w:pPr>
        <w:spacing w:after="0" w:line="62" w:lineRule="exact"/>
        <w:rPr>
          <w:sz w:val="20"/>
          <w:szCs w:val="20"/>
          <w:color w:val="auto"/>
        </w:rPr>
      </w:pPr>
    </w:p>
    <w:p>
      <w:pPr>
        <w:ind w:left="960" w:right="3600"/>
        <w:spacing w:after="0" w:line="391" w:lineRule="auto"/>
        <w:rPr>
          <w:sz w:val="20"/>
          <w:szCs w:val="20"/>
          <w:color w:val="auto"/>
        </w:rPr>
      </w:pPr>
      <w:r>
        <w:rPr>
          <w:rFonts w:ascii="Arial" w:cs="Arial" w:eastAsia="Arial" w:hAnsi="Arial"/>
          <w:sz w:val="18"/>
          <w:szCs w:val="18"/>
          <w:color w:val="auto"/>
        </w:rPr>
        <w:t>the costs involved in prosecuting and enforcing patent and other intellectual property claims; the cost and timing of regulatory approvals; and</w:t>
      </w:r>
    </w:p>
    <w:p>
      <w:pPr>
        <w:spacing w:after="0" w:line="1" w:lineRule="exact"/>
        <w:rPr>
          <w:sz w:val="20"/>
          <w:szCs w:val="20"/>
          <w:color w:val="auto"/>
        </w:rPr>
      </w:pPr>
    </w:p>
    <w:p>
      <w:pPr>
        <w:ind w:left="960" w:right="780"/>
        <w:spacing w:after="0" w:line="266" w:lineRule="auto"/>
        <w:rPr>
          <w:sz w:val="20"/>
          <w:szCs w:val="20"/>
          <w:color w:val="auto"/>
        </w:rPr>
      </w:pPr>
      <w:r>
        <w:rPr>
          <w:rFonts w:ascii="Arial" w:cs="Arial" w:eastAsia="Arial" w:hAnsi="Arial"/>
          <w:sz w:val="18"/>
          <w:szCs w:val="18"/>
          <w:color w:val="auto"/>
        </w:rPr>
        <w:t>our efforts to enhance operational systems and hire additional personnel, including personnel to support development of our product candidates and satisfy our obligations as a public company.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ind w:firstLine="509"/>
        <w:spacing w:after="0" w:line="284" w:lineRule="auto"/>
        <w:rPr>
          <w:sz w:val="20"/>
          <w:szCs w:val="20"/>
          <w:color w:val="auto"/>
        </w:rPr>
      </w:pPr>
      <w:r>
        <w:rPr>
          <w:rFonts w:ascii="Arial" w:cs="Arial" w:eastAsia="Arial" w:hAnsi="Arial"/>
          <w:sz w:val="17"/>
          <w:szCs w:val="17"/>
          <w:color w:val="auto"/>
        </w:rPr>
        <w:t>If we are unable to obtain funding on a timely basis, including under our current or future collaborations, or on acceptable terms, we may have to delay, reduce or terminate our research and development programs and preclinical studies or clinical trials, limit strategic opportunities or undergo reductions in our workforce or other corporate restructuring activities. We may seek to raise any necessary additional capital through a combination of public or private equity offerings, debt financings, collaborations, strategic alliances, licensing arrangements and other marketing and distribution arrangements. We cannot assure you that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35" w:lineRule="exact"/>
        <w:rPr>
          <w:sz w:val="20"/>
          <w:szCs w:val="20"/>
          <w:color w:val="auto"/>
        </w:rPr>
      </w:pPr>
    </w:p>
    <w:p>
      <w:pPr>
        <w:ind w:right="100"/>
        <w:spacing w:after="0" w:line="329" w:lineRule="auto"/>
        <w:rPr>
          <w:sz w:val="20"/>
          <w:szCs w:val="20"/>
          <w:color w:val="auto"/>
        </w:rPr>
      </w:pPr>
      <w:r>
        <w:rPr>
          <w:rFonts w:ascii="Arial" w:cs="Arial" w:eastAsia="Arial" w:hAnsi="Arial"/>
          <w:sz w:val="16"/>
          <w:szCs w:val="16"/>
          <w:b w:val="1"/>
          <w:bCs w:val="1"/>
          <w:i w:val="1"/>
          <w:iCs w:val="1"/>
          <w:color w:val="auto"/>
        </w:rPr>
        <w:t>Our current product candidates are in various stages of development. Our product candidates may fail in development or suffer delays that adversely affect their commercial viability. If we or our existing or future collaborators are unable to complete development of, obtain regulatory approval for or commercialize our product candidates or experience significant delays in doing so, our business will be materially harmed.</w:t>
      </w:r>
    </w:p>
    <w:p>
      <w:pPr>
        <w:spacing w:after="0" w:line="40" w:lineRule="exact"/>
        <w:rPr>
          <w:sz w:val="20"/>
          <w:szCs w:val="20"/>
          <w:color w:val="auto"/>
        </w:rPr>
      </w:pPr>
    </w:p>
    <w:p>
      <w:pPr>
        <w:ind w:right="40" w:firstLine="509"/>
        <w:spacing w:after="0" w:line="285" w:lineRule="auto"/>
        <w:rPr>
          <w:sz w:val="20"/>
          <w:szCs w:val="20"/>
          <w:color w:val="auto"/>
        </w:rPr>
      </w:pPr>
      <w:r>
        <w:rPr>
          <w:rFonts w:ascii="Arial" w:cs="Arial" w:eastAsia="Arial" w:hAnsi="Arial"/>
          <w:sz w:val="17"/>
          <w:szCs w:val="17"/>
          <w:color w:val="auto"/>
        </w:rPr>
        <w:t>We have no products on the market and our product candidates are in various stages of development. We are currently conducting Phase 2 clinical trials of BA3011 and BA3021, and we expect Phase 1 trials of BA3071 to initiate in 2021 with first patient dosed expected in early 2022 and various other product candidates in earlier stages of development. Our ability to achieve and sustain profitability depends on obtaining regulatory approvals for and, if approved, successfully commercializing our product candidates, either alone or with third parties. Before obtaining regulatory approval for the commercial distribution of our product candidates, we or an existing or future collaborator must conduct extensive preclinical tests and clinical trials to demonstrate the safety, efficacy, purity and potency of our product candidates. In addition, the FDA may not agree with our clinical trial plans. For example, we have initiated potentially registration-enabling Phase 2 trials for BA3011 in treatment-refractory sarcoma patients and PD-1 refractory NSCLC patients. The FDA has reviewed the trial designs, but has not opined on whether the Phase 2 clinical trials will in fact be sufficient to support regulatory approval. However, the FDA is expected to consider this further at the interim data review point. We cannot assure you that the FDA will agree that such data will be sufficient to support approval. Any product candidate can unexpectedly fail at any stage of preclinical or clinical development and the historical failure rate for product candidates is high. The results from preclinical testing of a product candidate may not predict the results that will be obtained in later clinical trials of the product candidate. We or our existing or future collaborators may experience issues that delay or prevent clinical testing and regulatory approval of, or our ability to commercialize, product candidates, including:</w:t>
      </w:r>
    </w:p>
    <w:p>
      <w:pPr>
        <w:spacing w:after="0" w:line="7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delays in our clinical trials resulting from factors including those related to the COVID-19 pandemic;</w:t>
      </w:r>
    </w:p>
    <w:p>
      <w:pPr>
        <w:spacing w:after="0" w:line="131" w:lineRule="exact"/>
        <w:rPr>
          <w:sz w:val="20"/>
          <w:szCs w:val="20"/>
          <w:color w:val="auto"/>
        </w:rPr>
      </w:pPr>
    </w:p>
    <w:p>
      <w:pPr>
        <w:ind w:left="960" w:right="100"/>
        <w:spacing w:after="0" w:line="293" w:lineRule="auto"/>
        <w:rPr>
          <w:sz w:val="20"/>
          <w:szCs w:val="20"/>
          <w:color w:val="auto"/>
        </w:rPr>
      </w:pPr>
      <w:r>
        <w:rPr>
          <w:rFonts w:ascii="Arial" w:cs="Arial" w:eastAsia="Arial" w:hAnsi="Arial"/>
          <w:sz w:val="18"/>
          <w:szCs w:val="18"/>
          <w:color w:val="auto"/>
        </w:rPr>
        <w:t>negative or inconclusive results from preclinical testing or clinical trials leading to a decision or requirement to conduct additional preclinical testing or clinical trials or abandon a program;</w:t>
      </w:r>
    </w:p>
    <w:p>
      <w:pPr>
        <w:spacing w:after="0" w:line="62" w:lineRule="exact"/>
        <w:rPr>
          <w:sz w:val="20"/>
          <w:szCs w:val="20"/>
          <w:color w:val="auto"/>
        </w:rPr>
      </w:pPr>
    </w:p>
    <w:p>
      <w:pPr>
        <w:ind w:left="960" w:right="80"/>
        <w:spacing w:after="0" w:line="293" w:lineRule="auto"/>
        <w:rPr>
          <w:sz w:val="20"/>
          <w:szCs w:val="20"/>
          <w:color w:val="auto"/>
        </w:rPr>
      </w:pPr>
      <w:r>
        <w:rPr>
          <w:rFonts w:ascii="Arial" w:cs="Arial" w:eastAsia="Arial" w:hAnsi="Arial"/>
          <w:sz w:val="18"/>
          <w:szCs w:val="18"/>
          <w:color w:val="auto"/>
        </w:rPr>
        <w:t>product-related side effects experienced by participants in clinical trials or by individuals using therapeutic biologics that share characteristics with our product candidates;</w:t>
      </w:r>
    </w:p>
    <w:p>
      <w:pPr>
        <w:spacing w:after="0" w:line="62" w:lineRule="exact"/>
        <w:rPr>
          <w:sz w:val="20"/>
          <w:szCs w:val="20"/>
          <w:color w:val="auto"/>
        </w:rPr>
      </w:pPr>
    </w:p>
    <w:p>
      <w:pPr>
        <w:ind w:left="960" w:right="400"/>
        <w:spacing w:after="0" w:line="359" w:lineRule="auto"/>
        <w:rPr>
          <w:sz w:val="20"/>
          <w:szCs w:val="20"/>
          <w:color w:val="auto"/>
        </w:rPr>
      </w:pPr>
      <w:r>
        <w:rPr>
          <w:rFonts w:ascii="Arial" w:cs="Arial" w:eastAsia="Arial" w:hAnsi="Arial"/>
          <w:sz w:val="16"/>
          <w:szCs w:val="16"/>
          <w:color w:val="auto"/>
        </w:rPr>
        <w:t>delays in submitting INDs or comparable foreign applications or delays or failure in obtaining the necessary approvals from regulators or institutional review boards, or IRBs, to commence a clinical trial, or a suspension or termination of a clinical trial once commenced;</w:t>
      </w:r>
    </w:p>
    <w:p>
      <w:pPr>
        <w:spacing w:after="0" w:line="17" w:lineRule="exact"/>
        <w:rPr>
          <w:sz w:val="20"/>
          <w:szCs w:val="20"/>
          <w:color w:val="auto"/>
        </w:rPr>
      </w:pPr>
    </w:p>
    <w:p>
      <w:pPr>
        <w:ind w:left="960"/>
        <w:spacing w:after="0"/>
        <w:rPr>
          <w:sz w:val="20"/>
          <w:szCs w:val="20"/>
          <w:color w:val="auto"/>
        </w:rPr>
      </w:pPr>
      <w:r>
        <w:rPr>
          <w:rFonts w:ascii="Arial" w:cs="Arial" w:eastAsia="Arial" w:hAnsi="Arial"/>
          <w:sz w:val="17"/>
          <w:szCs w:val="17"/>
          <w:color w:val="auto"/>
        </w:rPr>
        <w:t>conditions imposed by the FDA or comparable foreign authorities, including the EMA, regarding the scope or design of clinical trials;</w:t>
      </w:r>
    </w:p>
    <w:p>
      <w:pPr>
        <w:spacing w:after="0" w:line="14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delays in enrolling patients in clinical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high drop-out rates of patients;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inadequate drug materials or other supplies necessary for the conduct of our clinical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greater than anticipated clinical trial costs;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ind w:left="960"/>
        <w:spacing w:after="0"/>
        <w:rPr>
          <w:sz w:val="20"/>
          <w:szCs w:val="20"/>
          <w:color w:val="auto"/>
        </w:rPr>
      </w:pPr>
      <w:r>
        <w:rPr>
          <w:rFonts w:ascii="Arial" w:cs="Arial" w:eastAsia="Arial" w:hAnsi="Arial"/>
          <w:sz w:val="18"/>
          <w:szCs w:val="18"/>
          <w:color w:val="auto"/>
        </w:rPr>
        <w:t>poor effectiveness of our product candidates during clinical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unfavorable FDA or other regulatory agency inspection and review of a clinical trial site;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deficiencies in our third-party manufacturers’ manufacturing processes or facilities;</w:t>
      </w:r>
    </w:p>
    <w:p>
      <w:pPr>
        <w:spacing w:after="0" w:line="131" w:lineRule="exact"/>
        <w:rPr>
          <w:sz w:val="20"/>
          <w:szCs w:val="20"/>
          <w:color w:val="auto"/>
        </w:rPr>
      </w:pPr>
    </w:p>
    <w:p>
      <w:pPr>
        <w:ind w:left="960" w:right="340"/>
        <w:spacing w:after="0" w:line="359" w:lineRule="auto"/>
        <w:rPr>
          <w:sz w:val="20"/>
          <w:szCs w:val="20"/>
          <w:color w:val="auto"/>
        </w:rPr>
      </w:pPr>
      <w:r>
        <w:rPr>
          <w:rFonts w:ascii="Arial" w:cs="Arial" w:eastAsia="Arial" w:hAnsi="Arial"/>
          <w:sz w:val="16"/>
          <w:szCs w:val="16"/>
          <w:color w:val="auto"/>
        </w:rPr>
        <w:t>success or further approval of competitor products approved in indications in which we undertake development of our product candidates, which may change the standard of care or change the standard for approval of our product candidates in our proposed indications;</w:t>
      </w:r>
    </w:p>
    <w:p>
      <w:pPr>
        <w:spacing w:after="0" w:line="17" w:lineRule="exact"/>
        <w:rPr>
          <w:sz w:val="20"/>
          <w:szCs w:val="20"/>
          <w:color w:val="auto"/>
        </w:rPr>
      </w:pPr>
    </w:p>
    <w:p>
      <w:pPr>
        <w:ind w:left="960" w:right="300"/>
        <w:spacing w:after="0" w:line="293" w:lineRule="auto"/>
        <w:rPr>
          <w:sz w:val="20"/>
          <w:szCs w:val="20"/>
          <w:color w:val="auto"/>
        </w:rPr>
      </w:pPr>
      <w:r>
        <w:rPr>
          <w:rFonts w:ascii="Arial" w:cs="Arial" w:eastAsia="Arial" w:hAnsi="Arial"/>
          <w:sz w:val="18"/>
          <w:szCs w:val="18"/>
          <w:color w:val="auto"/>
        </w:rPr>
        <w:t>failure of any third-party contractors, investigators or contract research organizations, or CROs, to comply with regulatory requirements or otherwise meet their contractual obligations in a timely manner, or at all;</w:t>
      </w:r>
    </w:p>
    <w:p>
      <w:pPr>
        <w:spacing w:after="0" w:line="62" w:lineRule="exact"/>
        <w:rPr>
          <w:sz w:val="20"/>
          <w:szCs w:val="20"/>
          <w:color w:val="auto"/>
        </w:rPr>
      </w:pPr>
    </w:p>
    <w:p>
      <w:pPr>
        <w:ind w:left="960" w:right="460"/>
        <w:spacing w:after="0" w:line="293" w:lineRule="auto"/>
        <w:rPr>
          <w:sz w:val="20"/>
          <w:szCs w:val="20"/>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or product candidates in particular; or</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varying interpretations of data by the FDA and similar foreign regulatory agencies, including the EMA.</w:t>
      </w:r>
    </w:p>
    <w:p>
      <w:pPr>
        <w:spacing w:after="0" w:line="239" w:lineRule="exact"/>
        <w:rPr>
          <w:sz w:val="20"/>
          <w:szCs w:val="20"/>
          <w:color w:val="auto"/>
        </w:rPr>
      </w:pPr>
    </w:p>
    <w:p>
      <w:pPr>
        <w:ind w:right="220" w:firstLine="509"/>
        <w:spacing w:after="0" w:line="293" w:lineRule="auto"/>
        <w:rPr>
          <w:sz w:val="20"/>
          <w:szCs w:val="20"/>
          <w:color w:val="auto"/>
        </w:rPr>
      </w:pPr>
      <w:r>
        <w:rPr>
          <w:rFonts w:ascii="Arial" w:cs="Arial" w:eastAsia="Arial" w:hAnsi="Arial"/>
          <w:sz w:val="18"/>
          <w:szCs w:val="18"/>
          <w:color w:val="auto"/>
        </w:rPr>
        <w:t>Because CABs represent a new generation of antibodies, a delay or failure in development of any CAB product candidate could represent a major set-back for our patented technology platform and for our company generally.</w:t>
      </w:r>
    </w:p>
    <w:p>
      <w:pPr>
        <w:spacing w:after="0" w:line="278" w:lineRule="exact"/>
        <w:rPr>
          <w:sz w:val="20"/>
          <w:szCs w:val="20"/>
          <w:color w:val="auto"/>
        </w:rPr>
      </w:pPr>
    </w:p>
    <w:p>
      <w:pPr>
        <w:ind w:right="400"/>
        <w:spacing w:after="0" w:line="293" w:lineRule="auto"/>
        <w:rPr>
          <w:sz w:val="20"/>
          <w:szCs w:val="20"/>
          <w:color w:val="auto"/>
        </w:rPr>
      </w:pPr>
      <w:r>
        <w:rPr>
          <w:rFonts w:ascii="Arial" w:cs="Arial" w:eastAsia="Arial" w:hAnsi="Arial"/>
          <w:sz w:val="18"/>
          <w:szCs w:val="18"/>
          <w:b w:val="1"/>
          <w:bCs w:val="1"/>
          <w:i w:val="1"/>
          <w:iCs w:val="1"/>
          <w:color w:val="auto"/>
        </w:rPr>
        <w:t>We are substantially dependent on the success of our patented CAB technology platform, and our future success depends heavily on the successful development of this platform.</w:t>
      </w:r>
    </w:p>
    <w:p>
      <w:pPr>
        <w:spacing w:after="0" w:line="62" w:lineRule="exact"/>
        <w:rPr>
          <w:sz w:val="20"/>
          <w:szCs w:val="20"/>
          <w:color w:val="auto"/>
        </w:rPr>
      </w:pPr>
    </w:p>
    <w:p>
      <w:pPr>
        <w:ind w:right="60" w:firstLine="509"/>
        <w:spacing w:after="0" w:line="290" w:lineRule="auto"/>
        <w:rPr>
          <w:sz w:val="20"/>
          <w:szCs w:val="20"/>
          <w:color w:val="auto"/>
        </w:rPr>
      </w:pPr>
      <w:r>
        <w:rPr>
          <w:rFonts w:ascii="Arial" w:cs="Arial" w:eastAsia="Arial" w:hAnsi="Arial"/>
          <w:sz w:val="17"/>
          <w:szCs w:val="17"/>
          <w:color w:val="auto"/>
        </w:rPr>
        <w:t>We use our CAB technology platform to develop product candidates for cancer therapies. Any failures or setbacks involving our CAB technology platform, including adverse events, could have a detrimental impact on all of our product candidates and our research pipeline. For example, we may uncover a previously unknown risk associated with CABs or other issues that may be more problematic than we currently believe, which may prolong the period of observation required for obtaining, necessitate additional clinical testing or result in the failure to obtain, regulatory approval. If our CAB technology is not safe in certain product candidates, we would be required to abandon or redesign all of our current product candidates, which could have a material adverse effect on our business, financial condition, results of operations and prospects.</w:t>
      </w:r>
    </w:p>
    <w:p>
      <w:pPr>
        <w:spacing w:after="0" w:line="284"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patented CAB technology platform to continue to build a pipeline of product candidates and develop marketable products.</w:t>
      </w:r>
    </w:p>
    <w:p>
      <w:pPr>
        <w:spacing w:after="0" w:line="62" w:lineRule="exact"/>
        <w:rPr>
          <w:sz w:val="20"/>
          <w:szCs w:val="20"/>
          <w:color w:val="auto"/>
        </w:rPr>
      </w:pPr>
    </w:p>
    <w:p>
      <w:pPr>
        <w:ind w:right="60" w:firstLine="509"/>
        <w:spacing w:after="0" w:line="287" w:lineRule="auto"/>
        <w:rPr>
          <w:sz w:val="20"/>
          <w:szCs w:val="20"/>
          <w:color w:val="auto"/>
        </w:rPr>
      </w:pPr>
      <w:r>
        <w:rPr>
          <w:rFonts w:ascii="Arial" w:cs="Arial" w:eastAsia="Arial" w:hAnsi="Arial"/>
          <w:sz w:val="17"/>
          <w:szCs w:val="17"/>
          <w:color w:val="auto"/>
        </w:rPr>
        <w:t>We are using our patented technology platform to develop CABs in oncology indications with our lead product candidates BA3011 and BA3021, as well as continuing to build our pipeline of product candidates. Our business depends not only on our ability to successfully develop, obtain regulatory approval for, and commercialize the product candidates we currently have in clinical and preclinical development, but to continue to generate new product candidates through our platform. Even if we are successful in continuing to build our pipeline and further progress the clinical development of our current product candidates, any additional product candidates may not be suitable for clinical development, including as a result of harmful side effects, manufacturing issues, limited efficacy or other characteristics that indicate that they are unlikely to be products that will succeed in clinical development, receive marketing approval or achieve market acceptance. If we cannot validate our technology platform by successfully commercializing CAB product candidates, we may not be able to obtain product, licensing or collaboration revenue in future periods, which would adversely affect our business, financial condition, results of operations and prospects.</w:t>
      </w:r>
    </w:p>
    <w:p>
      <w:pPr>
        <w:spacing w:after="0" w:line="286"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b w:val="1"/>
          <w:bCs w:val="1"/>
          <w:i w:val="1"/>
          <w:iCs w:val="1"/>
          <w:color w:val="auto"/>
        </w:rPr>
        <w:t>We may expend our resources to pursue particular product candidates and fail to capitalize on product candidates that may be more profitable or for which there is a greater likelihood of success.</w:t>
      </w:r>
    </w:p>
    <w:p>
      <w:pPr>
        <w:spacing w:after="0" w:line="62" w:lineRule="exact"/>
        <w:rPr>
          <w:sz w:val="20"/>
          <w:szCs w:val="20"/>
          <w:color w:val="auto"/>
        </w:rPr>
      </w:pPr>
    </w:p>
    <w:p>
      <w:pPr>
        <w:ind w:firstLine="509"/>
        <w:spacing w:after="0" w:line="281" w:lineRule="auto"/>
        <w:rPr>
          <w:sz w:val="20"/>
          <w:szCs w:val="20"/>
          <w:color w:val="auto"/>
        </w:rPr>
      </w:pPr>
      <w:r>
        <w:rPr>
          <w:rFonts w:ascii="Arial" w:cs="Arial" w:eastAsia="Arial" w:hAnsi="Arial"/>
          <w:sz w:val="17"/>
          <w:szCs w:val="17"/>
          <w:color w:val="auto"/>
        </w:rPr>
        <w:t>As a result of our limited financial and managerial resources, we must make strategic decisions as to which targets and product candidates to pursue and may forego or delay pursuit of opportunities with other targets or product candidates or for other indications that later prove to have greater commercial potential. Our resource allocation decisions may cause us to fail to capitalize on viable commercial products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programs and product candidates for specific targets or indications may not yield any commercially viable products. Our understanding and evaluation of biological targets for the discovery and development of new CAB product candidates may fail to identify challenges encountered in subsequent preclinical and clinical development. If we do not accurately evaluate the likelihood of clinical trial success,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3" w:name="page34"/>
    <w:bookmarkEnd w:id="33"/>
    <w:p>
      <w:pPr>
        <w:ind w:right="600"/>
        <w:spacing w:after="0" w:line="293" w:lineRule="auto"/>
        <w:rPr>
          <w:sz w:val="20"/>
          <w:szCs w:val="20"/>
          <w:color w:val="auto"/>
        </w:rPr>
      </w:pPr>
      <w:r>
        <w:rPr>
          <w:rFonts w:ascii="Arial" w:cs="Arial" w:eastAsia="Arial" w:hAnsi="Arial"/>
          <w:sz w:val="18"/>
          <w:szCs w:val="18"/>
          <w:b w:val="1"/>
          <w:bCs w:val="1"/>
          <w:i w:val="1"/>
          <w:iCs w:val="1"/>
          <w:color w:val="auto"/>
        </w:rPr>
        <w:t>If the market opportunities for any product that we develop are smaller than we believe they are, our revenue may be adversely affected and our business may suffer.</w:t>
      </w:r>
    </w:p>
    <w:p>
      <w:pPr>
        <w:spacing w:after="0" w:line="62" w:lineRule="exact"/>
        <w:rPr>
          <w:sz w:val="20"/>
          <w:szCs w:val="20"/>
          <w:color w:val="auto"/>
        </w:rPr>
      </w:pPr>
    </w:p>
    <w:p>
      <w:pPr>
        <w:ind w:right="240" w:firstLine="509"/>
        <w:spacing w:after="0" w:line="286" w:lineRule="auto"/>
        <w:rPr>
          <w:sz w:val="20"/>
          <w:szCs w:val="20"/>
          <w:color w:val="auto"/>
        </w:rPr>
      </w:pPr>
      <w:r>
        <w:rPr>
          <w:rFonts w:ascii="Arial" w:cs="Arial" w:eastAsia="Arial" w:hAnsi="Arial"/>
          <w:sz w:val="17"/>
          <w:szCs w:val="17"/>
          <w:color w:val="auto"/>
        </w:rPr>
        <w:t>We focus our product candidate development on therapeutic CAB antibodies for the treatment of various oncology indications, such as soft tissue and bone sarcoma, NSCLC, melanoma, ovarian cancer, and head and neck cancer among others. Our projections of addressable patient populations that may benefit from treatment with our product candidates are based on our estimates. These estimates, which have been derived from a variety of sources, including scientific literature, surveys of clinics, physician interviews,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In addition, the subset of patients that are likely to respond to our product candidates, as identified by our quantitative biomarker assay/Target Membrane Percent Score ("TmPS"), may not correspond with and may be smaller than what market data may indicate.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290"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b w:val="1"/>
          <w:bCs w:val="1"/>
          <w:i w:val="1"/>
          <w:iCs w:val="1"/>
          <w:color w:val="auto"/>
        </w:rPr>
        <w:t>The market may not be receptive to our product candidates because they are based on our novel therapeutic modality, and we may not generate any future revenue from the sale or licensing of product candidates.</w:t>
      </w:r>
    </w:p>
    <w:p>
      <w:pPr>
        <w:spacing w:after="0" w:line="62"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The product candidates that we are developing are primarily based on our patented CAB technology platform, which uses new technologies to create our novel therapeutic approach. Market participants with significant influence over acceptance of new treatments, such as physicians and third-party payors, may not adopt a product or treatment based on our patented technology platform, and we may not be able to convince patients, the medical community and third-party payors to accept and use, or to provide favorable reimbursement for, any product candidates developed by us or our existing or future collaborators. Market acceptance of our product candidates will depend on, among other factors:</w:t>
      </w:r>
    </w:p>
    <w:p>
      <w:pPr>
        <w:spacing w:after="0" w:line="6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timing of our receipt of any marketing and commercialization approvals;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terms of any approvals and the countries in which approvals are obtained;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safety and efficacy of our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prevalence and severity of any adverse side effects associated with our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limitations or warnings contained in any labeling approved by the FDA or other regulatory authority, including the EMA;</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willingness of patients to obtain biopsies to determine the TmPS score for treatment eligibility;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relative convenience and ease of administration of our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willingness of patients to accept any new methods of administration;</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success of any physician education programs;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availability of adequate government and third-party payor reimbursement;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pricing of our products, particularly as compared to alternative treatments; and</w:t>
      </w:r>
    </w:p>
    <w:p>
      <w:pPr>
        <w:spacing w:after="0" w:line="131" w:lineRule="exact"/>
        <w:rPr>
          <w:sz w:val="20"/>
          <w:szCs w:val="20"/>
          <w:color w:val="auto"/>
        </w:rPr>
      </w:pPr>
    </w:p>
    <w:p>
      <w:pPr>
        <w:ind w:left="960" w:right="340"/>
        <w:spacing w:after="0" w:line="293" w:lineRule="auto"/>
        <w:rPr>
          <w:sz w:val="20"/>
          <w:szCs w:val="20"/>
          <w:color w:val="auto"/>
        </w:rPr>
      </w:pPr>
      <w:r>
        <w:rPr>
          <w:rFonts w:ascii="Arial" w:cs="Arial" w:eastAsia="Arial" w:hAnsi="Arial"/>
          <w:sz w:val="18"/>
          <w:szCs w:val="18"/>
          <w:color w:val="auto"/>
        </w:rPr>
        <w:t>availability of alternative effective treatments for the disease indications our product candidates are intended to treat and the relative risks, benefits and costs of those treatments.</w:t>
      </w:r>
    </w:p>
    <w:p>
      <w:pPr>
        <w:spacing w:after="0" w:line="170" w:lineRule="exact"/>
        <w:rPr>
          <w:sz w:val="20"/>
          <w:szCs w:val="20"/>
          <w:color w:val="auto"/>
        </w:rPr>
      </w:pPr>
    </w:p>
    <w:p>
      <w:pPr>
        <w:ind w:right="80" w:firstLine="509"/>
        <w:spacing w:after="0" w:line="293" w:lineRule="auto"/>
        <w:rPr>
          <w:sz w:val="20"/>
          <w:szCs w:val="20"/>
          <w:color w:val="auto"/>
        </w:rPr>
      </w:pPr>
      <w:r>
        <w:rPr>
          <w:rFonts w:ascii="Arial" w:cs="Arial" w:eastAsia="Arial" w:hAnsi="Arial"/>
          <w:sz w:val="18"/>
          <w:szCs w:val="18"/>
          <w:color w:val="auto"/>
        </w:rPr>
        <w:t>If any product candidate we commercialize fails to achieve market acceptance, it could have a material and adverse effect on our business, financial condition, results of operations and prospects.</w:t>
      </w:r>
    </w:p>
    <w:p>
      <w:pPr>
        <w:spacing w:after="0" w:line="278"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b w:val="1"/>
          <w:bCs w:val="1"/>
          <w:i w:val="1"/>
          <w:iCs w:val="1"/>
          <w:color w:val="auto"/>
        </w:rPr>
        <w:t>Results from early-stage clinical trials may not be predictive of results from late-stage or other clinical trials, and the results of our clinical trials may not satisfy the requirements of the FDA, EMA or other comparable foreign regulatory authorities.</w:t>
      </w:r>
    </w:p>
    <w:p>
      <w:pPr>
        <w:spacing w:after="0" w:line="62" w:lineRule="exact"/>
        <w:rPr>
          <w:sz w:val="20"/>
          <w:szCs w:val="20"/>
          <w:color w:val="auto"/>
        </w:rPr>
      </w:pPr>
    </w:p>
    <w:p>
      <w:pPr>
        <w:ind w:right="20" w:firstLine="509"/>
        <w:spacing w:after="0" w:line="281" w:lineRule="auto"/>
        <w:rPr>
          <w:sz w:val="20"/>
          <w:szCs w:val="20"/>
          <w:color w:val="auto"/>
        </w:rPr>
      </w:pPr>
      <w:r>
        <w:rPr>
          <w:rFonts w:ascii="Arial" w:cs="Arial" w:eastAsia="Arial" w:hAnsi="Arial"/>
          <w:sz w:val="17"/>
          <w:szCs w:val="17"/>
          <w:color w:val="auto"/>
        </w:rPr>
        <w:t>Positive and promising results from preclinical studies and early-stage clinical trials may not be predictive of results from late-stage clinical trials or from clinical trials of the same product candidates for the treatment of other indications. Product candidates in later stages of clinical trials may fail to show the desired safety and efficacy traits despite having progressed through preclinical studies and initial clinical trials. Late-stage clinical trials could differ in significant ways from early-stage clinical trials, including changes to inclusion and exclusion criteria, efficacy endpoints, dosing regimen and statistical design. Moreover, success in clinical trials in a particular indication does not guarantee that a product candidate will be successful for the treatment of other indications. Many companies in the biopharmaceutical industry have suffered significant setbacks in late-stage clinical trials after achieving encouraging or positive results in early-stage development. We cannot assure you that we will not face similar setbacks in our ongoing or planned clinical trials, including in our Phase 2 clinical trials of BA3011 for the treatment of soft tissue and bone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ind w:right="20"/>
        <w:spacing w:after="0" w:line="293" w:lineRule="auto"/>
        <w:rPr>
          <w:sz w:val="20"/>
          <w:szCs w:val="20"/>
          <w:color w:val="auto"/>
        </w:rPr>
      </w:pPr>
      <w:r>
        <w:rPr>
          <w:rFonts w:ascii="Arial" w:cs="Arial" w:eastAsia="Arial" w:hAnsi="Arial"/>
          <w:sz w:val="18"/>
          <w:szCs w:val="18"/>
          <w:color w:val="auto"/>
        </w:rPr>
        <w:t>sarcoma and PD-1 refractory NSCLC, our Phase 2 clinical trial of BA3021 for the treatment of PD-1 refractory melanoma and NSCLC and any subsequent or post-marketing confirmatory clinical trials.</w:t>
      </w:r>
    </w:p>
    <w:p>
      <w:pPr>
        <w:spacing w:after="0" w:line="170" w:lineRule="exact"/>
        <w:rPr>
          <w:sz w:val="20"/>
          <w:szCs w:val="20"/>
          <w:color w:val="auto"/>
        </w:rPr>
      </w:pPr>
    </w:p>
    <w:p>
      <w:pPr>
        <w:ind w:right="40" w:firstLine="509"/>
        <w:spacing w:after="0" w:line="285" w:lineRule="auto"/>
        <w:rPr>
          <w:sz w:val="20"/>
          <w:szCs w:val="20"/>
          <w:color w:val="auto"/>
        </w:rPr>
      </w:pPr>
      <w:r>
        <w:rPr>
          <w:rFonts w:ascii="Arial" w:cs="Arial" w:eastAsia="Arial" w:hAnsi="Arial"/>
          <w:sz w:val="17"/>
          <w:szCs w:val="17"/>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EMA or comparable foreign regulatory authority approval. We cannot guarantee that the FDA will agree with our clinical trial plans. For example, we have initiated potentially registration-enabling Phase 2 trials for BA3011 in treatment-refractory sarcoma patients and PD-1 refractory NSCLC. The FDA has reviewed the trial designs, but has not opined on whether the Phase 2 clinical trials will in fact be sufficient to support regulatory approval. However, the FDA is expected to consider this further at the interim data review point. We cannot assure you that the FDA will agree that such data will be sufficient to support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our product candidates.</w:t>
      </w:r>
    </w:p>
    <w:p>
      <w:pPr>
        <w:spacing w:after="0" w:line="293" w:lineRule="exact"/>
        <w:rPr>
          <w:sz w:val="20"/>
          <w:szCs w:val="20"/>
          <w:color w:val="auto"/>
        </w:rPr>
      </w:pPr>
    </w:p>
    <w:p>
      <w:pPr>
        <w:ind w:right="140"/>
        <w:spacing w:after="0" w:line="324"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9"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such as the interim data from our ongoing Phase 2 clinical trials of BA3011 and BA3021. These interim updates are based on a preliminary analysis of then-available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182"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271"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b w:val="1"/>
          <w:bCs w:val="1"/>
          <w:i w:val="1"/>
          <w:iCs w:val="1"/>
          <w:color w:val="auto"/>
        </w:rPr>
        <w:t>Delays in the commencement and completion of clinical trials could increase costs and delay or prevent regulatory approval and commercialization of our product candidates.</w:t>
      </w:r>
    </w:p>
    <w:p>
      <w:pPr>
        <w:spacing w:after="0" w:line="62" w:lineRule="exact"/>
        <w:rPr>
          <w:sz w:val="20"/>
          <w:szCs w:val="20"/>
          <w:color w:val="auto"/>
        </w:rPr>
      </w:pPr>
    </w:p>
    <w:p>
      <w:pPr>
        <w:jc w:val="both"/>
        <w:ind w:right="180" w:firstLine="509"/>
        <w:spacing w:after="0" w:line="303" w:lineRule="auto"/>
        <w:rPr>
          <w:sz w:val="20"/>
          <w:szCs w:val="20"/>
          <w:color w:val="auto"/>
        </w:rPr>
      </w:pPr>
      <w:r>
        <w:rPr>
          <w:rFonts w:ascii="Arial" w:cs="Arial" w:eastAsia="Arial" w:hAnsi="Arial"/>
          <w:sz w:val="17"/>
          <w:szCs w:val="17"/>
          <w:color w:val="auto"/>
        </w:rPr>
        <w:t>We cannot guarantee that clinical trials of our product candidates will be conducted as planned or completed on schedule, if at all. A failure of one or more clinical trials can occur at any stage of the clinical trial process, and other events may cause us to temporarily or permanently stop a clinical trial. Events that may prevent successful or timely commencement and completion of clinical development include:</w:t>
      </w:r>
    </w:p>
    <w:p>
      <w:pPr>
        <w:spacing w:after="0" w:line="5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negative preclinical data;</w:t>
      </w:r>
    </w:p>
    <w:p>
      <w:pPr>
        <w:spacing w:after="0" w:line="131" w:lineRule="exact"/>
        <w:rPr>
          <w:sz w:val="20"/>
          <w:szCs w:val="20"/>
          <w:color w:val="auto"/>
        </w:rPr>
      </w:pPr>
    </w:p>
    <w:p>
      <w:pPr>
        <w:ind w:left="960" w:right="100"/>
        <w:spacing w:after="0" w:line="293" w:lineRule="auto"/>
        <w:rPr>
          <w:sz w:val="20"/>
          <w:szCs w:val="20"/>
          <w:color w:val="auto"/>
        </w:rPr>
      </w:pPr>
      <w:r>
        <w:rPr>
          <w:rFonts w:ascii="Arial" w:cs="Arial" w:eastAsia="Arial" w:hAnsi="Arial"/>
          <w:sz w:val="18"/>
          <w:szCs w:val="18"/>
          <w:color w:val="auto"/>
        </w:rPr>
        <w:t>delays in receiving the required regulatory clearance from the appropriate regulatory authorities to commence clinical trials or amend clinical trial protocols, including any objections to our INDs or protocol amendments from the FDA;</w:t>
      </w:r>
    </w:p>
    <w:p>
      <w:pPr>
        <w:spacing w:after="0" w:line="62" w:lineRule="exact"/>
        <w:rPr>
          <w:sz w:val="20"/>
          <w:szCs w:val="20"/>
          <w:color w:val="auto"/>
        </w:rPr>
      </w:pPr>
    </w:p>
    <w:p>
      <w:pPr>
        <w:ind w:left="5540" w:right="3340" w:hanging="4577"/>
        <w:spacing w:after="0" w:line="293" w:lineRule="auto"/>
        <w:rPr>
          <w:sz w:val="20"/>
          <w:szCs w:val="20"/>
          <w:color w:val="auto"/>
        </w:rPr>
      </w:pPr>
      <w:r>
        <w:rPr>
          <w:rFonts w:ascii="Arial" w:cs="Arial" w:eastAsia="Arial" w:hAnsi="Arial"/>
          <w:sz w:val="18"/>
          <w:szCs w:val="18"/>
          <w:color w:val="auto"/>
        </w:rPr>
        <w:t>delays in reaching, or a failure to reach, a consensus with regulatory authorities on study design;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5" w:name="page36"/>
    <w:bookmarkEnd w:id="35"/>
    <w:p>
      <w:pPr>
        <w:ind w:left="960" w:right="20"/>
        <w:spacing w:after="0" w:line="293" w:lineRule="auto"/>
        <w:rPr>
          <w:sz w:val="20"/>
          <w:szCs w:val="20"/>
          <w:color w:val="auto"/>
        </w:rPr>
      </w:pPr>
      <w:r>
        <w:rPr>
          <w:rFonts w:ascii="Arial" w:cs="Arial" w:eastAsia="Arial" w:hAnsi="Arial"/>
          <w:sz w:val="18"/>
          <w:szCs w:val="18"/>
          <w:color w:val="auto"/>
        </w:rPr>
        <w:t>delays in reaching, or failure to reach, agreement on acceptable terms with prospective CROs and clinical trial sites, the terms of which can be subject to extensive negotiation and may vary significantly among different CROs and trial sites;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difficulties in obtaining IRB approval at each site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challenges in recruiting suitable patients to participate in a trial;</w:t>
      </w:r>
    </w:p>
    <w:p>
      <w:pPr>
        <w:spacing w:after="0" w:line="131" w:lineRule="exact"/>
        <w:rPr>
          <w:sz w:val="20"/>
          <w:szCs w:val="20"/>
          <w:color w:val="auto"/>
        </w:rPr>
      </w:pPr>
    </w:p>
    <w:p>
      <w:pPr>
        <w:ind w:left="960" w:right="420"/>
        <w:spacing w:after="0" w:line="293" w:lineRule="auto"/>
        <w:rPr>
          <w:sz w:val="20"/>
          <w:szCs w:val="20"/>
          <w:color w:val="auto"/>
        </w:rPr>
      </w:pPr>
      <w:r>
        <w:rPr>
          <w:rFonts w:ascii="Arial" w:cs="Arial" w:eastAsia="Arial" w:hAnsi="Arial"/>
          <w:sz w:val="18"/>
          <w:szCs w:val="18"/>
          <w:color w:val="auto"/>
        </w:rPr>
        <w:t>the inability to enroll a sufficient number of patients in clinical trials to ensure adequate statistical power to detect statistically significant treatment effects;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difficulties in having patients complete a trial or return for post-treatment follow-up;</w:t>
      </w:r>
    </w:p>
    <w:p>
      <w:pPr>
        <w:spacing w:after="0" w:line="131" w:lineRule="exact"/>
        <w:rPr>
          <w:sz w:val="20"/>
          <w:szCs w:val="20"/>
          <w:color w:val="auto"/>
        </w:rPr>
      </w:pPr>
    </w:p>
    <w:p>
      <w:pPr>
        <w:ind w:left="960" w:right="180"/>
        <w:spacing w:after="0" w:line="293" w:lineRule="auto"/>
        <w:rPr>
          <w:sz w:val="20"/>
          <w:szCs w:val="20"/>
          <w:color w:val="auto"/>
        </w:rPr>
      </w:pPr>
      <w:r>
        <w:rPr>
          <w:rFonts w:ascii="Arial" w:cs="Arial" w:eastAsia="Arial" w:hAnsi="Arial"/>
          <w:sz w:val="18"/>
          <w:szCs w:val="18"/>
          <w:color w:val="auto"/>
        </w:rPr>
        <w:t>our CROs or clinical trial sites failing to comply with regulatory requirements or meet their contractual obligations to us in a timely manner, or at all, deviating from the protocol or dropping out of a clinical trial;</w:t>
      </w:r>
    </w:p>
    <w:p>
      <w:pPr>
        <w:spacing w:after="0" w:line="62"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unforeseen safety issues, including occurrence of treatment emergent adverse events, or TEAEs, associated with the product candidate that are viewed to outweigh the product candidate’s potential benefits;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difficulties in adding new clinical trial sites;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ambiguous or negative interim results;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lack of adequate funding to continue the clinical trial;</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difficulties in manufacturing sufficient quantities of acceptable product candidate for use in clinical trials in a timely manner, or at all; or</w:t>
      </w:r>
    </w:p>
    <w:p>
      <w:pPr>
        <w:spacing w:after="0" w:line="142" w:lineRule="exact"/>
        <w:rPr>
          <w:sz w:val="20"/>
          <w:szCs w:val="20"/>
          <w:color w:val="auto"/>
        </w:rPr>
      </w:pPr>
    </w:p>
    <w:p>
      <w:pPr>
        <w:ind w:left="960" w:right="40"/>
        <w:spacing w:after="0" w:line="275" w:lineRule="auto"/>
        <w:rPr>
          <w:sz w:val="20"/>
          <w:szCs w:val="20"/>
          <w:color w:val="auto"/>
        </w:rPr>
      </w:pPr>
      <w:r>
        <w:rPr>
          <w:rFonts w:ascii="Arial" w:cs="Arial" w:eastAsia="Arial" w:hAnsi="Arial"/>
          <w:sz w:val="18"/>
          <w:szCs w:val="18"/>
          <w:color w:val="auto"/>
        </w:rPr>
        <w:t>the COVID-19 pandemic, which continues to adversely affect the pace of patient enrollment in clinical trials, also has caused clinical sites to redirect personnel and resources to focus on immediate and often unplanned numbers and needs of COVID-19 patients. In addition, the pandemic may result in clinical site closures, delays to patient enrollment, patients discontinuing their treatment or follow up visits or changes to trial protocols.</w:t>
      </w:r>
    </w:p>
    <w:p>
      <w:pPr>
        <w:spacing w:after="0" w:line="185" w:lineRule="exact"/>
        <w:rPr>
          <w:sz w:val="20"/>
          <w:szCs w:val="20"/>
          <w:color w:val="auto"/>
        </w:rPr>
      </w:pPr>
    </w:p>
    <w:p>
      <w:pPr>
        <w:ind w:firstLine="509"/>
        <w:spacing w:after="0" w:line="305" w:lineRule="auto"/>
        <w:rPr>
          <w:sz w:val="20"/>
          <w:szCs w:val="20"/>
          <w:color w:val="auto"/>
        </w:rPr>
      </w:pPr>
      <w:r>
        <w:rPr>
          <w:rFonts w:ascii="Arial" w:cs="Arial" w:eastAsia="Arial" w:hAnsi="Arial"/>
          <w:sz w:val="16"/>
          <w:szCs w:val="16"/>
          <w:color w:val="auto"/>
        </w:rPr>
        <w:t>We could encounter delays if a clinical trial is suspended or terminated by us, by the IRBs of the institutions in which such trials are being conducted, by a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results of operations and prospects significantly. In addition, many of the factors that cause, or lead to, a delay in the commencement or completion of clinical trials may also ultimately lead to the denial of regulatory approval of our product candidates.</w:t>
      </w:r>
    </w:p>
    <w:p>
      <w:pPr>
        <w:spacing w:after="0" w:line="169"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In addition, data obtained from trials and studies are susceptible to varying interpretations, and regulators may not interpret our data as favorably as we do, which may delay, limit or prevent regulatory approval. Our clinical trial results may not be successful, or even if successful, may not lead to regulatory approval.</w:t>
      </w:r>
    </w:p>
    <w:p>
      <w:pPr>
        <w:spacing w:after="0" w:line="291" w:lineRule="exact"/>
        <w:rPr>
          <w:sz w:val="20"/>
          <w:szCs w:val="20"/>
          <w:color w:val="auto"/>
        </w:rPr>
      </w:pPr>
    </w:p>
    <w:p>
      <w:pPr>
        <w:ind w:right="560"/>
        <w:spacing w:after="0" w:line="293"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62" w:lineRule="exact"/>
        <w:rPr>
          <w:sz w:val="20"/>
          <w:szCs w:val="20"/>
          <w:color w:val="auto"/>
        </w:rPr>
      </w:pPr>
    </w:p>
    <w:p>
      <w:pPr>
        <w:ind w:right="60" w:firstLine="509"/>
        <w:spacing w:after="0" w:line="272" w:lineRule="auto"/>
        <w:rPr>
          <w:sz w:val="20"/>
          <w:szCs w:val="20"/>
          <w:color w:val="auto"/>
        </w:rPr>
      </w:pPr>
      <w:r>
        <w:rPr>
          <w:rFonts w:ascii="Arial" w:cs="Arial" w:eastAsia="Arial" w:hAnsi="Arial"/>
          <w:sz w:val="18"/>
          <w:szCs w:val="18"/>
          <w:color w:val="auto"/>
        </w:rPr>
        <w:t>We may encounter delays or difficulties in enrolling, or be unable to enroll, a sufficient number of patients to complete any of our clinical trials on our current timelines, or at all, and even once enrolled, we may be unable to retain a sufficient number of patients to complete any of our trials. Enrollment in our clinical trials may be slower than we anticipate, leading to delays in our development timelines. For example, we may face difficulty enrolling a sufficient number of patients in a timely manner in our clinical trials for BA3011 and BA3021 due to the limited number of suitable patients meeting the required AXL or ROR2 tumor membrane expression levels.</w:t>
      </w:r>
    </w:p>
    <w:p>
      <w:pPr>
        <w:spacing w:after="0" w:line="191" w:lineRule="exact"/>
        <w:rPr>
          <w:sz w:val="20"/>
          <w:szCs w:val="20"/>
          <w:color w:val="auto"/>
        </w:rPr>
      </w:pPr>
    </w:p>
    <w:p>
      <w:pPr>
        <w:ind w:firstLine="509"/>
        <w:spacing w:after="0" w:line="266" w:lineRule="auto"/>
        <w:rPr>
          <w:sz w:val="20"/>
          <w:szCs w:val="20"/>
          <w:color w:val="auto"/>
        </w:rPr>
      </w:pPr>
      <w:r>
        <w:rPr>
          <w:rFonts w:ascii="Arial" w:cs="Arial" w:eastAsia="Arial" w:hAnsi="Arial"/>
          <w:sz w:val="18"/>
          <w:szCs w:val="18"/>
          <w:color w:val="auto"/>
        </w:rPr>
        <w:t>Patient enrollment and retention in clinical trials depends on many factors, including the size and nature of the patient population, the nature of the trial protocol, our ability to recruit clinical trial investigators with the appropriate competencies and experience, delays in enrollment due to travel or quarantine policies, or other factors, related to the COVID-19 pandemic or other epidemics or pandemics, the existing body of safety and efficacy data with respect to the study drug, the number and nature of competing treatments and ongoing clinical trials of competing drugs for the same indication, the proximity of patients to clinical sites,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6" w:name="page37"/>
    <w:bookmarkEnd w:id="36"/>
    <w:p>
      <w:pPr>
        <w:spacing w:after="0" w:line="290" w:lineRule="auto"/>
        <w:rPr>
          <w:sz w:val="20"/>
          <w:szCs w:val="20"/>
          <w:color w:val="auto"/>
        </w:rPr>
      </w:pPr>
      <w:r>
        <w:rPr>
          <w:rFonts w:ascii="Arial" w:cs="Arial" w:eastAsia="Arial" w:hAnsi="Arial"/>
          <w:sz w:val="17"/>
          <w:szCs w:val="17"/>
          <w:color w:val="auto"/>
        </w:rPr>
        <w:t>the eligibility criteria for the trial and the proportion of patients screened that meets those criteria, our ability to obtain and maintain patient consents and our ability to successfully complete prerequisite studies before enrolling certain patient populations. Furthermore, any negative results or new safety signals we may report in clinical trials of our product candidates may make it difficult or impossible to recruit and retain patients in other clinical trials we are conducting. Similarly, negative results reported by our competitors 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spacing w:after="0" w:line="176"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Delays or failures in planned patient enrollment or retention may result in increased costs, program delays or both, which could have a harmful effect on our ability to develop our product candidates, or could render further development impossible. In addition, we rely on clinical trial sites to ensure timely conduct of our clinical trials and, while we have entered into agreements governing their services, we are limited in our ability to compel their actual performance.</w:t>
      </w:r>
    </w:p>
    <w:p>
      <w:pPr>
        <w:spacing w:after="0" w:line="293" w:lineRule="exact"/>
        <w:rPr>
          <w:sz w:val="20"/>
          <w:szCs w:val="20"/>
          <w:color w:val="auto"/>
        </w:rPr>
      </w:pPr>
    </w:p>
    <w:p>
      <w:pPr>
        <w:ind w:right="480"/>
        <w:spacing w:after="0" w:line="394" w:lineRule="auto"/>
        <w:rPr>
          <w:sz w:val="20"/>
          <w:szCs w:val="20"/>
          <w:color w:val="auto"/>
        </w:rPr>
      </w:pPr>
      <w:r>
        <w:rPr>
          <w:rFonts w:ascii="Arial" w:cs="Arial" w:eastAsia="Arial" w:hAnsi="Arial"/>
          <w:sz w:val="15"/>
          <w:szCs w:val="15"/>
          <w:b w:val="1"/>
          <w:bCs w:val="1"/>
          <w:i w:val="1"/>
          <w:iCs w:val="1"/>
          <w:color w:val="auto"/>
        </w:rPr>
        <w:t>Our product candidates may cause undesirable and unforeseen side effects or have other properties impacting safety that could halt their clinical development, delay or prevent their regulatory approval, limit their commercial potential or result in significant negative consequences.</w:t>
      </w:r>
    </w:p>
    <w:p>
      <w:pPr>
        <w:spacing w:after="0" w:line="1"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regulatory authorities and potential product liability claims. Such side effects could also affect patient recruitment or the ability of enrolled patients to complete the trial. Many compounds developed in the biopharmaceutical industry that initially showed promise in early-stage testing for treating cancer have later been found to cause side effects that prevented their further development. Any of these occurrences may materially and adversely affect our business, financial condition, results of operations and prospects.</w:t>
      </w:r>
    </w:p>
    <w:p>
      <w:pPr>
        <w:spacing w:after="0" w:line="191" w:lineRule="exact"/>
        <w:rPr>
          <w:sz w:val="20"/>
          <w:szCs w:val="20"/>
          <w:color w:val="auto"/>
        </w:rPr>
      </w:pPr>
    </w:p>
    <w:p>
      <w:pPr>
        <w:ind w:right="600" w:firstLine="509"/>
        <w:spacing w:after="0" w:line="293" w:lineRule="auto"/>
        <w:rPr>
          <w:sz w:val="20"/>
          <w:szCs w:val="20"/>
          <w:color w:val="auto"/>
        </w:rPr>
      </w:pPr>
      <w:r>
        <w:rPr>
          <w:rFonts w:ascii="Arial" w:cs="Arial" w:eastAsia="Arial" w:hAnsi="Arial"/>
          <w:sz w:val="18"/>
          <w:szCs w:val="18"/>
          <w:color w:val="auto"/>
        </w:rPr>
        <w:t>In our clinical trials for BA3011 and BA3021, we have observed adverse events such as reversible myelosuppression, transient liver enzyme elevations, pyrexia, or fever, metabolic disturbances and peripheral neuropathy.</w:t>
      </w:r>
    </w:p>
    <w:p>
      <w:pPr>
        <w:spacing w:after="0" w:line="170" w:lineRule="exact"/>
        <w:rPr>
          <w:sz w:val="20"/>
          <w:szCs w:val="20"/>
          <w:color w:val="auto"/>
        </w:rPr>
      </w:pPr>
    </w:p>
    <w:p>
      <w:pPr>
        <w:ind w:right="60" w:firstLine="509"/>
        <w:spacing w:after="0" w:line="272" w:lineRule="auto"/>
        <w:rPr>
          <w:sz w:val="20"/>
          <w:szCs w:val="20"/>
          <w:color w:val="auto"/>
        </w:rPr>
      </w:pPr>
      <w:r>
        <w:rPr>
          <w:rFonts w:ascii="Arial" w:cs="Arial" w:eastAsia="Arial" w:hAnsi="Arial"/>
          <w:sz w:val="18"/>
          <w:szCs w:val="18"/>
          <w:color w:val="auto"/>
        </w:rPr>
        <w:t>For our current and future clinical trials, we have contracted with and expect to continue to contract with CROs experienced in the assessment and management of toxicities arising during clinical trials. Nonetheless,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delaying, suspending or terminating one or more of our clinical trials and which could jeopardize regulatory approval.</w:t>
      </w:r>
    </w:p>
    <w:p>
      <w:pPr>
        <w:spacing w:after="0" w:line="191"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 For example, while we believe that BA3011 and BA3021 have demonstrated manageable tolerability profiles thus far, we cannot assure you that these and our other product candidates will not cause more severe side effects in a greater proportion of patients.</w:t>
      </w:r>
    </w:p>
    <w:p>
      <w:pPr>
        <w:spacing w:after="0" w:line="191" w:lineRule="exact"/>
        <w:rPr>
          <w:sz w:val="20"/>
          <w:szCs w:val="20"/>
          <w:color w:val="auto"/>
        </w:rPr>
      </w:pPr>
    </w:p>
    <w:p>
      <w:pPr>
        <w:ind w:right="180" w:firstLine="509"/>
        <w:spacing w:after="0" w:line="329" w:lineRule="auto"/>
        <w:rPr>
          <w:sz w:val="20"/>
          <w:szCs w:val="20"/>
          <w:color w:val="auto"/>
        </w:rPr>
      </w:pPr>
      <w:r>
        <w:rPr>
          <w:rFonts w:ascii="Arial" w:cs="Arial" w:eastAsia="Arial" w:hAnsi="Arial"/>
          <w:sz w:val="16"/>
          <w:szCs w:val="16"/>
          <w:color w:val="auto"/>
        </w:rPr>
        <w:t>In addition, BA3011 and BA3021 are being studied in combination with other therapies, which may exacerbate adverse events associated with the therapy. Patients treated with BA3011, BA3021 or our other product candidates may also be undergoing surgical, radiation or chemotherapy treatments, which can cause side effects or adverse events that are unrelated to our product candidate but may still impact the success of our clinical trials.</w:t>
      </w:r>
    </w:p>
    <w:p>
      <w:pPr>
        <w:spacing w:after="0" w:line="148"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The inclusion of critically ill patients in our clinical trials may result in deaths or other adverse medical events due to other therapies or medications that such patients may be using or due to the gravity of such patients’ illnesses. For example, some of the late-stage patients enrolled in our BA3011 and BA3021 clinical trials may die or experience major clinical events either during the course of our clinical trials or after participating in such trials due mainly to the gravity of their illness, which has occurred in the past.</w:t>
      </w:r>
    </w:p>
    <w:p>
      <w:pPr>
        <w:spacing w:after="0" w:line="185" w:lineRule="exact"/>
        <w:rPr>
          <w:sz w:val="20"/>
          <w:szCs w:val="20"/>
          <w:color w:val="auto"/>
        </w:rPr>
      </w:pPr>
    </w:p>
    <w:p>
      <w:pPr>
        <w:ind w:right="200" w:firstLine="509"/>
        <w:spacing w:after="0" w:line="293" w:lineRule="auto"/>
        <w:rPr>
          <w:sz w:val="20"/>
          <w:szCs w:val="20"/>
          <w:color w:val="auto"/>
        </w:rPr>
      </w:pPr>
      <w:r>
        <w:rPr>
          <w:rFonts w:ascii="Arial" w:cs="Arial" w:eastAsia="Arial" w:hAnsi="Arial"/>
          <w:sz w:val="18"/>
          <w:szCs w:val="18"/>
          <w:color w:val="auto"/>
        </w:rPr>
        <w:t>In the event that any of our product candidates receive regulatory approval, and we or others later identify undesirable and unforeseen side effects caused by such product, any of the following negative consequences could occur, including:</w:t>
      </w:r>
    </w:p>
    <w:p>
      <w:pPr>
        <w:spacing w:after="0" w:line="62" w:lineRule="exact"/>
        <w:rPr>
          <w:sz w:val="20"/>
          <w:szCs w:val="20"/>
          <w:color w:val="auto"/>
        </w:rPr>
      </w:pPr>
    </w:p>
    <w:p>
      <w:pPr>
        <w:ind w:left="960" w:right="680"/>
        <w:spacing w:after="0" w:line="293" w:lineRule="auto"/>
        <w:rPr>
          <w:sz w:val="20"/>
          <w:szCs w:val="20"/>
          <w:color w:val="auto"/>
        </w:rPr>
      </w:pPr>
      <w:r>
        <w:rPr>
          <w:rFonts w:ascii="Arial" w:cs="Arial" w:eastAsia="Arial" w:hAnsi="Arial"/>
          <w:sz w:val="18"/>
          <w:szCs w:val="18"/>
          <w:color w:val="auto"/>
        </w:rPr>
        <w:t>regulatory authorities may suspend, limit or withdraw their approval of such product, or seek an injunction against its manufacture or distribution;</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be required to conduct additional clinical trials or post-approval studies;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be required to recall a product or change the way such product is administered to patients;</w:t>
      </w:r>
    </w:p>
    <w:p>
      <w:pPr>
        <w:spacing w:after="0" w:line="131" w:lineRule="exact"/>
        <w:rPr>
          <w:sz w:val="20"/>
          <w:szCs w:val="20"/>
          <w:color w:val="auto"/>
        </w:rPr>
      </w:pPr>
    </w:p>
    <w:p>
      <w:pPr>
        <w:ind w:left="960" w:right="520"/>
        <w:spacing w:after="0" w:line="266" w:lineRule="auto"/>
        <w:rPr>
          <w:sz w:val="20"/>
          <w:szCs w:val="20"/>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7" w:name="page38"/>
    <w:bookmarkEnd w:id="37"/>
    <w:p>
      <w:pPr>
        <w:ind w:left="960" w:right="180"/>
        <w:spacing w:after="0" w:line="359" w:lineRule="auto"/>
        <w:rPr>
          <w:sz w:val="20"/>
          <w:szCs w:val="20"/>
          <w:color w:val="auto"/>
        </w:rPr>
      </w:pPr>
      <w:r>
        <w:rPr>
          <w:rFonts w:ascii="Arial" w:cs="Arial" w:eastAsia="Arial" w:hAnsi="Arial"/>
          <w:sz w:val="16"/>
          <w:szCs w:val="16"/>
          <w:color w:val="auto"/>
        </w:rPr>
        <w:t>regulatory authorities may require the addition of labeling statements, such as a boxed warning or a contraindication, or issue safety alerts, Dear Healthcare Provider letters, press releases or other communications containing warnings or other safety information about the product;</w:t>
      </w:r>
    </w:p>
    <w:p>
      <w:pPr>
        <w:spacing w:after="0" w:line="17" w:lineRule="exact"/>
        <w:rPr>
          <w:sz w:val="20"/>
          <w:szCs w:val="20"/>
          <w:color w:val="auto"/>
        </w:rPr>
      </w:pPr>
    </w:p>
    <w:p>
      <w:pPr>
        <w:ind w:left="960" w:right="160"/>
        <w:spacing w:after="0" w:line="359" w:lineRule="auto"/>
        <w:rPr>
          <w:sz w:val="20"/>
          <w:szCs w:val="20"/>
          <w:color w:val="auto"/>
        </w:rPr>
      </w:pPr>
      <w:r>
        <w:rPr>
          <w:rFonts w:ascii="Arial" w:cs="Arial" w:eastAsia="Arial" w:hAnsi="Arial"/>
          <w:sz w:val="16"/>
          <w:szCs w:val="16"/>
          <w:color w:val="auto"/>
        </w:rPr>
        <w:t>we may be required to implement a Risk Evaluation and Mitigation Strategy, or REMS, and/or create a Medication Guide outlining the risks of such side effects for distribution to patients, a communication plan for healthcare providers and/or other elements to assure safe use;</w:t>
      </w:r>
    </w:p>
    <w:p>
      <w:pPr>
        <w:spacing w:after="0" w:line="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could be sued and held liable for harm caused to patients;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be subject to fines, injunctions or the imposition of civil or criminal penalties;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product may become less competitive;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reputation may suffer.</w:t>
      </w:r>
    </w:p>
    <w:p>
      <w:pPr>
        <w:spacing w:after="0" w:line="239" w:lineRule="exact"/>
        <w:rPr>
          <w:sz w:val="20"/>
          <w:szCs w:val="20"/>
          <w:color w:val="auto"/>
        </w:rPr>
      </w:pPr>
    </w:p>
    <w:p>
      <w:pPr>
        <w:jc w:val="both"/>
        <w:ind w:right="20" w:firstLine="509"/>
        <w:spacing w:after="0" w:line="329" w:lineRule="auto"/>
        <w:rPr>
          <w:sz w:val="20"/>
          <w:szCs w:val="20"/>
          <w:color w:val="auto"/>
        </w:rPr>
      </w:pPr>
      <w:r>
        <w:rPr>
          <w:rFonts w:ascii="Arial" w:cs="Arial" w:eastAsia="Arial" w:hAnsi="Arial"/>
          <w:sz w:val="16"/>
          <w:szCs w:val="16"/>
          <w:color w:val="auto"/>
        </w:rPr>
        <w:t>Any of these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prove to be unsafe, our business, financial condition, results of operations and prospects may be materially and adversely affected.</w:t>
      </w:r>
    </w:p>
    <w:p>
      <w:pPr>
        <w:spacing w:after="0" w:line="256"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b w:val="1"/>
          <w:bCs w:val="1"/>
          <w:i w:val="1"/>
          <w:iCs w:val="1"/>
          <w:color w:val="auto"/>
        </w:rPr>
        <w:t>We are developing certain of our product candidates in combination with other therapies, and regulatory approval, safety or supply issues with these other therapies may delay or prevent the development and approval of our product candidates.</w:t>
      </w:r>
    </w:p>
    <w:p>
      <w:pPr>
        <w:spacing w:after="0" w:line="62"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Currently, we are evaluating the use of each of BA3011 and BA3021 in combination with an anti-PD-1 inhibitor and plan to evaluate the use of BA3071 in combination with an anti-PD-1 inhibitor. In the future, we may explore the use of these or our other product candidates in combination with other therapies. If we choose to develop a product candidate for use in combination with an approved therapy, we are subject to the risk that the FDA, EMA or comparable foreign regulatory authorities in other jurisdictions could revoke approval of, or that safety, efficacy, manufacturing or supply issues could arise with, the therapy used in combination with our product candidate. If the therapies we use in combination with our product candidates are replaced as the standard of care, the FDA, EMA or comparable foreign regulatory authorities in other jurisdictions may require us to conduct additional clinical trials. The occurrence of any of these risks could result in our product candidates, if approved, being removed from the market or being less successful commercially.</w:t>
      </w:r>
    </w:p>
    <w:p>
      <w:pPr>
        <w:spacing w:after="0" w:line="196"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Where we develop a product candidate for use in combination with a therapy that has not been approved by the FDA, EMA or comparable foreign regulatory authorities in other jurisdictions, we will not be able to market our product candidate for use in combination with such an unapproved therapy, unless and until the unapproved therapy receives regulatory approval. It is expected that BA3071 will also be evaluated in combination with an anti-PD-1 antibody in late stage development for solid tumor patients.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spacing w:after="0" w:line="163"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If the FDA, EMA or comparable foreign regulatory authorities in other jurisdictions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spacing w:after="0" w:line="272" w:lineRule="exact"/>
        <w:rPr>
          <w:sz w:val="20"/>
          <w:szCs w:val="20"/>
          <w:color w:val="auto"/>
        </w:rPr>
      </w:pPr>
    </w:p>
    <w:p>
      <w:pPr>
        <w:ind w:right="180"/>
        <w:spacing w:after="0" w:line="339" w:lineRule="auto"/>
        <w:rPr>
          <w:sz w:val="20"/>
          <w:szCs w:val="20"/>
          <w:color w:val="auto"/>
        </w:rPr>
      </w:pPr>
      <w:r>
        <w:rPr>
          <w:rFonts w:ascii="Arial" w:cs="Arial" w:eastAsia="Arial" w:hAnsi="Arial"/>
          <w:sz w:val="15"/>
          <w:szCs w:val="15"/>
          <w:b w:val="1"/>
          <w:bCs w:val="1"/>
          <w:i w:val="1"/>
          <w:iCs w:val="1"/>
          <w:color w:val="auto"/>
        </w:rPr>
        <w:t>If safe and effective use of any of our product candidates, such as BA3011 and BA3021, depends on a companion diagnostic test, then the FDA generally will require approval or clearance of that companion diagnostic at the same time that the FDA approves our product candidates, if at all. If we are unable to successfully develop companion diagnostic tests for our product candidates, experience significant delays in doing so, rely on third parties in the development of such companion diagnostic tests, or do not obtain or face delays in obtaining FDA approval of a companion diagnostic test, the full commercial potential of our product candidates and our ability to generate revenue will be materially impaired.</w:t>
      </w:r>
    </w:p>
    <w:p>
      <w:pPr>
        <w:spacing w:after="0" w:line="37" w:lineRule="exact"/>
        <w:rPr>
          <w:sz w:val="20"/>
          <w:szCs w:val="20"/>
          <w:color w:val="auto"/>
        </w:rPr>
      </w:pPr>
    </w:p>
    <w:p>
      <w:pPr>
        <w:ind w:right="20" w:firstLine="509"/>
        <w:spacing w:after="0" w:line="266" w:lineRule="auto"/>
        <w:rPr>
          <w:sz w:val="20"/>
          <w:szCs w:val="20"/>
          <w:color w:val="auto"/>
        </w:rPr>
      </w:pPr>
      <w:r>
        <w:rPr>
          <w:rFonts w:ascii="Arial" w:cs="Arial" w:eastAsia="Arial" w:hAnsi="Arial"/>
          <w:sz w:val="18"/>
          <w:szCs w:val="18"/>
          <w:color w:val="auto"/>
        </w:rPr>
        <w:t>We are exploring predictive biomarkers to determine patient selection for our clinical trials. Specifically, to help inform which patients may be most suitable for treatment with BA3011 and BA3021, we have developed a Clinical Laboratory Improvement Amendments, or CLIA, validated quantitative biomarker assay, the TmPS, which measures AXL and ROR2 expression levels on the tumor membrane and cytoplasm. We are using both AXL and ROR2 TmPS scores in our ongoing clinical trials and they may be used for patient selection in future clinical trials. If the AXL and ROR2 TmPS scores prove to be a useful method for patient selection, we will incorporate the specific diagnostic test into our registrational studies and partner with the appropriate diagnostic provider to codevelop a companion diagnostic.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8" w:name="page39"/>
    <w:bookmarkEnd w:id="38"/>
    <w:p>
      <w:pPr>
        <w:ind w:firstLine="509"/>
        <w:spacing w:after="0" w:line="304" w:lineRule="auto"/>
        <w:rPr>
          <w:sz w:val="20"/>
          <w:szCs w:val="20"/>
          <w:color w:val="auto"/>
        </w:rPr>
      </w:pPr>
      <w:r>
        <w:rPr>
          <w:rFonts w:ascii="Arial" w:cs="Arial" w:eastAsia="Arial" w:hAnsi="Arial"/>
          <w:sz w:val="16"/>
          <w:szCs w:val="16"/>
          <w:color w:val="auto"/>
        </w:rPr>
        <w:t>If safe and effective use of any of our product candidates, such as BA3011 and BA3021, depends on a companion diagnostic test then the FDA generally will require approval or clearance of that companion diagnostic, at the same time that the FDA approves our product candidates, if at all. The process of obtaining or creating such diagnostic is time-consuming and costly and a delay in diagnostic approval could delay drug approval.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policies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financial condition, results of operations and prospects.</w:t>
      </w:r>
    </w:p>
    <w:p>
      <w:pPr>
        <w:spacing w:after="0" w:line="166"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We expect to rely on third parties for the design, development and manufacture of companion diagnostic tests for our product candidates that require such tests. If the FDA, EMA or a comparable foreign regulatory authority requires approval of a companion diagnostic for any of our product candidates, whether before or after it obtains marketing approval, we, and/or future collaborators, may encounter difficulties in developing and obtaining approval for such product candidate. If we or our third-party collaborators experience any delay in developing or obtaining regulatory approval of a companion diagnostic, we may be unable to enroll enough patients for our current and planned clinical trials, the development of our product candidates may be adversely affected or we may not obtain marketing approval, and we may not realize the full commercial potential of our product candidates, including BA3011 and BA3021.</w:t>
      </w:r>
    </w:p>
    <w:p>
      <w:pPr>
        <w:spacing w:after="0" w:line="301" w:lineRule="exact"/>
        <w:rPr>
          <w:sz w:val="20"/>
          <w:szCs w:val="20"/>
          <w:color w:val="auto"/>
        </w:rPr>
      </w:pPr>
    </w:p>
    <w:p>
      <w:pPr>
        <w:ind w:right="60"/>
        <w:spacing w:after="0" w:line="329" w:lineRule="auto"/>
        <w:rPr>
          <w:sz w:val="20"/>
          <w:szCs w:val="20"/>
          <w:color w:val="auto"/>
        </w:rPr>
      </w:pPr>
      <w:r>
        <w:rPr>
          <w:rFonts w:ascii="Arial" w:cs="Arial" w:eastAsia="Arial" w:hAnsi="Arial"/>
          <w:sz w:val="16"/>
          <w:szCs w:val="16"/>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40" w:lineRule="exact"/>
        <w:rPr>
          <w:sz w:val="20"/>
          <w:szCs w:val="20"/>
          <w:color w:val="auto"/>
        </w:rPr>
      </w:pPr>
    </w:p>
    <w:p>
      <w:pPr>
        <w:ind w:right="60" w:firstLine="509"/>
        <w:spacing w:after="0" w:line="308" w:lineRule="auto"/>
        <w:rPr>
          <w:sz w:val="20"/>
          <w:szCs w:val="20"/>
          <w:color w:val="auto"/>
        </w:rPr>
      </w:pPr>
      <w:r>
        <w:rPr>
          <w:rFonts w:ascii="Arial" w:cs="Arial" w:eastAsia="Arial" w:hAnsi="Arial"/>
          <w:sz w:val="16"/>
          <w:szCs w:val="16"/>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and will develop product candidates and processes competitive with our product candidates. We believe that a significant number of products are currently under development, and may become commercially available in the future, for the treatment of conditions for which we are developing product candidates. We believe that while our patented CAB technology platform, its associated intellectual property and our scientific and technical know-how give us a competitive advantage in this space, competition from many sources remains. Our success will partially depend on our ability to develop and protect therapeutics that are safer and more effective than competing products. Our commercial opportunity and success will be reduced or eliminated if competing products are safer, more effective or less expensive than the therapeutics we develop.</w:t>
      </w:r>
    </w:p>
    <w:p>
      <w:pPr>
        <w:spacing w:after="0" w:line="163" w:lineRule="exact"/>
        <w:rPr>
          <w:sz w:val="20"/>
          <w:szCs w:val="20"/>
          <w:color w:val="auto"/>
        </w:rPr>
      </w:pPr>
    </w:p>
    <w:p>
      <w:pPr>
        <w:ind w:right="20" w:firstLine="509"/>
        <w:spacing w:after="0" w:line="269" w:lineRule="auto"/>
        <w:rPr>
          <w:sz w:val="20"/>
          <w:szCs w:val="20"/>
          <w:color w:val="auto"/>
        </w:rPr>
      </w:pPr>
      <w:r>
        <w:rPr>
          <w:rFonts w:ascii="Arial" w:cs="Arial" w:eastAsia="Arial" w:hAnsi="Arial"/>
          <w:sz w:val="18"/>
          <w:szCs w:val="18"/>
          <w:color w:val="auto"/>
        </w:rPr>
        <w:t>Although we do not believe competing companies have selective CAB technology, there is a wide array of activity in multiple areas of immune-based cellular therapies for oncology including CAR-T and T-cell receptor therapies. Certain companies are also pursuing antibody therapies in immuno-oncology, ADCs and various prodrug biologic products designed to be preferentially activated at tumor sites. There are several FDA approved ADC products and several companies in various stages of clinical development of ADCs mostly directed at oncology indications, a key feature of our product candidates BA3011 and BA3021. There are also companies developing technologies designed to deliver biologics and chemotherapeutic agents with some targeting capabilities. In addition, if any of our product candidates are approved in oncology indications, they may compete with existing biologics and small molecule therapies, or may be used in combination with existing therapies. There are also many other therapies under development that are intended to treat the same cancers that we are targeting or may target with our CAB platform, including through approaches that could prove to be more effective, have fewer side effects, be cheaper to manufacture, be more convenient to administer or have other advantages over any products resulting from our technologies.</w:t>
      </w:r>
    </w:p>
    <w:p>
      <w:pPr>
        <w:spacing w:after="0" w:line="191" w:lineRule="exact"/>
        <w:rPr>
          <w:sz w:val="20"/>
          <w:szCs w:val="20"/>
          <w:color w:val="auto"/>
        </w:rPr>
      </w:pPr>
    </w:p>
    <w:p>
      <w:pPr>
        <w:ind w:right="80" w:firstLine="509"/>
        <w:spacing w:after="0" w:line="266" w:lineRule="auto"/>
        <w:rPr>
          <w:sz w:val="20"/>
          <w:szCs w:val="20"/>
          <w:color w:val="auto"/>
        </w:rPr>
      </w:pPr>
      <w:r>
        <w:rPr>
          <w:rFonts w:ascii="Arial" w:cs="Arial" w:eastAsia="Arial" w:hAnsi="Arial"/>
          <w:sz w:val="18"/>
          <w:szCs w:val="18"/>
          <w:color w:val="auto"/>
        </w:rPr>
        <w:t>Many of our competitors, either alone or with strategic partners, have significantly greater financial, technical, manufacturing, marketing, sales and supply resources or experience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9" w:name="page40"/>
    <w:bookmarkEnd w:id="39"/>
    <w:p>
      <w:pPr>
        <w:ind w:right="40"/>
        <w:spacing w:after="0" w:line="292" w:lineRule="auto"/>
        <w:rPr>
          <w:sz w:val="20"/>
          <w:szCs w:val="20"/>
          <w:color w:val="auto"/>
        </w:rPr>
      </w:pPr>
      <w:r>
        <w:rPr>
          <w:rFonts w:ascii="Arial" w:cs="Arial" w:eastAsia="Arial" w:hAnsi="Arial"/>
          <w:sz w:val="17"/>
          <w:szCs w:val="17"/>
          <w:color w:val="auto"/>
        </w:rPr>
        <w:t>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 and other third-party payors will also significantly affect the pricing and competitiveness of our products. In addition,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74" w:lineRule="exact"/>
        <w:rPr>
          <w:sz w:val="20"/>
          <w:szCs w:val="20"/>
          <w:color w:val="auto"/>
        </w:rPr>
      </w:pPr>
    </w:p>
    <w:p>
      <w:pPr>
        <w:ind w:right="260" w:firstLine="509"/>
        <w:spacing w:after="0" w:line="311" w:lineRule="auto"/>
        <w:rPr>
          <w:sz w:val="20"/>
          <w:szCs w:val="20"/>
          <w:color w:val="auto"/>
        </w:rPr>
      </w:pPr>
      <w:r>
        <w:rPr>
          <w:rFonts w:ascii="Arial" w:cs="Arial" w:eastAsia="Arial" w:hAnsi="Arial"/>
          <w:sz w:val="16"/>
          <w:szCs w:val="16"/>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63" w:lineRule="exact"/>
        <w:rPr>
          <w:sz w:val="20"/>
          <w:szCs w:val="20"/>
          <w:color w:val="auto"/>
        </w:rPr>
      </w:pPr>
    </w:p>
    <w:p>
      <w:pPr>
        <w:ind w:right="180" w:firstLine="509"/>
        <w:spacing w:after="0" w:line="319" w:lineRule="auto"/>
        <w:rPr>
          <w:sz w:val="20"/>
          <w:szCs w:val="20"/>
          <w:color w:val="auto"/>
        </w:rPr>
      </w:pPr>
      <w:r>
        <w:rPr>
          <w:rFonts w:ascii="Arial" w:cs="Arial" w:eastAsia="Arial" w:hAnsi="Arial"/>
          <w:sz w:val="16"/>
          <w:szCs w:val="16"/>
          <w:color w:val="auto"/>
        </w:rPr>
        <w:t>Our commercial opportunity could be substantially limited in the event that our competitors develop and commercialize products that are more effective, safer, less toxic or more convenient than products we may develop. In geographies that are critical to our commercial success, competitors may also obtain regulatory approvals before us, resulting in our competitors building a strong market position in advance of our products’ entry. Such competitors could also recruit our employees, which could negatively impact our level of expertise and our ability to execute our business plan.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biologic product candidates for which we intend to seek approval may face competition sooner than anticipated.</w:t>
      </w:r>
    </w:p>
    <w:p>
      <w:pPr>
        <w:spacing w:after="0" w:line="131"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or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product candidates.</w:t>
      </w:r>
    </w:p>
    <w:p>
      <w:pPr>
        <w:spacing w:after="0" w:line="182" w:lineRule="exact"/>
        <w:rPr>
          <w:sz w:val="20"/>
          <w:szCs w:val="20"/>
          <w:color w:val="auto"/>
        </w:rPr>
      </w:pPr>
    </w:p>
    <w:p>
      <w:pPr>
        <w:ind w:right="40" w:firstLine="509"/>
        <w:spacing w:after="0" w:line="272" w:lineRule="auto"/>
        <w:rPr>
          <w:sz w:val="20"/>
          <w:szCs w:val="20"/>
          <w:color w:val="auto"/>
        </w:rPr>
      </w:pPr>
      <w:r>
        <w:rPr>
          <w:rFonts w:ascii="Arial" w:cs="Arial" w:eastAsia="Arial" w:hAnsi="Arial"/>
          <w:sz w:val="18"/>
          <w:szCs w:val="18"/>
          <w:color w:val="auto"/>
        </w:rPr>
        <w:t>There is a risk that any product candidates we may develop that are approved as a biological product under a BLA would not qualify for the 12-year period of exclusivity or that this exclusivity could be shortened due to congressional action or otherwise, or that the FDA will not consider any product candidates we may develop to be reference products for competing products, potentially creating the opportunity for generic competition sooner than anticipated. Other aspects of the BPCIA, some of which may impact the BPCIA exclusivity provisions, have also been the subject of recent litigation, including litigation challenging the constitutionality of the ACA.</w:t>
      </w:r>
    </w:p>
    <w:p>
      <w:pPr>
        <w:spacing w:after="0" w:line="191" w:lineRule="exact"/>
        <w:rPr>
          <w:sz w:val="20"/>
          <w:szCs w:val="20"/>
          <w:color w:val="auto"/>
        </w:rPr>
      </w:pPr>
    </w:p>
    <w:p>
      <w:pPr>
        <w:ind w:firstLine="509"/>
        <w:spacing w:after="0" w:line="299" w:lineRule="auto"/>
        <w:rPr>
          <w:sz w:val="20"/>
          <w:szCs w:val="20"/>
          <w:color w:val="auto"/>
        </w:rPr>
      </w:pPr>
      <w:r>
        <w:rPr>
          <w:rFonts w:ascii="Arial" w:cs="Arial" w:eastAsia="Arial" w:hAnsi="Arial"/>
          <w:sz w:val="16"/>
          <w:szCs w:val="16"/>
          <w:color w:val="auto"/>
        </w:rPr>
        <w:t>For example, on December 14, 2018, a Texas U.S. District Court Judge ruled that the ACA is unconstitutional in its entirety because the “individual mandate” was repealed by Congress as part of the Tax Cuts and Jobs Act, or the TCJA.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oral arguments were held on November 10, 2020, although it is unclear when a decision will be made or how the Supreme Court will rule. Although the Supreme Court has yet to rule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and our business. We continue to evaluate the effect that the ACA and its possible reform, repeal and replacement has on our business and exclusivity under the BPCIA. It is uncertain the extent to which any such changes may impact our business or financial condition.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0" w:name="page41"/>
    <w:bookmarkEnd w:id="40"/>
    <w:p>
      <w:pPr>
        <w:ind w:right="500"/>
        <w:spacing w:after="0" w:line="293"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failure could have a material and adverse effect on our business, financial condition, results of operations and prospects.</w:t>
      </w:r>
    </w:p>
    <w:p>
      <w:pPr>
        <w:spacing w:after="0" w:line="62" w:lineRule="exact"/>
        <w:rPr>
          <w:sz w:val="20"/>
          <w:szCs w:val="20"/>
          <w:color w:val="auto"/>
        </w:rPr>
      </w:pPr>
    </w:p>
    <w:p>
      <w:pPr>
        <w:ind w:right="40" w:firstLine="509"/>
        <w:spacing w:after="0" w:line="285" w:lineRule="auto"/>
        <w:rPr>
          <w:sz w:val="20"/>
          <w:szCs w:val="20"/>
          <w:color w:val="auto"/>
        </w:rPr>
      </w:pPr>
      <w:r>
        <w:rPr>
          <w:rFonts w:ascii="Arial" w:cs="Arial" w:eastAsia="Arial" w:hAnsi="Arial"/>
          <w:sz w:val="17"/>
          <w:szCs w:val="17"/>
          <w:color w:val="auto"/>
        </w:rPr>
        <w:t>We expect to be exposed to significant product liability risks inherent in the development, testing and manufacturing of our product candidates and products, if approved. Product liability claims could delay or prevent completion of our development programs. If we succeed in marketing products, such claims could result in an FDA investigation of the safety and effectiveness of our products, our third-party manufacturer’s manufacturing processes and facilities or our marketing programs and potentially a recall of our products or more serious enforcement action, including limitations on the approved indications for which our product candidates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In addition, we may be subject to liability based on the actions of our existing or future collaborators in connection with their development of products using our CAB technology. Furthermore, clinical trial and product liability insurance is becoming increasingly expensive. As a result, we may be unable to maintain sufficient insurance at a reasonable cost to protect us against losses caused by product liability claims that could have a material and adverse effect on our business, financial condition, results of operations and prospects.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obtain U.S. or foreign regulatory approval and, as a result, unable to commercialize our product candidates.</w:t>
      </w:r>
    </w:p>
    <w:p>
      <w:pPr>
        <w:spacing w:after="0" w:line="131"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Our product candidates are subject to extensive governmental regulations relating to, among other things, the research, development, testing, manufacture, quality control, import, export, safety, effectiveness, labeling, packaging, storage, distribution, record keeping, approval, advertising, promotion, marketing, post-approval monitoring and post-approval reporting of drugs and therapeutic biologics. Rigorous preclinical testing and clinical trials and an extensive regulatory approval process are required to be successfully completed in the United States and in many foreign jurisdictions before a new drug or therapeutic biologic can be marketed. Satisfaction of these and other regulatory requirements is costly, lengthy, time-consuming, uncertain and subject to unanticipated delays. We have not previously submitted a BLA to the FDA, or similar drug approval filings to comparable foreign regulatory authorities, for any product candidate, and it is possible that none of the product candidates we may develop will obtain the regulatory approvals necessary for us or our existing or future collaborators to begin selling them.</w:t>
      </w:r>
    </w:p>
    <w:p>
      <w:pPr>
        <w:spacing w:after="0" w:line="182"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We have not completed any large-scale or pivotal clinical trials nor managed the regulatory approval process with the FDA or any other regulatory authority. The time required to obtain FDA and other approvals is unpredictable but typically takes many years following the commencement of clinical trials, depending upon the type, complexity and novelty of the product candidate, and numerous other factors including the substantial discretion of regulatory authorities. The standards that the FDA and its foreign counterparts, including the EMA, use when regulating us and our existing or future collaborators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our product candidates could fail to receive regulatory approval for many reasons including the following:</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31" w:lineRule="exact"/>
        <w:rPr>
          <w:sz w:val="20"/>
          <w:szCs w:val="20"/>
          <w:color w:val="auto"/>
        </w:rPr>
      </w:pPr>
    </w:p>
    <w:p>
      <w:pPr>
        <w:ind w:left="960" w:right="120"/>
        <w:spacing w:after="0" w:line="293" w:lineRule="auto"/>
        <w:rPr>
          <w:sz w:val="20"/>
          <w:szCs w:val="20"/>
          <w:color w:val="auto"/>
        </w:rPr>
      </w:pPr>
      <w:r>
        <w:rPr>
          <w:rFonts w:ascii="Arial" w:cs="Arial" w:eastAsia="Arial" w:hAnsi="Arial"/>
          <w:sz w:val="18"/>
          <w:szCs w:val="18"/>
          <w:color w:val="auto"/>
        </w:rPr>
        <w:t>we may be unable to demonstrate to the satisfaction of the FDA or comparable foreign regulatory authorities that a product candidate is safe, pure and potent for its proposed indication;</w:t>
      </w:r>
    </w:p>
    <w:p>
      <w:pPr>
        <w:spacing w:after="0" w:line="62" w:lineRule="exact"/>
        <w:rPr>
          <w:sz w:val="20"/>
          <w:szCs w:val="20"/>
          <w:color w:val="auto"/>
        </w:rPr>
      </w:pPr>
    </w:p>
    <w:p>
      <w:pPr>
        <w:ind w:left="960" w:right="480"/>
        <w:spacing w:after="0" w:line="293" w:lineRule="auto"/>
        <w:rPr>
          <w:sz w:val="20"/>
          <w:szCs w:val="20"/>
          <w:color w:val="auto"/>
        </w:rPr>
      </w:pPr>
      <w:r>
        <w:rPr>
          <w:rFonts w:ascii="Arial" w:cs="Arial" w:eastAsia="Arial" w:hAnsi="Arial"/>
          <w:sz w:val="18"/>
          <w:szCs w:val="18"/>
          <w:color w:val="auto"/>
        </w:rPr>
        <w:t>the results of clinical trials may fail to achieve the level of statistical significance required by the FDA or comparable foreign regulatory authorities for approval;</w:t>
      </w:r>
    </w:p>
    <w:p>
      <w:pPr>
        <w:spacing w:after="0" w:line="62" w:lineRule="exact"/>
        <w:rPr>
          <w:sz w:val="20"/>
          <w:szCs w:val="20"/>
          <w:color w:val="auto"/>
        </w:rPr>
      </w:pPr>
    </w:p>
    <w:p>
      <w:pPr>
        <w:ind w:left="960" w:right="2220"/>
        <w:spacing w:after="0" w:line="440" w:lineRule="auto"/>
        <w:rPr>
          <w:sz w:val="20"/>
          <w:szCs w:val="20"/>
          <w:color w:val="auto"/>
        </w:rPr>
      </w:pPr>
      <w:r>
        <w:rPr>
          <w:rFonts w:ascii="Arial" w:cs="Arial" w:eastAsia="Arial" w:hAnsi="Arial"/>
          <w:sz w:val="16"/>
          <w:szCs w:val="16"/>
          <w:color w:val="auto"/>
        </w:rPr>
        <w:t>we may be unable to demonstrate that a product candidate’s clinical and other benefits outweigh its safety risks; we may be unable to demonstrate a sufficient response rate or duration of response for a product candidate;</w:t>
      </w:r>
    </w:p>
    <w:p>
      <w:pPr>
        <w:ind w:left="960" w:right="700"/>
        <w:spacing w:after="0" w:line="266" w:lineRule="auto"/>
        <w:rPr>
          <w:sz w:val="20"/>
          <w:szCs w:val="20"/>
          <w:color w:val="auto"/>
        </w:rPr>
      </w:pPr>
      <w:r>
        <w:rPr>
          <w:rFonts w:ascii="Arial" w:cs="Arial" w:eastAsia="Arial" w:hAnsi="Arial"/>
          <w:sz w:val="18"/>
          <w:szCs w:val="18"/>
          <w:color w:val="auto"/>
        </w:rPr>
        <w:t>the FDA or comparable foreign regulatory authorities may disagree with our interpretation of data submitted in support of regulatory approval;</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41" w:name="page42"/>
    <w:bookmarkEnd w:id="41"/>
    <w:p>
      <w:pPr>
        <w:ind w:left="960" w:right="300"/>
        <w:spacing w:after="0" w:line="324" w:lineRule="auto"/>
        <w:rPr>
          <w:sz w:val="20"/>
          <w:szCs w:val="20"/>
          <w:color w:val="auto"/>
        </w:rPr>
      </w:pPr>
      <w:r>
        <w:rPr>
          <w:rFonts w:ascii="Arial" w:cs="Arial" w:eastAsia="Arial" w:hAnsi="Arial"/>
          <w:sz w:val="17"/>
          <w:szCs w:val="17"/>
          <w:color w:val="auto"/>
        </w:rPr>
        <w:t>the data collected from preclinical studies and clinical trials of our product candidates may not be sufficient to support the submission of a BLA or other regulatory submission necessary to obtain regulatory approval in the United States or elsewhere; and</w:t>
      </w:r>
    </w:p>
    <w:p>
      <w:pPr>
        <w:spacing w:after="0" w:line="39" w:lineRule="exact"/>
        <w:rPr>
          <w:sz w:val="20"/>
          <w:szCs w:val="20"/>
          <w:color w:val="auto"/>
        </w:rPr>
      </w:pPr>
    </w:p>
    <w:p>
      <w:pPr>
        <w:ind w:left="960" w:right="460"/>
        <w:spacing w:after="0" w:line="279" w:lineRule="auto"/>
        <w:rPr>
          <w:sz w:val="20"/>
          <w:szCs w:val="20"/>
          <w:color w:val="auto"/>
        </w:rPr>
      </w:pPr>
      <w:r>
        <w:rPr>
          <w:rFonts w:ascii="Arial" w:cs="Arial" w:eastAsia="Arial" w:hAnsi="Arial"/>
          <w:sz w:val="18"/>
          <w:szCs w:val="18"/>
          <w:color w:val="auto"/>
        </w:rPr>
        <w:t>we or our contractors may not meet the current Good Manufacturing Practices, or cGMPs, and other applicable requirements for manufacturing processes, procedures, documentation and facilities necessary for approval by the FDA or comparable foreign regulatory authorities.</w:t>
      </w:r>
    </w:p>
    <w:p>
      <w:pPr>
        <w:spacing w:after="0" w:line="183" w:lineRule="exact"/>
        <w:rPr>
          <w:sz w:val="20"/>
          <w:szCs w:val="20"/>
          <w:color w:val="auto"/>
        </w:rPr>
      </w:pPr>
    </w:p>
    <w:p>
      <w:pPr>
        <w:ind w:firstLine="509"/>
        <w:spacing w:after="0" w:line="288" w:lineRule="auto"/>
        <w:rPr>
          <w:sz w:val="20"/>
          <w:szCs w:val="20"/>
          <w:color w:val="auto"/>
        </w:rPr>
      </w:pPr>
      <w:r>
        <w:rPr>
          <w:rFonts w:ascii="Arial" w:cs="Arial" w:eastAsia="Arial" w:hAnsi="Arial"/>
          <w:sz w:val="17"/>
          <w:szCs w:val="17"/>
          <w:color w:val="auto"/>
        </w:rPr>
        <w:t>Any delay or failure in obtaining required approvals could have a material and adverse effect on our ability to generate revenues from the particular product candidate for which we are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BLA,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181"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spacing w:after="0" w:line="299" w:lineRule="exact"/>
        <w:rPr>
          <w:sz w:val="20"/>
          <w:szCs w:val="20"/>
          <w:color w:val="auto"/>
        </w:rPr>
      </w:pPr>
    </w:p>
    <w:p>
      <w:pPr>
        <w:ind w:right="60"/>
        <w:spacing w:after="0" w:line="292" w:lineRule="auto"/>
        <w:rPr>
          <w:sz w:val="20"/>
          <w:szCs w:val="20"/>
          <w:color w:val="auto"/>
        </w:rPr>
      </w:pPr>
      <w:r>
        <w:rPr>
          <w:rFonts w:ascii="Arial" w:cs="Arial" w:eastAsia="Arial" w:hAnsi="Arial"/>
          <w:sz w:val="17"/>
          <w:szCs w:val="17"/>
          <w:b w:val="1"/>
          <w:bCs w:val="1"/>
          <w:i w:val="1"/>
          <w:iCs w:val="1"/>
          <w:color w:val="auto"/>
        </w:rPr>
        <w:t>We intend to seek approval from the FDA or comparable foreign regulatory authorities through the use of accelerated approval pathways, if available.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66"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auto"/>
        </w:rPr>
        <w:t>We intend to seek an accelerated approval for BA3011 and BA3021 and we may seek accelerated approval for one or more of our other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We intend to seek accelerated approval for some of our product candidates on the basis of objective response rate, a surrogate endpoint that we believe is reasonably likely to predict clinical benefit. However, full approval of another product for the same indication as any of our product candidates for which we are seeking accelerated approval may make accelerated approval of our product candidates more difficult. If granted, accelerated approval is contingent on the sponsor’s agreement to conduct, in a diligent manner, additional post-approval confirmatory studies to verify and describe the drug’s clinical benefit and, in some cases, the FDA may require that the trial be designed, initiated, and/or fully enrolled prior to submission of the application or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169" w:lineRule="exact"/>
        <w:rPr>
          <w:sz w:val="20"/>
          <w:szCs w:val="20"/>
          <w:color w:val="auto"/>
        </w:rPr>
      </w:pPr>
    </w:p>
    <w:p>
      <w:pPr>
        <w:ind w:right="40" w:firstLine="509"/>
        <w:spacing w:after="0" w:line="281" w:lineRule="auto"/>
        <w:rPr>
          <w:sz w:val="20"/>
          <w:szCs w:val="20"/>
          <w:color w:val="auto"/>
        </w:rPr>
      </w:pPr>
      <w:r>
        <w:rPr>
          <w:rFonts w:ascii="Arial" w:cs="Arial" w:eastAsia="Arial" w:hAnsi="Arial"/>
          <w:sz w:val="17"/>
          <w:szCs w:val="17"/>
          <w:color w:val="auto"/>
        </w:rPr>
        <w:t>Prior to seeking accelerated approval for any of our product candidates, we intend to seek feedback from the FDA and will otherwise evaluate our ability to seek and receive accelerated approval. We cannot assure you that after our evaluation of the feedback and other factors we will decide to pursue or submit a BLA for accelerated approval or any other form of expedited development, review or approval. Similarly, we cannot assure you that after subsequent FDA feedback we will continue to pursue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we cannot assure you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42" w:name="page43"/>
    <w:bookmarkEnd w:id="42"/>
    <w:p>
      <w:pPr>
        <w:spacing w:after="0" w:line="275"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7" w:lineRule="exact"/>
        <w:rPr>
          <w:sz w:val="20"/>
          <w:szCs w:val="20"/>
          <w:color w:val="auto"/>
        </w:rPr>
      </w:pPr>
    </w:p>
    <w:p>
      <w:pPr>
        <w:ind w:right="120" w:firstLine="509"/>
        <w:spacing w:after="0" w:line="287" w:lineRule="auto"/>
        <w:rPr>
          <w:sz w:val="20"/>
          <w:szCs w:val="20"/>
          <w:color w:val="auto"/>
        </w:rPr>
      </w:pPr>
      <w:r>
        <w:rPr>
          <w:rFonts w:ascii="Arial" w:cs="Arial" w:eastAsia="Arial" w:hAnsi="Arial"/>
          <w:sz w:val="17"/>
          <w:szCs w:val="17"/>
          <w:color w:val="auto"/>
        </w:rPr>
        <w:t>Any regulatory approvals that we or our existing or future collaborators obtain for our product candidates may also be subject to limitations on the approved indicated uses for which a product may be marketed or to conditions of approval, or contain requirements for potentially costly post-marketing testing, including “Phase 4” clinical trials, and surveillance to monitor the safety and efficacy of the product candidate. Furthermore, any regulatory approval to market a product may be subject to limitations on the labeling of the product or may require safety warnings or other restrictions. In addition, the FDA has the authority to require a REMS plan as part of a BLA or after approval, which may impose further requirements or restrictions on the distribution or use of an approved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82" w:lineRule="exact"/>
        <w:rPr>
          <w:sz w:val="20"/>
          <w:szCs w:val="20"/>
          <w:color w:val="auto"/>
        </w:rPr>
      </w:pPr>
    </w:p>
    <w:p>
      <w:pPr>
        <w:ind w:right="80" w:firstLine="509"/>
        <w:spacing w:after="0" w:line="287" w:lineRule="auto"/>
        <w:rPr>
          <w:sz w:val="20"/>
          <w:szCs w:val="20"/>
          <w:color w:val="auto"/>
        </w:rPr>
      </w:pPr>
      <w:r>
        <w:rPr>
          <w:rFonts w:ascii="Arial" w:cs="Arial" w:eastAsia="Arial" w:hAnsi="Arial"/>
          <w:sz w:val="17"/>
          <w:szCs w:val="17"/>
          <w:color w:val="auto"/>
        </w:rPr>
        <w:t>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the FDA’s Good Clinical Practices, or GCP, for any clinical trials that we conduct post-approval. The manufacturer and manufacturing facilities we use to make a future product, if any, will also be subject to periodic review and inspection by the FDA and other regulatory agencies, including for continued compliance with cGMP requirements. Any product promotion and advertising will also be subject to regulatory requirements and continuing regulatory review.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7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restrictions on the marketing or manufacturing of the product;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withdrawal of the product from the market or voluntary or mandatory product recalls;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fines, warning or untitled letters or holds on clinical trials;</w:t>
      </w:r>
    </w:p>
    <w:p>
      <w:pPr>
        <w:spacing w:after="0" w:line="131" w:lineRule="exact"/>
        <w:rPr>
          <w:sz w:val="20"/>
          <w:szCs w:val="20"/>
          <w:color w:val="auto"/>
        </w:rPr>
      </w:pPr>
    </w:p>
    <w:p>
      <w:pPr>
        <w:ind w:left="960" w:right="640"/>
        <w:spacing w:after="0" w:line="293" w:lineRule="auto"/>
        <w:rPr>
          <w:sz w:val="20"/>
          <w:szCs w:val="20"/>
          <w:color w:val="auto"/>
        </w:rPr>
      </w:pPr>
      <w:r>
        <w:rPr>
          <w:rFonts w:ascii="Arial" w:cs="Arial" w:eastAsia="Arial" w:hAnsi="Arial"/>
          <w:sz w:val="18"/>
          <w:szCs w:val="18"/>
          <w:color w:val="auto"/>
        </w:rPr>
        <w:t>delay of approval or refusal by the FDA or comparable regulatory authorities in other jurisdictions to approve pending applications or supplements to approved applications filed by us, our current collaborator or any future strategic partners;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suspension or revocation of product license approvals;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product seizure or detention or refusal to permit the import or export of products;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injunctions or the imposition of civil or criminal penalties.</w:t>
      </w:r>
    </w:p>
    <w:p>
      <w:pPr>
        <w:spacing w:after="0" w:line="239"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The FDA’s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these regulations impose constraints on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results of operations and prospects.</w:t>
      </w:r>
    </w:p>
    <w:p>
      <w:pPr>
        <w:spacing w:after="0" w:line="271"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62"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81" w:lineRule="exact"/>
        <w:rPr>
          <w:sz w:val="20"/>
          <w:szCs w:val="20"/>
          <w:color w:val="auto"/>
        </w:rPr>
      </w:pPr>
    </w:p>
    <w:p>
      <w:pPr>
        <w:ind w:right="60" w:firstLine="509"/>
        <w:spacing w:after="0" w:line="266" w:lineRule="auto"/>
        <w:rPr>
          <w:sz w:val="20"/>
          <w:szCs w:val="20"/>
          <w:color w:val="auto"/>
        </w:rPr>
      </w:pPr>
      <w:r>
        <w:rPr>
          <w:rFonts w:ascii="Arial" w:cs="Arial" w:eastAsia="Arial" w:hAnsi="Arial"/>
          <w:sz w:val="18"/>
          <w:szCs w:val="18"/>
          <w:color w:val="auto"/>
        </w:rPr>
        <w:t>Our ability to commercialize any products successfully also will depend in part on the extent to which reimbursement for these products and related treatments will be available from government authorities, private health insurers and other organizations. Even if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43" w:name="page44"/>
    <w:bookmarkEnd w:id="43"/>
    <w:p>
      <w:pPr>
        <w:ind w:right="120"/>
        <w:spacing w:after="0" w:line="288" w:lineRule="auto"/>
        <w:rPr>
          <w:sz w:val="20"/>
          <w:szCs w:val="20"/>
          <w:color w:val="auto"/>
        </w:rPr>
      </w:pPr>
      <w:r>
        <w:rPr>
          <w:rFonts w:ascii="Arial" w:cs="Arial" w:eastAsia="Arial" w:hAnsi="Arial"/>
          <w:sz w:val="17"/>
          <w:szCs w:val="17"/>
          <w:color w:val="auto"/>
        </w:rPr>
        <w:t>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w:t>
      </w:r>
    </w:p>
    <w:p>
      <w:pPr>
        <w:spacing w:after="0" w:line="181"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or CMS, an agency within the U.S. Department of Health and Human Services, or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82"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Additionally,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HHS has solicited feedback on some of these measures and has implemented others under its existing authority. For example, in May 2019, CMS issued a final rule to allow Medicare Advantage Plans the option of using step therapy for Part B drugs beginning January 1, 2020. This final rule codified CMS’s policy change that was effective January 1, 2019.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9" w:lineRule="exact"/>
        <w:rPr>
          <w:sz w:val="20"/>
          <w:szCs w:val="20"/>
          <w:color w:val="auto"/>
        </w:rPr>
      </w:pPr>
    </w:p>
    <w:p>
      <w:pPr>
        <w:ind w:right="40" w:firstLine="509"/>
        <w:spacing w:after="0" w:line="287" w:lineRule="auto"/>
        <w:rPr>
          <w:sz w:val="20"/>
          <w:szCs w:val="20"/>
          <w:color w:val="auto"/>
        </w:rPr>
      </w:pPr>
      <w:r>
        <w:rPr>
          <w:rFonts w:ascii="Arial" w:cs="Arial" w:eastAsia="Arial" w:hAnsi="Arial"/>
          <w:sz w:val="17"/>
          <w:szCs w:val="17"/>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our existing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w:t>
      </w:r>
    </w:p>
    <w:p>
      <w:pPr>
        <w:spacing w:after="0" w:line="178" w:lineRule="exact"/>
        <w:rPr>
          <w:sz w:val="20"/>
          <w:szCs w:val="20"/>
          <w:color w:val="auto"/>
        </w:rPr>
      </w:pPr>
    </w:p>
    <w:p>
      <w:pPr>
        <w:ind w:right="160" w:firstLine="509"/>
        <w:spacing w:after="0" w:line="281" w:lineRule="auto"/>
        <w:rPr>
          <w:sz w:val="20"/>
          <w:szCs w:val="20"/>
          <w:color w:val="auto"/>
        </w:rPr>
      </w:pPr>
      <w:r>
        <w:rPr>
          <w:rFonts w:ascii="Arial" w:cs="Arial" w:eastAsia="Arial" w:hAnsi="Arial"/>
          <w:sz w:val="17"/>
          <w:szCs w:val="17"/>
          <w:color w:val="auto"/>
        </w:rPr>
        <w:t>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be insufficient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United States. Third-party payors often rely upon Medicare coverage policy and payment limitations in setting their own reimbursement rates. If reimbursement of any product candidate approved for marketing is unavailable or limited in scope or amount, or if pricing is set at unsatisfactory levels, our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4" w:name="page45"/>
    <w:bookmarkEnd w:id="44"/>
    <w:p>
      <w:pPr>
        <w:ind w:right="100"/>
        <w:spacing w:after="0" w:line="293" w:lineRule="auto"/>
        <w:rPr>
          <w:sz w:val="20"/>
          <w:szCs w:val="20"/>
          <w:color w:val="auto"/>
        </w:rPr>
      </w:pPr>
      <w:r>
        <w:rPr>
          <w:rFonts w:ascii="Arial" w:cs="Arial" w:eastAsia="Arial" w:hAnsi="Arial"/>
          <w:sz w:val="18"/>
          <w:szCs w:val="18"/>
          <w:color w:val="auto"/>
        </w:rPr>
        <w:t>business, financial condition, results of operations or prospects could be materially and adversely affected, and our ability to commercialize such products, once approved, could be materially impaired.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31"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For example, if we receive marketing approval for BA3011 as a treatment for soft tissue and bone sarcoma, physicians may nevertheless use our product for their patients in a manner that is inconsistent with the approved labeling. If we are found to have promoted such off-label uses, we may become subject to significant liability. Moreover, although we believe that our product candidates may be safer or more effective than other therapies, unless we conduct head-to-head comparative studies, we will not be able to make any claims of superiority.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financial condition, results of operations and prospects.</w:t>
      </w:r>
    </w:p>
    <w:p>
      <w:pPr>
        <w:spacing w:after="0" w:line="293" w:lineRule="exact"/>
        <w:rPr>
          <w:sz w:val="20"/>
          <w:szCs w:val="20"/>
          <w:color w:val="auto"/>
        </w:rPr>
      </w:pPr>
    </w:p>
    <w:p>
      <w:pPr>
        <w:ind w:right="60"/>
        <w:spacing w:after="0" w:line="296" w:lineRule="auto"/>
        <w:rPr>
          <w:sz w:val="20"/>
          <w:szCs w:val="20"/>
          <w:color w:val="auto"/>
        </w:rPr>
      </w:pPr>
      <w:r>
        <w:rPr>
          <w:rFonts w:ascii="Arial" w:cs="Arial" w:eastAsia="Arial" w:hAnsi="Arial"/>
          <w:sz w:val="17"/>
          <w:szCs w:val="17"/>
          <w:b w:val="1"/>
          <w:bCs w:val="1"/>
          <w:i w:val="1"/>
          <w:iCs w:val="1"/>
          <w:color w:val="auto"/>
        </w:rPr>
        <w:t>Disruptions at the FDA, the SEC and other government agencies caused by, among other factors,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62" w:lineRule="exact"/>
        <w:rPr>
          <w:sz w:val="20"/>
          <w:szCs w:val="20"/>
          <w:color w:val="auto"/>
        </w:rPr>
      </w:pPr>
    </w:p>
    <w:p>
      <w:pPr>
        <w:ind w:right="40" w:firstLine="509"/>
        <w:spacing w:after="0" w:line="272"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In addition, government funding of the Securities and Exchange Commission, or SEC, and other government agencies on which our operations may rely, including those that fund research and development activities, is subject to the political process, which is inherently fluid and unpredictable.</w:t>
      </w:r>
    </w:p>
    <w:p>
      <w:pPr>
        <w:spacing w:after="0" w:line="191" w:lineRule="exact"/>
        <w:rPr>
          <w:sz w:val="20"/>
          <w:szCs w:val="20"/>
          <w:color w:val="auto"/>
        </w:rPr>
      </w:pPr>
    </w:p>
    <w:p>
      <w:pPr>
        <w:ind w:right="100" w:firstLine="509"/>
        <w:spacing w:after="0" w:line="304"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and products through April 2020 and subsequently, on March 18, 2020, the FDA announced its intention to temporarily postpone routine surveillance inspections of domestic manufacturing facilities. Subsequently, on July 20, 2020, the FDA announced its intention to resume certain domestic on-site inspections,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In addition, on April 15, 2021, the FDA issued a guidance document in which the FDA outlined plans to conduct voluntary remote interactive evaluations of certain drug manufacturing facilities and clinical research sites. According to the guidance, the FDA intends to request such remote interactive evaluations in situations where an in-person inspection would not be prioritized, deemed mission-critical or is otherwise limited by travel restrictions, but where the FDA determines that a remote evaluation would still be appropriate. Regulatory authorities outside the United States may adopt similar restrictions or other policy measures in response to the COVID-19 pandemic.</w:t>
      </w:r>
    </w:p>
    <w:p>
      <w:pPr>
        <w:spacing w:after="0" w:line="170" w:lineRule="exact"/>
        <w:rPr>
          <w:sz w:val="20"/>
          <w:szCs w:val="20"/>
          <w:color w:val="auto"/>
        </w:rPr>
      </w:pPr>
    </w:p>
    <w:p>
      <w:pPr>
        <w:ind w:right="120" w:firstLine="509"/>
        <w:spacing w:after="0" w:line="266" w:lineRule="auto"/>
        <w:rPr>
          <w:sz w:val="20"/>
          <w:szCs w:val="20"/>
          <w:color w:val="auto"/>
        </w:rPr>
      </w:pPr>
      <w:r>
        <w:rPr>
          <w:rFonts w:ascii="Arial" w:cs="Arial" w:eastAsia="Arial" w:hAnsi="Arial"/>
          <w:sz w:val="18"/>
          <w:szCs w:val="18"/>
          <w:color w:val="auto"/>
        </w:rPr>
        <w:t>Additionally, as of June 23, 2020, the FDA noted it was continuing to ensure timely reviews of applications for medical products during the COVID-19 pandemic in line with its user fee performance goals. On July 16, 2020, the FDA noted that it is continuing to expedite oncology product development with its staff teleworking full-time.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5" w:name="page46"/>
    <w:bookmarkEnd w:id="45"/>
    <w:p>
      <w:pPr>
        <w:ind w:right="880"/>
        <w:spacing w:after="0" w:line="293" w:lineRule="auto"/>
        <w:rPr>
          <w:sz w:val="20"/>
          <w:szCs w:val="20"/>
          <w:color w:val="auto"/>
        </w:rPr>
      </w:pPr>
      <w:r>
        <w:rPr>
          <w:rFonts w:ascii="Arial" w:cs="Arial" w:eastAsia="Arial" w:hAnsi="Arial"/>
          <w:sz w:val="18"/>
          <w:szCs w:val="18"/>
          <w:b w:val="1"/>
          <w:bCs w:val="1"/>
          <w:i w:val="1"/>
          <w:iCs w:val="1"/>
          <w:color w:val="auto"/>
        </w:rPr>
        <w:t>The FDA, EMA and other comparable foreign regulatory authorities may not accept data from trials conducted in locations outside of their jurisdiction.</w:t>
      </w:r>
    </w:p>
    <w:p>
      <w:pPr>
        <w:spacing w:after="0" w:line="62" w:lineRule="exact"/>
        <w:rPr>
          <w:sz w:val="20"/>
          <w:szCs w:val="20"/>
          <w:color w:val="auto"/>
        </w:rPr>
      </w:pPr>
    </w:p>
    <w:p>
      <w:pPr>
        <w:ind w:right="80" w:firstLine="509"/>
        <w:spacing w:after="0" w:line="286" w:lineRule="auto"/>
        <w:rPr>
          <w:sz w:val="20"/>
          <w:szCs w:val="20"/>
          <w:color w:val="auto"/>
        </w:rPr>
      </w:pPr>
      <w:r>
        <w:rPr>
          <w:rFonts w:ascii="Arial" w:cs="Arial" w:eastAsia="Arial" w:hAnsi="Arial"/>
          <w:sz w:val="17"/>
          <w:szCs w:val="17"/>
          <w:color w:val="auto"/>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current GCP requirements; and (iii)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We cannot assure you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286" w:lineRule="exact"/>
        <w:rPr>
          <w:sz w:val="20"/>
          <w:szCs w:val="20"/>
          <w:color w:val="auto"/>
        </w:rPr>
      </w:pPr>
    </w:p>
    <w:p>
      <w:pPr>
        <w:ind w:right="640"/>
        <w:spacing w:after="0" w:line="293"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suppliers and vendors may engage in misconduct or other improper activities, including noncompliance with regulatory standards and requirements.</w:t>
      </w:r>
    </w:p>
    <w:p>
      <w:pPr>
        <w:spacing w:after="0" w:line="62"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We are exposed to the risk that our employees, independent contractors, principal investigators, CROs, consultants, suppliers and vendors may engage in fraudulent conduct or other illegal activity. Misconduct by these parties could include intentional, reckless and/or negligent conduct or disclosure of unauthorized activities to us that violates: (i) FDA laws and regulations, including those laws that require the reporting of true, complete and accurate information to the FDA, (ii) manufacturing standards, (iii) federal and state healthcare fraud and abuse laws and regulations or (iv)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 including exclusion from government healthcare programs, and serious harm to our reputation.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31" w:lineRule="exact"/>
        <w:rPr>
          <w:sz w:val="20"/>
          <w:szCs w:val="20"/>
          <w:color w:val="auto"/>
        </w:rPr>
      </w:pPr>
    </w:p>
    <w:p>
      <w:pPr>
        <w:ind w:right="140" w:firstLine="509"/>
        <w:spacing w:after="0" w:line="272"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91" w:lineRule="exact"/>
        <w:rPr>
          <w:sz w:val="20"/>
          <w:szCs w:val="20"/>
          <w:color w:val="auto"/>
        </w:rPr>
      </w:pPr>
    </w:p>
    <w:p>
      <w:pPr>
        <w:ind w:right="40" w:firstLine="509"/>
        <w:spacing w:after="0" w:line="299" w:lineRule="auto"/>
        <w:rPr>
          <w:sz w:val="20"/>
          <w:szCs w:val="20"/>
          <w:color w:val="auto"/>
        </w:rPr>
      </w:pPr>
      <w:r>
        <w:rPr>
          <w:rFonts w:ascii="Arial" w:cs="Arial" w:eastAsia="Arial" w:hAnsi="Arial"/>
          <w:sz w:val="16"/>
          <w:szCs w:val="16"/>
          <w:color w:val="auto"/>
        </w:rPr>
        <w:t>For example, in March 2010, the ACA was enacted, which substantially changed the way healthcare is financed by both the government and private insurers, and significantly impacted the U.S. pharmaceutical industry. Some of the provisions of the ACA have yet to be implemented, and there have been judicial and Congressional challenges to certain aspects of the ACA, as well as efforts by the Trump administration to repeal or replace certain aspects of the ACA. Since January 2017, President Trump signed several Executive Orders and other directives designed to delay the implementation of certain provisions of the ACA or otherwise circumvent some of the requirements for health insurance mandated by the ACA. Concurrently, Congress considered legislation that would repeal or repeal and replace all or part of the ACA. While Congress has not passed comprehensive repeal legislation, two bills affecting the implementation of certain taxes under the ACA have passed. On December 22, 2017, President Trump signed into law federal tax legislation commonly referred to as the TCJA, which includes a provision repealing,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eliminates, effective January 1, 2020, the ACA-mandated “Cadillac” tax on high-cost employer-sponsored health coverage and medical device tax and, effective January 1, 2021, also eliminates the health insurer tax. The Bipartisan Budget Act of 2018 among other things, amended the ACA, effective January 1, 2019, to close the coverage gap in most Medicare Part D drug plans. In December 2018, CMS published a new final rule permitting further collections and payments to and from</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46" w:name="page47"/>
    <w:bookmarkEnd w:id="46"/>
    <w:p>
      <w:pPr>
        <w:spacing w:after="0" w:line="304" w:lineRule="auto"/>
        <w:rPr>
          <w:sz w:val="20"/>
          <w:szCs w:val="20"/>
          <w:color w:val="auto"/>
        </w:rPr>
      </w:pPr>
      <w:r>
        <w:rPr>
          <w:rFonts w:ascii="Arial" w:cs="Arial" w:eastAsia="Arial" w:hAnsi="Arial"/>
          <w:sz w:val="16"/>
          <w:szCs w:val="16"/>
          <w:color w:val="auto"/>
        </w:rPr>
        <w:t>certain ACA-qualified health plans and health insurance issuers under the ACA risk adjustment program in response to the outcome of federal district court litigation regarding the method CMS uses to determine this risk adjustment. On December 14, 2018, a Texas U.S. District Court Judge ruled that the ACA is unconstitutional in its entirety because the “individual mandate” was repealed by Congress as part of the TCJA. On December 18, 2019, the U.S. Court of Appeals for the 5th Circuit ruled that the individual mandate was unconstitutional and remanded the case back to the District Court to determine whether the remaining provisions of the ACA are invalid as well. On March 2, 2020, the U.S. Supreme Court granted the petitions for writs of certiorari to review the case, and oral arguments were held on November 10, 2020, although it is unclear when a decision will be made or how the Supreme Court will rule. Although the Supreme Court has yet to rule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and our business. We are continuing to monitor any changes to the ACA that, in turn, may potentially impact our business in the future.</w:t>
      </w:r>
    </w:p>
    <w:p>
      <w:pPr>
        <w:spacing w:after="0" w:line="170" w:lineRule="exact"/>
        <w:rPr>
          <w:sz w:val="20"/>
          <w:szCs w:val="20"/>
          <w:color w:val="auto"/>
        </w:rPr>
      </w:pPr>
    </w:p>
    <w:p>
      <w:pPr>
        <w:ind w:right="40" w:firstLine="509"/>
        <w:spacing w:after="0" w:line="288"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These changes included aggregate reductions to Medicare payments to providers of 2% per fiscal year, effective April 1, 2013, which, due to subsequent legislative amendments, will stay in effect through 2030 unless additional congressional action is taken. In addition, the CARES Act suspended the 2% Medicare sequester from May 1, 2020 through December 31, 2020.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drugs, if approved, and accordingly, our financial operations.</w:t>
      </w:r>
    </w:p>
    <w:p>
      <w:pPr>
        <w:spacing w:after="0" w:line="181" w:lineRule="exact"/>
        <w:rPr>
          <w:sz w:val="20"/>
          <w:szCs w:val="20"/>
          <w:color w:val="auto"/>
        </w:rPr>
      </w:pPr>
    </w:p>
    <w:p>
      <w:pPr>
        <w:ind w:right="140" w:firstLine="509"/>
        <w:spacing w:after="0" w:line="306" w:lineRule="auto"/>
        <w:rPr>
          <w:sz w:val="20"/>
          <w:szCs w:val="20"/>
          <w:color w:val="auto"/>
        </w:rPr>
      </w:pPr>
      <w:r>
        <w:rPr>
          <w:rFonts w:ascii="Arial" w:cs="Arial" w:eastAsia="Arial" w:hAnsi="Arial"/>
          <w:sz w:val="16"/>
          <w:szCs w:val="16"/>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at the federal level,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administration’s budget proposal for the fiscal year 2020 contained further drug price control measures that could be enacted during the budget process or in future legislation, including, for example, measures to permit</w:t>
      </w:r>
    </w:p>
    <w:p>
      <w:pPr>
        <w:spacing w:after="0" w:line="165"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Medicare Part D plans to negotiate the price of certain drugs under Medicare Part B, to allow some states to negotiate prices under Medicaid, and to eliminate cost sharing for generic drugs for low-income patients. Although a number of these and other measures may require additional authorization to become effective, Congress or the executive branch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3" w:lineRule="exact"/>
        <w:rPr>
          <w:sz w:val="20"/>
          <w:szCs w:val="20"/>
          <w:color w:val="auto"/>
        </w:rPr>
      </w:pPr>
    </w:p>
    <w:p>
      <w:pPr>
        <w:ind w:right="40" w:firstLine="509"/>
        <w:spacing w:after="0" w:line="292" w:lineRule="auto"/>
        <w:rPr>
          <w:sz w:val="20"/>
          <w:szCs w:val="20"/>
          <w:color w:val="auto"/>
        </w:rPr>
      </w:pPr>
      <w:r>
        <w:rPr>
          <w:rFonts w:ascii="Arial" w:cs="Arial" w:eastAsia="Arial" w:hAnsi="Arial"/>
          <w:sz w:val="17"/>
          <w:szCs w:val="17"/>
          <w:color w:val="auto"/>
        </w:rPr>
        <w:t>Further, on May 30, 2018, the Trickett Wendler, Frank Mongiello, Jordan McLinn, and Matthew Beilina Right to Try Act of 2017, or the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174" w:lineRule="exact"/>
        <w:rPr>
          <w:sz w:val="20"/>
          <w:szCs w:val="20"/>
          <w:color w:val="auto"/>
        </w:rPr>
      </w:pPr>
    </w:p>
    <w:p>
      <w:pPr>
        <w:ind w:right="120" w:firstLine="509"/>
        <w:spacing w:after="0" w:line="299" w:lineRule="auto"/>
        <w:rPr>
          <w:sz w:val="20"/>
          <w:szCs w:val="20"/>
          <w:color w:val="auto"/>
        </w:rPr>
      </w:pPr>
      <w:r>
        <w:rPr>
          <w:rFonts w:ascii="Arial" w:cs="Arial" w:eastAsia="Arial" w:hAnsi="Arial"/>
          <w:sz w:val="16"/>
          <w:szCs w:val="16"/>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7" w:name="page48"/>
    <w:bookmarkEnd w:id="47"/>
    <w:p>
      <w:pPr>
        <w:ind w:right="80" w:firstLine="509"/>
        <w:spacing w:after="0" w:line="271"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spacing w:after="0" w:line="191"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product candidates and any future product candidates or additional pricing pressures. It is possible that additional governmental action is taken to address the COVID-19 pandemic. For example, on April 18, 2020, CMS announced that QHP issuers under the ACA may suspend activities related to the collection and reporting of quality data that would have otherwise been reported between May and June 2020 given the challenges healthcare providers are facing responding to the COVID-19 virus.</w:t>
      </w:r>
    </w:p>
    <w:p>
      <w:pPr>
        <w:spacing w:after="0" w:line="191" w:lineRule="exact"/>
        <w:rPr>
          <w:sz w:val="20"/>
          <w:szCs w:val="20"/>
          <w:color w:val="auto"/>
        </w:rPr>
      </w:pPr>
    </w:p>
    <w:p>
      <w:pPr>
        <w:ind w:right="40" w:firstLine="509"/>
        <w:spacing w:after="0" w:line="272"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99"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83" w:lineRule="exact"/>
        <w:rPr>
          <w:sz w:val="20"/>
          <w:szCs w:val="20"/>
          <w:color w:val="auto"/>
        </w:rPr>
      </w:pPr>
    </w:p>
    <w:p>
      <w:pPr>
        <w:ind w:right="160" w:firstLine="509"/>
        <w:spacing w:after="0" w:line="292" w:lineRule="auto"/>
        <w:rPr>
          <w:sz w:val="20"/>
          <w:szCs w:val="20"/>
          <w:color w:val="auto"/>
        </w:rPr>
      </w:pPr>
      <w:r>
        <w:rPr>
          <w:rFonts w:ascii="Arial" w:cs="Arial" w:eastAsia="Arial" w:hAnsi="Arial"/>
          <w:sz w:val="17"/>
          <w:szCs w:val="17"/>
          <w:color w:val="auto"/>
        </w:rPr>
        <w:t>Healthcare providers, physicians and third-party payors will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spacing w:after="0" w:line="66" w:lineRule="exact"/>
        <w:rPr>
          <w:sz w:val="20"/>
          <w:szCs w:val="20"/>
          <w:color w:val="auto"/>
        </w:rPr>
      </w:pPr>
    </w:p>
    <w:p>
      <w:pPr>
        <w:ind w:left="960" w:right="160"/>
        <w:spacing w:after="0" w:line="272" w:lineRule="auto"/>
        <w:rPr>
          <w:sz w:val="20"/>
          <w:szCs w:val="20"/>
          <w:color w:val="auto"/>
        </w:rPr>
      </w:pPr>
      <w:r>
        <w:rPr>
          <w:rFonts w:ascii="Arial" w:cs="Arial" w:eastAsia="Arial" w:hAnsi="Arial"/>
          <w:sz w:val="18"/>
          <w:szCs w:val="18"/>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83" w:lineRule="exact"/>
        <w:rPr>
          <w:sz w:val="20"/>
          <w:szCs w:val="20"/>
          <w:color w:val="auto"/>
        </w:rPr>
      </w:pPr>
    </w:p>
    <w:p>
      <w:pPr>
        <w:ind w:left="960" w:right="60"/>
        <w:spacing w:after="0" w:line="314" w:lineRule="auto"/>
        <w:rPr>
          <w:sz w:val="20"/>
          <w:szCs w:val="20"/>
          <w:color w:val="auto"/>
        </w:rPr>
      </w:pPr>
      <w:r>
        <w:rPr>
          <w:rFonts w:ascii="Arial" w:cs="Arial" w:eastAsia="Arial" w:hAnsi="Arial"/>
          <w:sz w:val="16"/>
          <w:szCs w:val="16"/>
          <w:color w:val="auto"/>
        </w:rPr>
        <w:t>the U.S. federal false claims and civil monetary penalties laws, including 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52" w:lineRule="exact"/>
        <w:rPr>
          <w:sz w:val="20"/>
          <w:szCs w:val="20"/>
          <w:color w:val="auto"/>
        </w:rPr>
      </w:pPr>
    </w:p>
    <w:p>
      <w:pPr>
        <w:ind w:left="960"/>
        <w:spacing w:after="0" w:line="281" w:lineRule="auto"/>
        <w:rPr>
          <w:sz w:val="20"/>
          <w:szCs w:val="20"/>
          <w:color w:val="auto"/>
        </w:rPr>
      </w:pPr>
      <w:r>
        <w:rPr>
          <w:rFonts w:ascii="Arial" w:cs="Arial" w:eastAsia="Arial" w:hAnsi="Arial"/>
          <w:sz w:val="17"/>
          <w:szCs w:val="17"/>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8" w:name="page49"/>
    <w:bookmarkEnd w:id="48"/>
    <w:p>
      <w:pPr>
        <w:ind w:left="960" w:right="60"/>
        <w:spacing w:after="0" w:line="271" w:lineRule="auto"/>
        <w:rPr>
          <w:sz w:val="20"/>
          <w:szCs w:val="20"/>
          <w:color w:val="auto"/>
        </w:rPr>
      </w:pPr>
      <w:r>
        <w:rPr>
          <w:rFonts w:ascii="Arial" w:cs="Arial" w:eastAsia="Arial" w:hAnsi="Arial"/>
          <w:sz w:val="18"/>
          <w:szCs w:val="18"/>
          <w:color w:val="auto"/>
        </w:rPr>
        <w:t>HIPAA, as amended by the Health Information Technology for Economic and Clinical Health Act of 2009 and its implementing regulations, or HITECH, which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83" w:lineRule="exact"/>
        <w:rPr>
          <w:sz w:val="20"/>
          <w:szCs w:val="20"/>
          <w:color w:val="auto"/>
        </w:rPr>
      </w:pPr>
    </w:p>
    <w:p>
      <w:pPr>
        <w:ind w:left="960" w:right="40"/>
        <w:spacing w:after="0" w:line="293" w:lineRule="auto"/>
        <w:rPr>
          <w:sz w:val="20"/>
          <w:szCs w:val="20"/>
          <w:color w:val="auto"/>
        </w:rPr>
      </w:pPr>
      <w:r>
        <w:rPr>
          <w:rFonts w:ascii="Arial" w:cs="Arial" w:eastAsia="Arial" w:hAnsi="Arial"/>
          <w:sz w:val="18"/>
          <w:szCs w:val="18"/>
          <w:color w:val="auto"/>
        </w:rPr>
        <w:t>federal and state consumer protection and unfair competition laws, which broadly regulate marketplace activities and activities that potentially harm customers;</w:t>
      </w:r>
    </w:p>
    <w:p>
      <w:pPr>
        <w:spacing w:after="0" w:line="62" w:lineRule="exact"/>
        <w:rPr>
          <w:sz w:val="20"/>
          <w:szCs w:val="20"/>
          <w:color w:val="auto"/>
        </w:rPr>
      </w:pPr>
    </w:p>
    <w:p>
      <w:pPr>
        <w:ind w:left="960" w:right="40"/>
        <w:spacing w:after="0" w:line="270" w:lineRule="auto"/>
        <w:rPr>
          <w:sz w:val="20"/>
          <w:szCs w:val="20"/>
          <w:color w:val="auto"/>
        </w:rPr>
      </w:pPr>
      <w:r>
        <w:rPr>
          <w:rFonts w:ascii="Arial" w:cs="Arial" w:eastAsia="Arial" w:hAnsi="Arial"/>
          <w:sz w:val="18"/>
          <w:szCs w:val="18"/>
          <w:color w:val="auto"/>
        </w:rPr>
        <w:t>the U.S. Physician Payments Sunshine Act created under the ACA, and its implementing regulations, which require that certain manufacturers of drugs, devices, medical supplies and therapeutic biologics that are reimbursable under Medicare, Medicaid, and Children’s Health Insurance Programs report annually to the Department of Health and Human Services information related to certain payments and other transfers of value to physicians, as defined by such law, and teaching hospitals, as well as ownership and investment interests held by the physicians described above and their immediate family members. Effective January 1, 2022, the U.S. federal physician transparency reporting requirements will extend to include transfers of value made during the previous year to certain non-physician providers such as physician assistants and nurse practitioners; and</w:t>
      </w:r>
    </w:p>
    <w:p>
      <w:pPr>
        <w:spacing w:after="0" w:line="84" w:lineRule="exact"/>
        <w:rPr>
          <w:sz w:val="20"/>
          <w:szCs w:val="20"/>
          <w:color w:val="auto"/>
        </w:rPr>
      </w:pPr>
    </w:p>
    <w:p>
      <w:pPr>
        <w:ind w:left="960" w:right="80"/>
        <w:spacing w:after="0" w:line="288" w:lineRule="auto"/>
        <w:rPr>
          <w:sz w:val="20"/>
          <w:szCs w:val="20"/>
          <w:color w:val="auto"/>
        </w:rPr>
      </w:pPr>
      <w:r>
        <w:rPr>
          <w:rFonts w:ascii="Arial" w:cs="Arial" w:eastAsia="Arial" w:hAnsi="Arial"/>
          <w:sz w:val="17"/>
          <w:szCs w:val="17"/>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some state laws require that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81" w:lineRule="exact"/>
        <w:rPr>
          <w:sz w:val="20"/>
          <w:szCs w:val="20"/>
          <w:color w:val="auto"/>
        </w:rPr>
      </w:pPr>
    </w:p>
    <w:p>
      <w:pPr>
        <w:ind w:firstLine="509"/>
        <w:spacing w:after="0" w:line="299" w:lineRule="auto"/>
        <w:rPr>
          <w:sz w:val="20"/>
          <w:szCs w:val="20"/>
          <w:color w:val="auto"/>
        </w:rPr>
      </w:pPr>
      <w:r>
        <w:rPr>
          <w:rFonts w:ascii="Arial" w:cs="Arial" w:eastAsia="Arial" w:hAnsi="Arial"/>
          <w:sz w:val="16"/>
          <w:szCs w:val="16"/>
          <w:color w:val="auto"/>
        </w:rPr>
        <w:t>State and foreign laws also govern the privacy and security of health information in some circumstances, many of which differ from each other in significant ways and often are not preempted by HIPAA, thus complicating compliance efforts. For instance, the collection and use of health data in the European Union is governed by the General Data Protection Regulation, or the GDPR, which extends the geographical scope of European Union data protection law to non-European Union entities under certain conditions, tightens existing European Union data protection principles and creates new obligations for companies and new rights for individuals. Failure to comply with the GDPR may result in substantial fines and other administrative penalties. The GDPR may increase our responsibility and liability in relation to personal data that we process and we may be required to put in place additional mechanisms ensuring compliance with the GDPR. Moreover, the United Kingdom leaving the European Union could also lead to further legislative and regulatory changes. We comply with the GDPR and the UK GDPR, which, together with the amended UK Data Protection Act 2018, retains the GDPR in United Kingdom national law, the latter regime having the ability to separately fine and penalize violations.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Ongoing developments in the United Kingdom have created additional uncertainty regarding personal data transfers from the European Economic Area (EEA) to the United Kingdom following the termination of the personal data transfer grace period set out in the EU and United Kingdom Trade and Cooperation Agreement, which ended on June 30, 2021. It is not clear whether (and when) an adequacy decision may be granted by the European Commission enabling data transfers from EU member states to the United Kingdom long term without additional measures. Moreover, in July 2020 the Court of Justice of the European Union (CJEU) invalidated the EU-US Privacy Shield Framework (Privacy Shield) under which personal data could be transferred from the EEA and the United Kingdom to entities in the United States who had self-certified under the Privacy Shield scheme. This has led to uncertainty about the adequate transfer mechanisms for other personal data transfers from the EEA and the United Kingdom to the United States or interruption of such transfers. In the event that any court of law orders the suspension of personal data transfers to or from a particular jurisdiction this could give rise to operational interruption in the performance of services for customers, greater costs to implement alternative data transfer mechanisms that are still permitted, regulatory liabilities or reputational harm. In addition, on June 28, 2018, the State of California enacted the California Consumer Privacy Act, or CCPA, which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Additionally, although not effective until January 1, 2023, the California Privacy Rights Act, or the CPRA, which expands upon the CCPA, was passed in the recent election on November 3, 2020. The CCPA has created new individual privacy rights and places increased privacy and security obligations on entities handling personal information. The CPRA significantly modifies the CCPA, including by expanding consumers’ rights with respect to certain personal information and creating a new state agency to oversee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9" w:name="page50"/>
    <w:bookmarkEnd w:id="49"/>
    <w:p>
      <w:pPr>
        <w:ind w:right="500"/>
        <w:spacing w:after="0" w:line="293" w:lineRule="auto"/>
        <w:rPr>
          <w:sz w:val="20"/>
          <w:szCs w:val="20"/>
          <w:color w:val="auto"/>
        </w:rPr>
      </w:pPr>
      <w:r>
        <w:rPr>
          <w:rFonts w:ascii="Arial" w:cs="Arial" w:eastAsia="Arial" w:hAnsi="Arial"/>
          <w:sz w:val="18"/>
          <w:szCs w:val="18"/>
          <w:color w:val="auto"/>
        </w:rPr>
        <w:t>implementation and enforcement efforts. The CCPA and CPRA may increase our compliance costs and potential liability, and similar laws have been proposed at the federal level and in other states.</w:t>
      </w:r>
    </w:p>
    <w:p>
      <w:pPr>
        <w:spacing w:after="0" w:line="170"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If our operations are found to be in violation of any of the laws described above or any other governmental laws and regulations that may apply to us, we may be subject to significant penalties, including civil, criminal and administrative penalties, damages, fines, exclusion from participation in government-funded healthcare programs such as Medicare and Medicaid or similar programs in other countries or jurisdictions, disgorgement, imprisonment, reputational harm and diminished profits.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301"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62"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United States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We rely, and expect we will continue to rely, on third-party manufacturers, and we will not have control over compliance with applicable rules and regulations by such manufacturers. Any product promotion and advertising will also be subject to regulatory requirements and continuing regulatory review. If we or our existing or future collaborators, manufacturers or service providers fail to comply with applicable continuing regulatory requirements in the United States or foreign jurisdictions in which we seek to market our products, we or they may be subject to, among other things, fines, warning or untitled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injunctions, civil penalties and criminal prosecution.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31" w:lineRule="exact"/>
        <w:rPr>
          <w:sz w:val="20"/>
          <w:szCs w:val="20"/>
          <w:color w:val="auto"/>
        </w:rPr>
      </w:pPr>
    </w:p>
    <w:p>
      <w:pPr>
        <w:jc w:val="both"/>
        <w:ind w:right="120" w:firstLine="509"/>
        <w:spacing w:after="0" w:line="319" w:lineRule="auto"/>
        <w:rPr>
          <w:sz w:val="20"/>
          <w:szCs w:val="20"/>
          <w:color w:val="auto"/>
        </w:rPr>
      </w:pPr>
      <w:r>
        <w:rPr>
          <w:rFonts w:ascii="Arial" w:cs="Arial" w:eastAsia="Arial" w:hAnsi="Arial"/>
          <w:sz w:val="16"/>
          <w:szCs w:val="16"/>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264"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75" w:lineRule="exact"/>
        <w:rPr>
          <w:sz w:val="20"/>
          <w:szCs w:val="20"/>
          <w:color w:val="auto"/>
        </w:rPr>
      </w:pPr>
    </w:p>
    <w:p>
      <w:pPr>
        <w:ind w:right="40" w:firstLine="509"/>
        <w:spacing w:after="0" w:line="281"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p>
      <w:pPr>
        <w:ind w:right="280"/>
        <w:spacing w:after="0" w:line="293" w:lineRule="auto"/>
        <w:rPr>
          <w:sz w:val="20"/>
          <w:szCs w:val="20"/>
          <w:color w:val="auto"/>
        </w:rPr>
      </w:pPr>
      <w:r>
        <w:rPr>
          <w:rFonts w:ascii="Arial" w:cs="Arial" w:eastAsia="Arial" w:hAnsi="Arial"/>
          <w:sz w:val="18"/>
          <w:szCs w:val="18"/>
          <w:color w:val="auto"/>
        </w:rPr>
        <w:t>imprisonment, the loss of export or import privileges, debarment, tax reassessments, breach of contract and fraud litigation, reputational harm and other consequences.</w:t>
      </w:r>
    </w:p>
    <w:p>
      <w:pPr>
        <w:spacing w:after="0" w:line="278"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b w:val="1"/>
          <w:bCs w:val="1"/>
          <w:i w:val="1"/>
          <w:iCs w:val="1"/>
          <w:color w:val="auto"/>
        </w:rPr>
        <w:t>We and our third-party contractors must comply with environmental, health and safety laws and regulations. A failure to comply with these laws and regulations could expose us to significant costs or liabilities.</w:t>
      </w:r>
    </w:p>
    <w:p>
      <w:pPr>
        <w:spacing w:after="0" w:line="62"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fines and penalties associated with such liability which could exceed our assets and resources.</w:t>
      </w:r>
    </w:p>
    <w:p>
      <w:pPr>
        <w:spacing w:after="0" w:line="163"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biological or hazardous materials or wastes arising out of and in the course of employment, this insurance may not provide adequate coverage against potential liabilities. We do not maintain insurance for environmental liability that may be asserted against us in connection with our storage or disposal of biological, hazardous or radioactive materials.</w:t>
      </w:r>
    </w:p>
    <w:p>
      <w:pPr>
        <w:spacing w:after="0" w:line="185" w:lineRule="exact"/>
        <w:rPr>
          <w:sz w:val="20"/>
          <w:szCs w:val="20"/>
          <w:color w:val="auto"/>
        </w:rPr>
      </w:pPr>
    </w:p>
    <w:p>
      <w:pPr>
        <w:ind w:right="60" w:firstLine="509"/>
        <w:spacing w:after="0" w:line="329" w:lineRule="auto"/>
        <w:rPr>
          <w:sz w:val="20"/>
          <w:szCs w:val="20"/>
          <w:color w:val="auto"/>
        </w:rPr>
      </w:pPr>
      <w:r>
        <w:rPr>
          <w:rFonts w:ascii="Arial" w:cs="Arial" w:eastAsia="Arial" w:hAnsi="Arial"/>
          <w:sz w:val="16"/>
          <w:szCs w:val="16"/>
          <w:color w:val="auto"/>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attract and retain qualified senior management and key scientific personnel, our business may be materially and adversely affected.</w:t>
      </w:r>
    </w:p>
    <w:p>
      <w:pPr>
        <w:spacing w:after="0" w:line="154" w:lineRule="exact"/>
        <w:rPr>
          <w:sz w:val="20"/>
          <w:szCs w:val="20"/>
          <w:color w:val="auto"/>
        </w:rPr>
      </w:pPr>
    </w:p>
    <w:p>
      <w:pPr>
        <w:ind w:right="180" w:firstLine="509"/>
        <w:spacing w:after="0" w:line="272"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and clinical and scientific personnel. We are highly dependent upon members of our senior management, including Jay M. Short, Ph.D., our Chairman and Chief Executive Officer and Scott Smith, our President, as well as our senior scientists and other members of our senior management team. The loss of services of any of these individuals could delay or prevent the successful development of our product pipeline, the initiation and completion of our planned clinical trials or the commercialization of product candidates or any future product candidates.</w:t>
      </w:r>
    </w:p>
    <w:p>
      <w:pPr>
        <w:spacing w:after="0" w:line="191" w:lineRule="exact"/>
        <w:rPr>
          <w:sz w:val="20"/>
          <w:szCs w:val="20"/>
          <w:color w:val="auto"/>
        </w:rPr>
      </w:pPr>
    </w:p>
    <w:p>
      <w:pPr>
        <w:ind w:right="140" w:firstLine="509"/>
        <w:spacing w:after="0" w:line="292" w:lineRule="auto"/>
        <w:rPr>
          <w:sz w:val="20"/>
          <w:szCs w:val="20"/>
          <w:color w:val="auto"/>
        </w:rPr>
      </w:pPr>
      <w:r>
        <w:rPr>
          <w:rFonts w:ascii="Arial" w:cs="Arial" w:eastAsia="Arial" w:hAnsi="Arial"/>
          <w:sz w:val="17"/>
          <w:szCs w:val="17"/>
          <w:color w:val="auto"/>
        </w:rPr>
        <w:t>Competition for qualified personnel in the pharmaceutical, biopharmaceutical and biotechnology field is intense due to the limited number of individuals who possess the skills and experience required by our industry. We will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282"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b w:val="1"/>
          <w:bCs w:val="1"/>
          <w:i w:val="1"/>
          <w:iCs w:val="1"/>
          <w:color w:val="auto"/>
        </w:rPr>
        <w:t>We currently have no sales organization. 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spacing w:after="0" w:line="75" w:lineRule="exact"/>
        <w:rPr>
          <w:sz w:val="20"/>
          <w:szCs w:val="20"/>
          <w:color w:val="auto"/>
        </w:rPr>
      </w:pPr>
    </w:p>
    <w:p>
      <w:pPr>
        <w:ind w:firstLine="509"/>
        <w:spacing w:after="0" w:line="281" w:lineRule="auto"/>
        <w:rPr>
          <w:sz w:val="20"/>
          <w:szCs w:val="20"/>
          <w:color w:val="auto"/>
        </w:rPr>
      </w:pPr>
      <w:r>
        <w:rPr>
          <w:rFonts w:ascii="Arial" w:cs="Arial" w:eastAsia="Arial" w:hAnsi="Arial"/>
          <w:sz w:val="17"/>
          <w:szCs w:val="17"/>
          <w:color w:val="auto"/>
        </w:rPr>
        <w:t>We currently do not have a marketing or sales organization. In order to commercialize our product candidates in the United States and foreign jurisdictions on our own, we must build our marketing, sales, distribution, managerial and other non-technical capabilities or make arrangements with third parties to perform these services, and we may not be successful in doing so. If any of our product candidates receives regulatory approval, we will need to develop internal sales, marketing and distribution capabilities to commercialize such products, which would be expensive and time-consuming, or make arrangements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existing or future collaborators, we will need to establish and maintain marketing and distribution arrangements with third parties, and we cannot assure you that we will be able to enter into such arrangements on acceptable terms, or at all. In entering into third-party marketing or distribution arrangements, any revenue we receive will depend upon the efforts of the third parties, and we cannot assure you that such third parties will establish adequate sales and distribution capabilities or be successful in gaining market acceptance of any approved product. If we are not successful in commercializing any product approved in the future, either on our own or through arrangements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with one or more third parties, we may not be able to generate any future product revenue and we would incur significant additional losses.</w:t>
      </w:r>
    </w:p>
    <w:p>
      <w:pPr>
        <w:spacing w:after="0" w:line="347" w:lineRule="exact"/>
        <w:rPr>
          <w:sz w:val="20"/>
          <w:szCs w:val="20"/>
          <w:color w:val="auto"/>
        </w:rPr>
      </w:pPr>
    </w:p>
    <w:p>
      <w:pPr>
        <w:ind w:right="300"/>
        <w:spacing w:after="0" w:line="293"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62" w:lineRule="exact"/>
        <w:rPr>
          <w:sz w:val="20"/>
          <w:szCs w:val="20"/>
          <w:color w:val="auto"/>
        </w:rPr>
      </w:pPr>
    </w:p>
    <w:p>
      <w:pPr>
        <w:ind w:right="300" w:firstLine="509"/>
        <w:spacing w:after="0" w:line="279" w:lineRule="auto"/>
        <w:rPr>
          <w:sz w:val="20"/>
          <w:szCs w:val="20"/>
          <w:color w:val="auto"/>
        </w:rPr>
      </w:pPr>
      <w:r>
        <w:rPr>
          <w:rFonts w:ascii="Arial" w:cs="Arial" w:eastAsia="Arial" w:hAnsi="Arial"/>
          <w:sz w:val="18"/>
          <w:szCs w:val="18"/>
          <w:color w:val="auto"/>
        </w:rPr>
        <w:t>In order to successfully implement our development and commercialization plans and strategies, and operate as a public company, we expect to need additional development, managerial, operational, financial, sales, marketing and other personnel. Future growth would impose significant added responsibilities on members of management, including:</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identifying, recruiting, integrating, maintaining and motivating additional employees;</w:t>
      </w:r>
    </w:p>
    <w:p>
      <w:pPr>
        <w:spacing w:after="0" w:line="131" w:lineRule="exact"/>
        <w:rPr>
          <w:sz w:val="20"/>
          <w:szCs w:val="20"/>
          <w:color w:val="auto"/>
        </w:rPr>
      </w:pPr>
    </w:p>
    <w:p>
      <w:pPr>
        <w:ind w:left="960" w:right="80"/>
        <w:spacing w:after="0" w:line="324" w:lineRule="auto"/>
        <w:rPr>
          <w:sz w:val="20"/>
          <w:szCs w:val="20"/>
          <w:color w:val="auto"/>
        </w:rPr>
      </w:pPr>
      <w:r>
        <w:rPr>
          <w:rFonts w:ascii="Arial" w:cs="Arial" w:eastAsia="Arial" w:hAnsi="Arial"/>
          <w:sz w:val="17"/>
          <w:szCs w:val="17"/>
          <w:color w:val="auto"/>
        </w:rPr>
        <w:t>managing our internal development efforts effectively, including the clinical and regulatory review process for BA3011 and BA3021 and any other product candidates, while complying with our contractual obligations to contractors and other third parties; and</w:t>
      </w:r>
    </w:p>
    <w:p>
      <w:pPr>
        <w:spacing w:after="0" w:line="3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improving our operational, financial and management controls, reporting systems and procedures.</w:t>
      </w:r>
    </w:p>
    <w:p>
      <w:pPr>
        <w:spacing w:after="0" w:line="239" w:lineRule="exact"/>
        <w:rPr>
          <w:sz w:val="20"/>
          <w:szCs w:val="20"/>
          <w:color w:val="auto"/>
        </w:rPr>
      </w:pPr>
    </w:p>
    <w:p>
      <w:pPr>
        <w:ind w:right="80" w:firstLine="509"/>
        <w:spacing w:after="0" w:line="329" w:lineRule="auto"/>
        <w:rPr>
          <w:sz w:val="20"/>
          <w:szCs w:val="20"/>
          <w:color w:val="auto"/>
        </w:rPr>
      </w:pPr>
      <w:r>
        <w:rPr>
          <w:rFonts w:ascii="Arial" w:cs="Arial" w:eastAsia="Arial" w:hAnsi="Arial"/>
          <w:sz w:val="16"/>
          <w:szCs w:val="16"/>
          <w:color w:val="auto"/>
        </w:rPr>
        <w:t>Our future financial performance and our ability to successfully develop and, if approved, commercialize BA3011, BA3021 and any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48"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To date, we have used the services of outside vendors to perform tasks, including preclinical and clinical trial management, manufacturing, statistics and analysis and research and development functions. Our growth strategy may also entail expanding our group of contractors or consultants to implement these tasks going forward. Because we rely on numerous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BA3011, BA3021 and any future product candidates or otherwise advance our business. We may not be able to manage our existing outside contractors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BA3011, BA3021 and any future product candidates and, accordingly, may not achieve our research, development and commercialization goals.</w:t>
      </w:r>
    </w:p>
    <w:p>
      <w:pPr>
        <w:spacing w:after="0" w:line="286"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i w:val="1"/>
          <w:iCs w:val="1"/>
          <w:color w:val="auto"/>
        </w:rPr>
        <w:t>Our internal computer systems, or those of any of our CROs, manufacturers, other contractors, consultants, existing or future collaborators, may fail or suffer security or data privacy breaches or other unauthorized or improper access to, use of or destruction of our proprietary and confidential data, employee data or personal data, which could result in additional costs, significant liabilities, harm to our reputation and material disruption of our operations.</w:t>
      </w:r>
    </w:p>
    <w:p>
      <w:pPr>
        <w:spacing w:after="0" w:line="77" w:lineRule="exact"/>
        <w:rPr>
          <w:sz w:val="20"/>
          <w:szCs w:val="20"/>
          <w:color w:val="auto"/>
        </w:rPr>
      </w:pPr>
    </w:p>
    <w:p>
      <w:pPr>
        <w:ind w:firstLine="509"/>
        <w:spacing w:after="0" w:line="299" w:lineRule="auto"/>
        <w:rPr>
          <w:sz w:val="20"/>
          <w:szCs w:val="20"/>
          <w:color w:val="auto"/>
        </w:rPr>
      </w:pPr>
      <w:r>
        <w:rPr>
          <w:rFonts w:ascii="Arial" w:cs="Arial" w:eastAsia="Arial" w:hAnsi="Arial"/>
          <w:sz w:val="16"/>
          <w:szCs w:val="16"/>
          <w:color w:val="auto"/>
        </w:rPr>
        <w:t>Despite the implementation of security measures, our internal computer systems and those of our current and any future CROs, manufacturers, other contractors, consultants, existing or future collaborators and other third-party service providers are vulnerable to damage from various methods, including cybersecurity attacks, breaches, intentional or accidental mistakes or errors, or other technological failures, which can include, among other things, computer viruses, unauthorized access attempts, including third parties gaining access to systems using stolen or inferred credentials, denial-of-service attacks, phishing attempts, service disruptions, natural disasters, fire, terrorism, war and telecommunication and electrical failures. As the cyber-threat landscape evolves, these attacks are growing in frequency, sophistication and intensity, and are becoming increasingly difficult to detect. If such an event were to occur and cause interruptions in our operations or result in the unauthorized acquisition of or access to personally identifiable information or individually identifiable health information (violating certain privacy laws such as HIPAA, HITECH, the CCPA and GDPR), it could result in a material disruption of our product candidate development programs and our business operations and we could incur significant liabilities.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breach could impact our reputation and cause us to incur significant costs, including legal expenses and remediation costs. For example, the loss of clinical trial data from completed, ongoing or future clinical trials involving our product candidates could result in delays in our regulatory approval efforts and significantly increase our costs to recover or reproduce the lost data. In addition, because of our approach of running multiple clinical trials in parallel, any breach of our computer systems may result in a loss of data or compromised data integrity across many of our programs in various stages of development.</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52" w:name="page53"/>
    <w:bookmarkEnd w:id="52"/>
    <w:p>
      <w:pPr>
        <w:ind w:right="60" w:firstLine="509"/>
        <w:spacing w:after="0" w:line="272" w:lineRule="auto"/>
        <w:rPr>
          <w:sz w:val="20"/>
          <w:szCs w:val="20"/>
          <w:color w:val="auto"/>
        </w:rPr>
      </w:pPr>
      <w:r>
        <w:rPr>
          <w:rFonts w:ascii="Arial" w:cs="Arial" w:eastAsia="Arial" w:hAnsi="Arial"/>
          <w:sz w:val="18"/>
          <w:szCs w:val="18"/>
          <w:color w:val="auto"/>
        </w:rPr>
        <w:t>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or international privacy and security laws.</w:t>
      </w:r>
    </w:p>
    <w:p>
      <w:pPr>
        <w:spacing w:after="0" w:line="191"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93"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b w:val="1"/>
          <w:bCs w:val="1"/>
          <w:i w:val="1"/>
          <w:iCs w:val="1"/>
          <w:color w:val="auto"/>
        </w:rPr>
        <w:t>A portion of our research and development activities take place in China. Uncertainties regarding the interpretation and enforcement of Chinese laws, rules and regulations, a trade war or political unrest in China could materially adversely affect our business, financial condition and results of operations.</w:t>
      </w:r>
    </w:p>
    <w:p>
      <w:pPr>
        <w:spacing w:after="0" w:line="75" w:lineRule="exact"/>
        <w:rPr>
          <w:sz w:val="20"/>
          <w:szCs w:val="20"/>
          <w:color w:val="auto"/>
        </w:rPr>
      </w:pPr>
    </w:p>
    <w:p>
      <w:pPr>
        <w:ind w:right="40" w:firstLine="509"/>
        <w:spacing w:after="0" w:line="269" w:lineRule="auto"/>
        <w:rPr>
          <w:sz w:val="20"/>
          <w:szCs w:val="20"/>
          <w:color w:val="auto"/>
        </w:rPr>
      </w:pPr>
      <w:r>
        <w:rPr>
          <w:rFonts w:ascii="Arial" w:cs="Arial" w:eastAsia="Arial" w:hAnsi="Arial"/>
          <w:sz w:val="18"/>
          <w:szCs w:val="18"/>
          <w:color w:val="auto"/>
        </w:rPr>
        <w:t>We conduct preclinical research and development activities in China through BioDuro, which is U.S. owned, but governed by Chinese laws, rules and regulations and have a collaboration with BeiGene, a global company with operations in the U.S., China, and Europe. The Chinese legal system is a civil law system based on written statutes. Unlike the common law system, prior court decisions may be cited for reference but have limited precedential value. In addition, the Chinese legal system is based in part on government policies and internal rules, some of which are not published on a timely basis or at all, and which may have a retroactive effect. As a result, we may not be aware of our violation of these policies and rules until after the occurrence of the violation. Any administrative and court proceedings in China may be protracted, resulting in substantial costs and diversion of resources and management attention. Since Chinese administrative and court authorities have significant discretion in interpreting and implementing statutory and contractual terms, it may be more difficult to evaluate the outcome of administrative and court proceedings and the level of legal protection we enjoy than in U.S. or EU legal systems.</w:t>
      </w:r>
    </w:p>
    <w:p>
      <w:pPr>
        <w:spacing w:after="0" w:line="194"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Furthermore, we are exposed to the possibility of disruption of our research and development activities in the event of changes in the policies of the United States or Chinese governments, political unrest or unstable economic conditions in China. For example, a trade war could lead to increased costs for clinical materials that are manufactured in China.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These uncertainties may impede our ability to enforce the contracts we have entered into and our ability to continue our research and development activities and could materially and adversely affect our business, financial condition and results of operations.</w:t>
      </w:r>
    </w:p>
    <w:p>
      <w:pPr>
        <w:spacing w:after="0" w:line="271" w:lineRule="exact"/>
        <w:rPr>
          <w:sz w:val="20"/>
          <w:szCs w:val="20"/>
          <w:color w:val="auto"/>
        </w:rPr>
      </w:pPr>
    </w:p>
    <w:p>
      <w:pPr>
        <w:ind w:right="380"/>
        <w:spacing w:after="0" w:line="394" w:lineRule="auto"/>
        <w:rPr>
          <w:sz w:val="20"/>
          <w:szCs w:val="20"/>
          <w:color w:val="auto"/>
        </w:rPr>
      </w:pPr>
      <w:r>
        <w:rPr>
          <w:rFonts w:ascii="Arial" w:cs="Arial" w:eastAsia="Arial" w:hAnsi="Arial"/>
          <w:sz w:val="15"/>
          <w:szCs w:val="15"/>
          <w:b w:val="1"/>
          <w:bCs w:val="1"/>
          <w:i w:val="1"/>
          <w:iCs w:val="1"/>
          <w:color w:val="auto"/>
        </w:rPr>
        <w:t>Our current operations are concentrated in two locations. We or the third parties upon whom we depend may be adversely affected by earthquakes, wildfires or other natural disasters, and our business continuity and disaster recovery plans may not adequately protect us from a serious disaster.</w:t>
      </w:r>
    </w:p>
    <w:p>
      <w:pPr>
        <w:spacing w:after="0" w:line="1" w:lineRule="exact"/>
        <w:rPr>
          <w:sz w:val="20"/>
          <w:szCs w:val="20"/>
          <w:color w:val="auto"/>
        </w:rPr>
      </w:pPr>
    </w:p>
    <w:p>
      <w:pPr>
        <w:ind w:firstLine="509"/>
        <w:spacing w:after="0" w:line="299" w:lineRule="auto"/>
        <w:rPr>
          <w:sz w:val="20"/>
          <w:szCs w:val="20"/>
          <w:color w:val="auto"/>
        </w:rPr>
      </w:pPr>
      <w:r>
        <w:rPr>
          <w:rFonts w:ascii="Arial" w:cs="Arial" w:eastAsia="Arial" w:hAnsi="Arial"/>
          <w:sz w:val="16"/>
          <w:szCs w:val="16"/>
          <w:color w:val="auto"/>
        </w:rPr>
        <w:t>A portion of our current operations are located in our facilities in San Diego, California, and we conduct a portion of our research and development activities in China through our arrangement with BioDuro.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us from using all or a significant portion of our headquarters, damaged critical infrastructure, such as our research facilities or the manufacturing facilities of our third-party contract manufacturers, or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 In addition, all of our therapeutic antibodies are manufactured by starting with cells which are stored in a one master cell bank for each antibody manufactured stored in multiple locations. While we believe we will have adequate backup should any cell bank be lost in a catastrophic event, and we take precautions when transporting</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t>our cell banks, it is possible that we could lose multiple cell banks and have our manufacturing severely impacted by the need to replace the cell banks.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conducting business internationally.</w:t>
      </w:r>
    </w:p>
    <w:p>
      <w:pPr>
        <w:spacing w:after="0" w:line="131" w:lineRule="exact"/>
        <w:rPr>
          <w:sz w:val="20"/>
          <w:szCs w:val="20"/>
          <w:color w:val="auto"/>
        </w:rPr>
      </w:pPr>
    </w:p>
    <w:p>
      <w:pPr>
        <w:ind w:right="40" w:firstLine="509"/>
        <w:spacing w:after="0" w:line="319" w:lineRule="auto"/>
        <w:rPr>
          <w:sz w:val="20"/>
          <w:szCs w:val="20"/>
          <w:color w:val="auto"/>
        </w:rPr>
      </w:pPr>
      <w:r>
        <w:rPr>
          <w:rFonts w:ascii="Arial" w:cs="Arial" w:eastAsia="Arial" w:hAnsi="Arial"/>
          <w:sz w:val="16"/>
          <w:szCs w:val="16"/>
          <w:color w:val="auto"/>
        </w:rPr>
        <w:t>We, our collaborators or licensees may seek regulatory approval of our product candidates outside of the United States including China, the European Union, Australia, New Zealand, and Japan. We conduct preclinical research and development activities in China through BioDuro, which is U.S. owned, but governed by Chinese laws, and have a collaboration with BeiGene, a global company with operations in the U.S., China, and Europe. Accordingly, we expect that we will be subject to additional risks related to operating in foreign countries if we obtain the necessary approvals, including:</w:t>
      </w:r>
    </w:p>
    <w:p>
      <w:pPr>
        <w:spacing w:after="0" w:line="4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differing regulatory requirements and reimbursement regimes in foreign countries;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compliance with tax, employment, immigration and labor laws for employees living or traveling abroad;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foreign taxes, including withholding of payroll taxes;</w:t>
      </w:r>
    </w:p>
    <w:p>
      <w:pPr>
        <w:spacing w:after="0" w:line="131"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difficulties staffing and managing foreign operations;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workforce uncertainty in countries where labor unrest is more common than in the United States;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potential liability under the FCPA or comparable foreign regulations;</w:t>
      </w:r>
    </w:p>
    <w:p>
      <w:pPr>
        <w:spacing w:after="0" w:line="131" w:lineRule="exact"/>
        <w:rPr>
          <w:sz w:val="20"/>
          <w:szCs w:val="20"/>
          <w:color w:val="auto"/>
        </w:rPr>
      </w:pPr>
    </w:p>
    <w:p>
      <w:pPr>
        <w:ind w:left="960" w:right="460"/>
        <w:spacing w:after="0" w:line="293" w:lineRule="auto"/>
        <w:rPr>
          <w:sz w:val="20"/>
          <w:szCs w:val="20"/>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sz w:val="20"/>
          <w:szCs w:val="20"/>
          <w:color w:val="auto"/>
        </w:rPr>
      </w:pPr>
    </w:p>
    <w:p>
      <w:pPr>
        <w:ind w:left="960" w:right="1660"/>
        <w:spacing w:after="0" w:line="418" w:lineRule="auto"/>
        <w:rPr>
          <w:sz w:val="20"/>
          <w:szCs w:val="20"/>
          <w:color w:val="auto"/>
        </w:rPr>
      </w:pPr>
      <w:r>
        <w:rPr>
          <w:rFonts w:ascii="Arial" w:cs="Arial" w:eastAsia="Arial" w:hAnsi="Arial"/>
          <w:sz w:val="18"/>
          <w:szCs w:val="18"/>
          <w:color w:val="auto"/>
        </w:rPr>
        <w:t>production shortages resulting from any events affecting raw material supply or manufacturing capabilities abroad; and business interruptions resulting from geo-political actions, including war and terrorism.</w:t>
      </w:r>
    </w:p>
    <w:p>
      <w:pPr>
        <w:spacing w:after="0" w:line="62" w:lineRule="exact"/>
        <w:rPr>
          <w:sz w:val="20"/>
          <w:szCs w:val="20"/>
          <w:color w:val="auto"/>
        </w:rPr>
      </w:pPr>
    </w:p>
    <w:p>
      <w:pPr>
        <w:ind w:right="620" w:firstLine="509"/>
        <w:spacing w:after="0" w:line="293"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278" w:lineRule="exact"/>
        <w:rPr>
          <w:sz w:val="20"/>
          <w:szCs w:val="20"/>
          <w:color w:val="auto"/>
        </w:rPr>
      </w:pPr>
    </w:p>
    <w:p>
      <w:pPr>
        <w:ind w:right="180"/>
        <w:spacing w:after="0" w:line="324" w:lineRule="auto"/>
        <w:rPr>
          <w:sz w:val="20"/>
          <w:szCs w:val="20"/>
          <w:color w:val="auto"/>
        </w:rPr>
      </w:pPr>
      <w:r>
        <w:rPr>
          <w:rFonts w:ascii="Arial" w:cs="Arial" w:eastAsia="Arial" w:hAnsi="Arial"/>
          <w:sz w:val="17"/>
          <w:szCs w:val="17"/>
          <w:b w:val="1"/>
          <w:bCs w:val="1"/>
          <w:i w:val="1"/>
          <w:iCs w:val="1"/>
          <w:color w:val="auto"/>
        </w:rPr>
        <w:t>We face risks related to health epidemics and outbreaks, including the COVID-19 pandemic, which could significantly disrupt our preclinical studies and clinical trials, and therefore our receipt of necessary regulatory approvals could be delayed or prevented.</w:t>
      </w:r>
    </w:p>
    <w:p>
      <w:pPr>
        <w:spacing w:after="0" w:line="39" w:lineRule="exact"/>
        <w:rPr>
          <w:sz w:val="20"/>
          <w:szCs w:val="20"/>
          <w:color w:val="auto"/>
        </w:rPr>
      </w:pPr>
    </w:p>
    <w:p>
      <w:pPr>
        <w:ind w:firstLine="509"/>
        <w:spacing w:after="0" w:line="305" w:lineRule="auto"/>
        <w:rPr>
          <w:sz w:val="20"/>
          <w:szCs w:val="20"/>
          <w:color w:val="auto"/>
        </w:rPr>
      </w:pPr>
      <w:r>
        <w:rPr>
          <w:rFonts w:ascii="Arial" w:cs="Arial" w:eastAsia="Arial" w:hAnsi="Arial"/>
          <w:sz w:val="16"/>
          <w:szCs w:val="16"/>
          <w:color w:val="auto"/>
        </w:rPr>
        <w:t>We face risks related to health epidemics or outbreaks of communicable diseases. For example, in December 2019, a novel strain of coronavirus, SARS-CoV-2, causing a disease referred to as COVID-19, emerged in China. Since then, COVID-19 has spread to multiple countries worldwide, including the United States and member states of the European Union. On March 11, 2020, the World Health Organization declared the outbreak of COVID-19 as a pandemic. The outbreak of such communicable diseases could result in a widespread health crisis that could adversely affect general commercial activity and the economies and financial markets of many countries, which in the case of COVID-19 has occurred. The COVID-19 pandemic has resulted in governments implementing numerous containment measures, such as travel bans and restrictions, particularly quarantines, shelter-in-place or total lock-down orders and business limitations and shutdowns. For example, our primary operations are located in San Diego, California, and San Diego County and the State of California had issued shelter-in-place orders in response to the COVID-19 pandemic. Although some restrictions aimed at minimizing the spread of COVID-19 have been and may from time to time be eased or lifted in the U.S. and other countries, in response to local surges and new waves of infection, including those caused by the spread of the Delta variant, some countries, states, and local governments have maintained or reinstituted these restrictions, or may reinstitute these restrictions from time to time, in response to rising rates of infection.</w:t>
      </w:r>
    </w:p>
    <w:p>
      <w:pPr>
        <w:spacing w:after="0" w:line="169" w:lineRule="exact"/>
        <w:rPr>
          <w:sz w:val="20"/>
          <w:szCs w:val="20"/>
          <w:color w:val="auto"/>
        </w:rPr>
      </w:pPr>
    </w:p>
    <w:p>
      <w:pPr>
        <w:ind w:right="120" w:firstLine="509"/>
        <w:spacing w:after="0" w:line="319" w:lineRule="auto"/>
        <w:rPr>
          <w:sz w:val="20"/>
          <w:szCs w:val="20"/>
          <w:color w:val="auto"/>
        </w:rPr>
      </w:pPr>
      <w:r>
        <w:rPr>
          <w:rFonts w:ascii="Arial" w:cs="Arial" w:eastAsia="Arial" w:hAnsi="Arial"/>
          <w:sz w:val="16"/>
          <w:szCs w:val="16"/>
          <w:color w:val="auto"/>
        </w:rPr>
        <w:t>We are following, and plan to continue to follow, recommendations from federal, state and local governments regarding workplace policies, practices and procedures. In March 2020, we implemented a remote working policy for many of our employees and began restricting non-essential travel. We are complying with all applicable guidelines for our clinical trials, including remote clinical monitoring. We are continuing to monitor the potential impact of the pandemic, but we cannot be certain what the overall impact will be on our business, financial condition, results of operations and prospects.</w:t>
      </w:r>
    </w:p>
    <w:p>
      <w:pPr>
        <w:spacing w:after="0" w:line="156" w:lineRule="exact"/>
        <w:rPr>
          <w:sz w:val="20"/>
          <w:szCs w:val="20"/>
          <w:color w:val="auto"/>
        </w:rPr>
      </w:pPr>
    </w:p>
    <w:p>
      <w:pPr>
        <w:ind w:right="60" w:firstLine="509"/>
        <w:spacing w:after="0" w:line="266" w:lineRule="auto"/>
        <w:rPr>
          <w:sz w:val="20"/>
          <w:szCs w:val="20"/>
          <w:color w:val="auto"/>
        </w:rPr>
      </w:pPr>
      <w:r>
        <w:rPr>
          <w:rFonts w:ascii="Arial" w:cs="Arial" w:eastAsia="Arial" w:hAnsi="Arial"/>
          <w:sz w:val="18"/>
          <w:szCs w:val="18"/>
          <w:color w:val="auto"/>
        </w:rPr>
        <w:t>In addition, the COVID-19 pandemic is having a severe effect on the clinical trials of many drug candidates. Some trials have been merely delayed, while others have been cancelled. The extent to which the COVID-19 pandemic may impact our preclinical and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54" w:name="page55"/>
    <w:bookmarkEnd w:id="54"/>
    <w:p>
      <w:pPr>
        <w:spacing w:after="0" w:line="284" w:lineRule="auto"/>
        <w:rPr>
          <w:sz w:val="20"/>
          <w:szCs w:val="20"/>
          <w:color w:val="auto"/>
        </w:rPr>
      </w:pPr>
      <w:r>
        <w:rPr>
          <w:rFonts w:ascii="Arial" w:cs="Arial" w:eastAsia="Arial" w:hAnsi="Arial"/>
          <w:sz w:val="17"/>
          <w:szCs w:val="17"/>
          <w:color w:val="auto"/>
        </w:rPr>
        <w:t>clinical trial operations will depend on future developments, which are highly uncertain and cannot be predicted with confidence, such as the duration and geographic reach of the outbreak, the severity of COVID-19 (including its variant strains, such as the highly transmissible Delta variant), the effectiveness of actions to contain and treat COVID-19 and the rate of vaccination and efficacy of approved vaccines against COVID-19 and its variant strains. To date, we have experienced non-material business disruptions, including with respect to the clinical trials we are conducting, or impairments of our assets as a result of the pandemic. Our Phase 2 sarcoma trial remains on schedule and the Phase 2 interim analysis for AXL NSCLC and ROR2 studies have experienced some modest delays in patient initiations due to COVID-19, however, overall our timelines for study completion have not changed at this time. The continued spread of COVID-19 could adversely impact our clinical trial operations, including our ability to recruit and retain patients and principal investigators and site staff who, as healthcare providers, may have heightened exposure to COVID-19 if an outbreak occurs in their geography. Disruptions or restrictions on our ability to travel to monitor data from our clinical trials, or to conduct clinical trials, or the ability of patients enrolled in our studies to travel, or the ability of staff at study sites to travel, as well as temporary closures of our facilities or the facilities of our clinical trial partners and their contract manufacturers, would negatively impact our clinical trial activities. In addition, we rely on independent clinical investigators, CROs and other third-party service providers to assist us in managing, monitoring and otherwise carrying out our preclinical studies and clinical trials, including the collection of data from our clinical trials, and the outbreak may affect their ability to devote sufficient time and resources to our programs or to travel to sites to perform work for us. Similarly, our preclinical trials could be delayed and/or disrupted by the COVID-19 pandemic. As a result, the expected timeline for data readouts of our preclinical studies and clinical trials and certain regulatory filings may be negatively impacted, which would adversely affect our ability to obtain regulatory approval for and to commercialize our product candidates, increase our operating expenses and have a material adverse effect on our business, financial condition, results of operations and prospects.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35" w:lineRule="exact"/>
        <w:rPr>
          <w:sz w:val="20"/>
          <w:szCs w:val="20"/>
          <w:color w:val="auto"/>
        </w:rPr>
      </w:pPr>
    </w:p>
    <w:p>
      <w:pPr>
        <w:ind w:right="20"/>
        <w:spacing w:after="0" w:line="303" w:lineRule="auto"/>
        <w:rPr>
          <w:sz w:val="20"/>
          <w:szCs w:val="20"/>
          <w:color w:val="auto"/>
        </w:rPr>
      </w:pPr>
      <w:r>
        <w:rPr>
          <w:rFonts w:ascii="Arial" w:cs="Arial" w:eastAsia="Arial" w:hAnsi="Arial"/>
          <w:sz w:val="17"/>
          <w:szCs w:val="17"/>
          <w:b w:val="1"/>
          <w:bCs w:val="1"/>
          <w:i w:val="1"/>
          <w:iCs w:val="1"/>
          <w:color w:val="auto"/>
        </w:rPr>
        <w:t>We have entered, and may in the future seek to enter, into collaborations with third parties for the development and commercialization of certain of our product candidates. If we fail to enter into such collaborations, or such collaborations are not successful, we may not be able to capitalize on the market potential of our patented technology platform and resulting product candidates.</w:t>
      </w:r>
    </w:p>
    <w:p>
      <w:pPr>
        <w:spacing w:after="0" w:line="56"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We have entered, and may in the future seek to enter, into collaborations with third parties for the development and commercialization of certain of our product candidates. For example, we have entered into a Global Co-Development and Collaboration Agreement with BeiGene for the development, manufacturing and commercialization of BA3071. Under the terms of our BeiGene collaboration, BeiGene is generally responsible for developing BA3071 and is responsible for global regulatory filings and commercialization. Subject to the terms of the agreement, BeiGene holds an exclusive license with us to develop and manufacture the product candidate globally. BeiGene is responsible for all costs of development, manufacturing and commercialization globally. We are currently in advanced discussions with BeiGene regarding the allocation of roles and responsibilities for global development and commercialization of BA3071 under our Global Co-Development and Collaboration Agreement with BeiGene. As part of these ongoing discussions, BeiGene is planning to initiate the transfer of the IND for BA3071 to BioAtla and BioAtla anticipates initiating the Phase I trial for BA3071 during 2021, with dosing commencing in the first half of 2022.</w:t>
      </w:r>
    </w:p>
    <w:p>
      <w:pPr>
        <w:spacing w:after="0" w:line="70"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In addition, we may in the future seek third-party collaborators or joint venture partners for development and commercialization of additional CAB product candidates. With respect to our collaborations, and what we expect will be the case with any future license or collaboration agreements, we have, and would expect to have, limited control over the amount and timing of resources that our existing or future collaborators dedicate to the development or commercialization of our product candidates. Our ability to generate revenues from these arrangements will depend on our existing or future collaborators’ willingness to select additional product candidates to license and their abilities and willingness to fulfill their payment obligations and successfully perform the functions assigned to them in these arrangements.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existing collaboration arrangements currently pose, and future collaborations involving our product candidates will pose, the following risks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13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31" w:lineRule="exact"/>
        <w:rPr>
          <w:sz w:val="20"/>
          <w:szCs w:val="20"/>
          <w:color w:val="auto"/>
        </w:rPr>
      </w:pPr>
    </w:p>
    <w:p>
      <w:pPr>
        <w:ind w:left="960" w:right="180"/>
        <w:spacing w:after="0" w:line="275" w:lineRule="auto"/>
        <w:rPr>
          <w:sz w:val="20"/>
          <w:szCs w:val="20"/>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due to their acquisition of competitive products or their internal development of competitive products, available funding or other external factors, such as a business combination that diverts resources or creates competing priorities;</w:t>
      </w:r>
    </w:p>
    <w:p>
      <w:pPr>
        <w:spacing w:after="0" w:line="77" w:lineRule="exact"/>
        <w:rPr>
          <w:sz w:val="20"/>
          <w:szCs w:val="20"/>
          <w:color w:val="auto"/>
        </w:rPr>
      </w:pPr>
    </w:p>
    <w:p>
      <w:pPr>
        <w:ind w:left="960" w:right="520"/>
        <w:spacing w:after="0" w:line="282" w:lineRule="auto"/>
        <w:rPr>
          <w:sz w:val="20"/>
          <w:szCs w:val="20"/>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5" w:name="page56"/>
    <w:bookmarkEnd w:id="55"/>
    <w:p>
      <w:pPr>
        <w:ind w:left="960"/>
        <w:spacing w:after="0" w:line="279" w:lineRule="auto"/>
        <w:rPr>
          <w:sz w:val="20"/>
          <w:szCs w:val="20"/>
          <w:color w:val="auto"/>
        </w:rPr>
      </w:pPr>
      <w:r>
        <w:rPr>
          <w:rFonts w:ascii="Arial" w:cs="Arial" w:eastAsia="Arial" w:hAnsi="Arial"/>
          <w:sz w:val="18"/>
          <w:szCs w:val="18"/>
          <w:color w:val="auto"/>
        </w:rPr>
        <w:t>collaborators and other alliances could independently develop, or develop with third parties, products that compete directly or indirectly with our product candidate, particularly if the collaborators believe that competitive products are more likely to be successfully developed or can be commercialized under terms that are more economically attractive than ours;</w:t>
      </w:r>
    </w:p>
    <w:p>
      <w:pPr>
        <w:spacing w:after="0" w:line="75" w:lineRule="exact"/>
        <w:rPr>
          <w:sz w:val="20"/>
          <w:szCs w:val="20"/>
          <w:color w:val="auto"/>
        </w:rPr>
      </w:pPr>
    </w:p>
    <w:p>
      <w:pPr>
        <w:ind w:left="960" w:right="620"/>
        <w:spacing w:after="0" w:line="293" w:lineRule="auto"/>
        <w:rPr>
          <w:sz w:val="20"/>
          <w:szCs w:val="20"/>
          <w:color w:val="auto"/>
        </w:rPr>
      </w:pPr>
      <w:r>
        <w:rPr>
          <w:rFonts w:ascii="Arial" w:cs="Arial" w:eastAsia="Arial" w:hAnsi="Arial"/>
          <w:sz w:val="18"/>
          <w:szCs w:val="18"/>
          <w:color w:val="auto"/>
        </w:rPr>
        <w:t>collaborators with marketing, manufacturing and distribution rights to one or more products may not commit sufficient resources to or otherwise not perform satisfactorily in carrying out these activities;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31" w:lineRule="exact"/>
        <w:rPr>
          <w:sz w:val="20"/>
          <w:szCs w:val="20"/>
          <w:color w:val="auto"/>
        </w:rPr>
      </w:pPr>
    </w:p>
    <w:p>
      <w:pPr>
        <w:ind w:left="960" w:right="60"/>
        <w:spacing w:after="0" w:line="279" w:lineRule="auto"/>
        <w:rPr>
          <w:sz w:val="20"/>
          <w:szCs w:val="20"/>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31" w:lineRule="exact"/>
        <w:rPr>
          <w:sz w:val="20"/>
          <w:szCs w:val="20"/>
          <w:color w:val="auto"/>
        </w:rPr>
      </w:pPr>
    </w:p>
    <w:p>
      <w:pPr>
        <w:ind w:left="960" w:right="140"/>
        <w:spacing w:after="0" w:line="359" w:lineRule="auto"/>
        <w:rPr>
          <w:sz w:val="20"/>
          <w:szCs w:val="20"/>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w:t>
      </w:r>
    </w:p>
    <w:p>
      <w:pPr>
        <w:spacing w:after="0" w:line="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disputes may arise with respect to the ownership of any intellectual property developed pursuant to our collaborations;</w:t>
      </w:r>
    </w:p>
    <w:p>
      <w:pPr>
        <w:spacing w:after="0" w:line="131" w:lineRule="exact"/>
        <w:rPr>
          <w:sz w:val="20"/>
          <w:szCs w:val="20"/>
          <w:color w:val="auto"/>
        </w:rPr>
      </w:pPr>
    </w:p>
    <w:p>
      <w:pPr>
        <w:jc w:val="both"/>
        <w:ind w:left="960" w:right="440"/>
        <w:spacing w:after="0" w:line="303" w:lineRule="auto"/>
        <w:rPr>
          <w:sz w:val="20"/>
          <w:szCs w:val="20"/>
          <w:color w:val="auto"/>
        </w:rPr>
      </w:pPr>
      <w:r>
        <w:rPr>
          <w:rFonts w:ascii="Arial" w:cs="Arial" w:eastAsia="Arial" w:hAnsi="Arial"/>
          <w:sz w:val="17"/>
          <w:szCs w:val="17"/>
          <w:color w:val="auto"/>
        </w:rPr>
        <w:t>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our out-licensed product candidates;</w:t>
      </w:r>
    </w:p>
    <w:p>
      <w:pPr>
        <w:spacing w:after="0" w:line="56" w:lineRule="exact"/>
        <w:rPr>
          <w:sz w:val="20"/>
          <w:szCs w:val="20"/>
          <w:color w:val="auto"/>
        </w:rPr>
      </w:pPr>
    </w:p>
    <w:p>
      <w:pPr>
        <w:ind w:left="960" w:right="760"/>
        <w:spacing w:after="0" w:line="293" w:lineRule="auto"/>
        <w:rPr>
          <w:sz w:val="20"/>
          <w:szCs w:val="20"/>
          <w:color w:val="auto"/>
        </w:rPr>
      </w:pPr>
      <w:r>
        <w:rPr>
          <w:rFonts w:ascii="Arial" w:cs="Arial" w:eastAsia="Arial" w:hAnsi="Arial"/>
          <w:sz w:val="18"/>
          <w:szCs w:val="18"/>
          <w:color w:val="auto"/>
        </w:rPr>
        <w:t>collaborations may be terminated and, if terminated, this may result in a need for additional capital to pursue further development or commercialization of the applicable current or future product candidates; and</w:t>
      </w:r>
    </w:p>
    <w:p>
      <w:pPr>
        <w:spacing w:after="0" w:line="62" w:lineRule="exact"/>
        <w:rPr>
          <w:sz w:val="20"/>
          <w:szCs w:val="20"/>
          <w:color w:val="auto"/>
        </w:rPr>
      </w:pPr>
    </w:p>
    <w:p>
      <w:pPr>
        <w:ind w:left="960" w:right="220"/>
        <w:spacing w:after="0" w:line="293" w:lineRule="auto"/>
        <w:rPr>
          <w:sz w:val="20"/>
          <w:szCs w:val="20"/>
          <w:color w:val="auto"/>
        </w:rPr>
      </w:pPr>
      <w:r>
        <w:rPr>
          <w:rFonts w:ascii="Arial" w:cs="Arial" w:eastAsia="Arial" w:hAnsi="Arial"/>
          <w:sz w:val="18"/>
          <w:szCs w:val="18"/>
          <w:color w:val="auto"/>
        </w:rPr>
        <w:t>collaborators’ sales and marketing activities or other operations may not be in compliance with applicable laws resulting in civil or criminal proceedings.</w:t>
      </w:r>
    </w:p>
    <w:p>
      <w:pPr>
        <w:spacing w:after="0" w:line="170" w:lineRule="exact"/>
        <w:rPr>
          <w:sz w:val="20"/>
          <w:szCs w:val="20"/>
          <w:color w:val="auto"/>
        </w:rPr>
      </w:pPr>
    </w:p>
    <w:p>
      <w:pPr>
        <w:ind w:right="140" w:firstLine="509"/>
        <w:spacing w:after="0" w:line="279" w:lineRule="auto"/>
        <w:rPr>
          <w:sz w:val="20"/>
          <w:szCs w:val="20"/>
          <w:color w:val="auto"/>
        </w:rPr>
      </w:pPr>
      <w:r>
        <w:rPr>
          <w:rFonts w:ascii="Arial" w:cs="Arial" w:eastAsia="Arial" w:hAnsi="Arial"/>
          <w:sz w:val="18"/>
          <w:szCs w:val="18"/>
          <w:color w:val="auto"/>
        </w:rPr>
        <w:t>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spacing w:after="0" w:line="291" w:lineRule="exact"/>
        <w:rPr>
          <w:sz w:val="20"/>
          <w:szCs w:val="20"/>
          <w:color w:val="auto"/>
        </w:rPr>
      </w:pPr>
    </w:p>
    <w:p>
      <w:pPr>
        <w:ind w:right="200"/>
        <w:spacing w:after="0" w:line="279" w:lineRule="auto"/>
        <w:rPr>
          <w:sz w:val="20"/>
          <w:szCs w:val="20"/>
          <w:color w:val="auto"/>
        </w:rPr>
      </w:pPr>
      <w:r>
        <w:rPr>
          <w:rFonts w:ascii="Arial" w:cs="Arial" w:eastAsia="Arial" w:hAnsi="Arial"/>
          <w:sz w:val="18"/>
          <w:szCs w:val="18"/>
          <w:b w:val="1"/>
          <w:bCs w:val="1"/>
          <w:i w:val="1"/>
          <w:iCs w:val="1"/>
          <w:color w:val="auto"/>
        </w:rPr>
        <w:t>If our existing or future collaborators cease development efforts under our existing or future collaboration agreements, or if any of those agreements are terminated, we may lose committed funding under those agreements and these collaborations may fail to lead to commercial products and the reputation of our patented CAB technology platform may suffer.</w:t>
      </w:r>
    </w:p>
    <w:p>
      <w:pPr>
        <w:spacing w:after="0" w:line="75" w:lineRule="exact"/>
        <w:rPr>
          <w:sz w:val="20"/>
          <w:szCs w:val="20"/>
          <w:color w:val="auto"/>
        </w:rPr>
      </w:pPr>
    </w:p>
    <w:p>
      <w:pPr>
        <w:ind w:right="20" w:firstLine="509"/>
        <w:spacing w:after="0" w:line="296" w:lineRule="auto"/>
        <w:rPr>
          <w:sz w:val="20"/>
          <w:szCs w:val="20"/>
          <w:color w:val="auto"/>
        </w:rPr>
      </w:pPr>
      <w:r>
        <w:rPr>
          <w:rFonts w:ascii="Arial" w:cs="Arial" w:eastAsia="Arial" w:hAnsi="Arial"/>
          <w:sz w:val="17"/>
          <w:szCs w:val="17"/>
          <w:color w:val="auto"/>
        </w:rPr>
        <w:t>Revenue from research and development collaborations depend upon continuation of the collaborations, initiation and expansion of the number of programs subject to the collaborations, the achievement of milestones and royalties, if any, derived from future products developed from our research. If we are unable to successfully advance the development of our product candidates or achieve milestones, revenue and cash resources from milestone payments under our existing or future collaboration agreements will be substantially less than expected.</w:t>
      </w:r>
    </w:p>
    <w:p>
      <w:pPr>
        <w:spacing w:after="0" w:line="170"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Our ability to advance our product candidates may be limited by third parties on which we rely for certain technologies which we use in certain of our programs. If any third party developing our product candidates or other candidates based on our patented CAB technology platform experiences a delay or failure in development, regulatory approval or commercialization, even if such failure is not due to our CAB technology, it could reflect negatively on us, our other product candidates and our patented CAB technology platform. In addition, if one of our current or future collaborators terminates its agreement with us, we may find it more difficult to attract new collaborators and our perception in the business and financial communities and our stock price could be adversely affected.</w:t>
      </w:r>
    </w:p>
    <w:p>
      <w:pPr>
        <w:spacing w:after="0" w:line="299" w:lineRule="exact"/>
        <w:rPr>
          <w:sz w:val="20"/>
          <w:szCs w:val="20"/>
          <w:color w:val="auto"/>
        </w:rPr>
      </w:pPr>
    </w:p>
    <w:p>
      <w:pPr>
        <w:ind w:right="480"/>
        <w:spacing w:after="0" w:line="293" w:lineRule="auto"/>
        <w:rPr>
          <w:sz w:val="20"/>
          <w:szCs w:val="20"/>
          <w:color w:val="auto"/>
        </w:rPr>
      </w:pPr>
      <w:r>
        <w:rPr>
          <w:rFonts w:ascii="Arial" w:cs="Arial" w:eastAsia="Arial" w:hAnsi="Arial"/>
          <w:sz w:val="18"/>
          <w:szCs w:val="18"/>
          <w:b w:val="1"/>
          <w:bCs w:val="1"/>
          <w:i w:val="1"/>
          <w:iCs w:val="1"/>
          <w:color w:val="auto"/>
        </w:rPr>
        <w:t>We may not be successful in establishing commercialization collaborations, which could adversely affect our ability to commercialize our product candidates, if approved.</w:t>
      </w:r>
    </w:p>
    <w:p>
      <w:pPr>
        <w:spacing w:after="0" w:line="62" w:lineRule="exact"/>
        <w:rPr>
          <w:sz w:val="20"/>
          <w:szCs w:val="20"/>
          <w:color w:val="auto"/>
        </w:rPr>
      </w:pPr>
    </w:p>
    <w:p>
      <w:pPr>
        <w:ind w:right="140" w:firstLine="509"/>
        <w:spacing w:after="0" w:line="266" w:lineRule="auto"/>
        <w:rPr>
          <w:sz w:val="20"/>
          <w:szCs w:val="20"/>
          <w:color w:val="auto"/>
        </w:rPr>
      </w:pPr>
      <w:r>
        <w:rPr>
          <w:rFonts w:ascii="Arial" w:cs="Arial" w:eastAsia="Arial" w:hAnsi="Arial"/>
          <w:sz w:val="18"/>
          <w:szCs w:val="18"/>
          <w:color w:val="auto"/>
        </w:rPr>
        <w:t>From time to time, we may evaluate and, if strategically attractive, seek to enter into additional collaborations, including with major biotechnology or biopharmaceutical companies. The competition for collaborators is intense, and the negotiation process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Moreover, such arrangements are complex and time-consuming to negotiate, document and implement and they may require substantial resources to maintain.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6" w:name="page57"/>
    <w:bookmarkEnd w:id="56"/>
    <w:p>
      <w:pPr>
        <w:ind w:right="300" w:firstLine="509"/>
        <w:spacing w:after="0" w:line="319" w:lineRule="auto"/>
        <w:rPr>
          <w:sz w:val="20"/>
          <w:szCs w:val="20"/>
          <w:color w:val="auto"/>
        </w:rPr>
      </w:pPr>
      <w:r>
        <w:rPr>
          <w:rFonts w:ascii="Arial" w:cs="Arial" w:eastAsia="Arial" w:hAnsi="Arial"/>
          <w:sz w:val="16"/>
          <w:szCs w:val="16"/>
          <w:color w:val="auto"/>
        </w:rPr>
        <w:t>In addition, it is possible that a collaborator may not devote sufficient resources to the commercialization of our product candidates or may otherwise fail in its commercialization efforts, in which event the commercialization of such product candidates could be delayed or terminated and our business could be substantially harmed. In addition, the terms of any collaboration or other arrangement that we establish may not be favorable to us or may not be perceived as favorable, which may negatively impact our business, financial condition, results of operations and prospects.</w:t>
      </w:r>
    </w:p>
    <w:p>
      <w:pPr>
        <w:spacing w:after="0" w:line="264" w:lineRule="exact"/>
        <w:rPr>
          <w:sz w:val="20"/>
          <w:szCs w:val="20"/>
          <w:color w:val="auto"/>
        </w:rPr>
      </w:pPr>
    </w:p>
    <w:p>
      <w:pPr>
        <w:spacing w:after="0" w:line="279" w:lineRule="auto"/>
        <w:rPr>
          <w:sz w:val="20"/>
          <w:szCs w:val="20"/>
          <w:color w:val="auto"/>
        </w:rPr>
      </w:pPr>
      <w:r>
        <w:rPr>
          <w:rFonts w:ascii="Arial" w:cs="Arial" w:eastAsia="Arial" w:hAnsi="Arial"/>
          <w:sz w:val="18"/>
          <w:szCs w:val="18"/>
          <w:b w:val="1"/>
          <w:bCs w:val="1"/>
          <w:i w:val="1"/>
          <w:iCs w:val="1"/>
          <w:color w:val="auto"/>
        </w:rPr>
        <w:t>If third parties on which we rely to conduct our preclinical and clinical trials,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75" w:lineRule="exact"/>
        <w:rPr>
          <w:sz w:val="20"/>
          <w:szCs w:val="20"/>
          <w:color w:val="auto"/>
        </w:rPr>
      </w:pPr>
    </w:p>
    <w:p>
      <w:pPr>
        <w:ind w:right="80" w:firstLine="509"/>
        <w:spacing w:after="0" w:line="308" w:lineRule="auto"/>
        <w:rPr>
          <w:sz w:val="20"/>
          <w:szCs w:val="20"/>
          <w:color w:val="auto"/>
        </w:rPr>
      </w:pPr>
      <w:r>
        <w:rPr>
          <w:rFonts w:ascii="Arial" w:cs="Arial" w:eastAsia="Arial" w:hAnsi="Arial"/>
          <w:sz w:val="16"/>
          <w:szCs w:val="16"/>
          <w:color w:val="auto"/>
        </w:rPr>
        <w:t>We rely, and expect we will continue to rely, on third-party investigators, CROs, data management organizations and consultants to conduct, supervise and monitor our ongoing clinical trials and preclinical studies. We currently rely on third parties to manage and conduct our clinical trials of BA3011 and BA3021. Because we rely on these third parties and do not have the ability to conduct preclinical studies or clinical trials independently, we will have less control over the timing, quality and other aspects of preclinical studies and clinical trials than we would have had we conducted them on our own. These investigators, CROs and consultants will not be our employees and we will have limited control over the amount of time and resources that they dedicate to our development programs. These third parties may have contractual relationships with other entities, some of which may be our competitors, which may draw time and resources from our development programs. The third parties with whom we may contract might not be diligent, careful or timely in conducting our preclinical studies or clinical trials, resulting in the preclinical studies or clinical trials being delayed or unsuccessful.</w:t>
      </w:r>
    </w:p>
    <w:p>
      <w:pPr>
        <w:spacing w:after="0" w:line="163" w:lineRule="exact"/>
        <w:rPr>
          <w:sz w:val="20"/>
          <w:szCs w:val="20"/>
          <w:color w:val="auto"/>
        </w:rPr>
      </w:pPr>
    </w:p>
    <w:p>
      <w:pPr>
        <w:ind w:right="60" w:firstLine="509"/>
        <w:spacing w:after="0" w:line="306" w:lineRule="auto"/>
        <w:rPr>
          <w:sz w:val="20"/>
          <w:szCs w:val="20"/>
          <w:color w:val="auto"/>
        </w:rPr>
      </w:pPr>
      <w:r>
        <w:rPr>
          <w:rFonts w:ascii="Arial" w:cs="Arial" w:eastAsia="Arial" w:hAnsi="Arial"/>
          <w:sz w:val="16"/>
          <w:szCs w:val="16"/>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development programs could be delayed and otherwise adversely affected. In all events, we will be responsible for ensuring that each of our preclinical studies and clinical trials are conducted in accordance with the general investigational plan, protocols for the trial and regulatory requirements. The FDA requires preclinical studies to be conducted in accordance with Good Laboratory Practices, or GLPs, and clinical trials to be conducted in accordance with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will not relieve us of these responsibilities and requirements. Any adverse development or delay in our preclinical studies and clinical trials could have a material and adverse effect on our business, financial condition, results of operations and prospects.</w:t>
      </w:r>
    </w:p>
    <w:p>
      <w:pPr>
        <w:spacing w:after="0" w:line="27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i w:val="1"/>
          <w:iCs w:val="1"/>
          <w:color w:val="auto"/>
        </w:rPr>
        <w:t>We rely on third parties for the manufacture of our product candidates for preclinical studies and our ongoing clinical trials, and we expect to continue to do so for additional clinical trials and ultimately commercialization. This reliance on third parties increases the risk that we will not have sufficient quantities of our product candidates or products, if approved, or such quantities at an acceptable cost, which could delay, prevent or impair our development or commercialization efforts.</w:t>
      </w:r>
    </w:p>
    <w:p>
      <w:pPr>
        <w:spacing w:after="0" w:line="77" w:lineRule="exact"/>
        <w:rPr>
          <w:sz w:val="20"/>
          <w:szCs w:val="20"/>
          <w:color w:val="auto"/>
        </w:rPr>
      </w:pPr>
    </w:p>
    <w:p>
      <w:pPr>
        <w:ind w:right="20" w:firstLine="509"/>
        <w:spacing w:after="0" w:line="304" w:lineRule="auto"/>
        <w:rPr>
          <w:sz w:val="20"/>
          <w:szCs w:val="20"/>
          <w:color w:val="auto"/>
        </w:rPr>
      </w:pPr>
      <w:r>
        <w:rPr>
          <w:rFonts w:ascii="Arial" w:cs="Arial" w:eastAsia="Arial" w:hAnsi="Arial"/>
          <w:sz w:val="16"/>
          <w:szCs w:val="16"/>
          <w:color w:val="auto"/>
        </w:rPr>
        <w:t>We rely, and expect we will continue to rely, on third-party contract manufacturers to manufacture our preclinical and clinical trial product supplies and the raw materials used to create our product candidates. We do not own manufacturing facilities for producing such supplies, and we do not have long-term manufacturing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our product candidates will depend on the severity and duration of the spread of the virus, and the actions undertaken to contain COVID-19 or treat its effects. We cannot assure you that our preclinical and clinical development product supplies or raw materials will not be limited, interrupted, or be of satisfactory quality or continue to be available at acceptable prices. In particular, any replacement of a manufacturer could require significant effort and expertise because there are a limited number of qualified replacements.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third-party manufacture our product candidates.</w:t>
      </w:r>
    </w:p>
    <w:p>
      <w:pPr>
        <w:spacing w:after="0" w:line="170" w:lineRule="exact"/>
        <w:rPr>
          <w:sz w:val="20"/>
          <w:szCs w:val="20"/>
          <w:color w:val="auto"/>
        </w:rPr>
      </w:pPr>
    </w:p>
    <w:p>
      <w:pPr>
        <w:ind w:right="120" w:firstLine="509"/>
        <w:spacing w:after="0" w:line="266" w:lineRule="auto"/>
        <w:rPr>
          <w:sz w:val="20"/>
          <w:szCs w:val="20"/>
          <w:color w:val="auto"/>
        </w:rPr>
      </w:pPr>
      <w:r>
        <w:rPr>
          <w:rFonts w:ascii="Arial" w:cs="Arial" w:eastAsia="Arial" w:hAnsi="Arial"/>
          <w:sz w:val="18"/>
          <w:szCs w:val="18"/>
          <w:color w:val="auto"/>
        </w:rPr>
        <w:t>If we submit an application for regulatory approval of any of our product candidates, the facilities used by our contract manufacturers to manufacture our product candidates will be subject to inspection by the FDA or other regulatory authorities. If our contract manufacturers cannot successfully manufacture material that conforms to our specifications and the strict regulatory requirements of the FDA or others or if they are unable to maintain a compliance status acceptable to the FDA or other regulatory authorities, approval of our product candidates may be delayed or we may need to find alternative manufacturing facilities, which would significantly impact our ability to develop, obtain regulatory approval for or market our product candidates, if approved.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7" w:name="page58"/>
    <w:bookmarkEnd w:id="57"/>
    <w:p>
      <w:pPr>
        <w:ind w:right="40" w:firstLine="509"/>
        <w:spacing w:after="0" w:line="275" w:lineRule="auto"/>
        <w:rPr>
          <w:sz w:val="20"/>
          <w:szCs w:val="20"/>
          <w:color w:val="auto"/>
        </w:rPr>
      </w:pPr>
      <w:r>
        <w:rPr>
          <w:rFonts w:ascii="Arial" w:cs="Arial" w:eastAsia="Arial" w:hAnsi="Arial"/>
          <w:sz w:val="18"/>
          <w:szCs w:val="18"/>
          <w:color w:val="auto"/>
        </w:rPr>
        <w:t>We expect to continue to rely on third-party manufacturers if we receive regulatory approval for any product candidate. If we are unable to obtain or maintain third-party manufacturing for product candidates, or to do so on commercially reasonable terms, we may not be able to develop and commercialize our product candidates successfully. Even if we are able to establish agreements with third-party manufacturers, reliance on third-party manufacturers entails additional risks, including:</w:t>
      </w:r>
    </w:p>
    <w:p>
      <w:pPr>
        <w:spacing w:after="0" w:line="77" w:lineRule="exact"/>
        <w:rPr>
          <w:sz w:val="20"/>
          <w:szCs w:val="20"/>
          <w:color w:val="auto"/>
        </w:rPr>
      </w:pPr>
    </w:p>
    <w:p>
      <w:pPr>
        <w:ind w:left="960" w:right="60"/>
        <w:spacing w:after="0" w:line="279" w:lineRule="auto"/>
        <w:rPr>
          <w:sz w:val="20"/>
          <w:szCs w:val="20"/>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the termination or nonrenewal of arrangements or agreements by our third-party contractors at a time that is costly or inconvenient for us;</w:t>
      </w:r>
    </w:p>
    <w:p>
      <w:pPr>
        <w:spacing w:after="0" w:line="15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breach by the third-party contractors of our agreements with them;</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failure of third-party contractors to comply with applicable regulatory requirements;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failure of the third party to manufacture our product candidates according to our specifications;</w:t>
      </w:r>
    </w:p>
    <w:p>
      <w:pPr>
        <w:spacing w:after="0" w:line="131" w:lineRule="exact"/>
        <w:rPr>
          <w:sz w:val="20"/>
          <w:szCs w:val="20"/>
          <w:color w:val="auto"/>
        </w:rPr>
      </w:pPr>
    </w:p>
    <w:p>
      <w:pPr>
        <w:ind w:left="960" w:right="720"/>
        <w:spacing w:after="0" w:line="293" w:lineRule="auto"/>
        <w:rPr>
          <w:sz w:val="20"/>
          <w:szCs w:val="20"/>
          <w:color w:val="auto"/>
        </w:rPr>
      </w:pPr>
      <w:r>
        <w:rPr>
          <w:rFonts w:ascii="Arial" w:cs="Arial" w:eastAsia="Arial" w:hAnsi="Arial"/>
          <w:sz w:val="18"/>
          <w:szCs w:val="18"/>
          <w:color w:val="auto"/>
        </w:rPr>
        <w:t>the mislabeling of clinical supplies, potentially resulting in the wrong dose amounts being supplied or active drug not being properly identified;</w:t>
      </w:r>
    </w:p>
    <w:p>
      <w:pPr>
        <w:spacing w:after="0" w:line="62" w:lineRule="exact"/>
        <w:rPr>
          <w:sz w:val="20"/>
          <w:szCs w:val="20"/>
          <w:color w:val="auto"/>
        </w:rPr>
      </w:pPr>
    </w:p>
    <w:p>
      <w:pPr>
        <w:ind w:left="960" w:right="100"/>
        <w:spacing w:after="0" w:line="293" w:lineRule="auto"/>
        <w:rPr>
          <w:sz w:val="20"/>
          <w:szCs w:val="20"/>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misappropriation of our proprietary information, including our trade secrets and know-how.</w:t>
      </w:r>
    </w:p>
    <w:p>
      <w:pPr>
        <w:spacing w:after="0" w:line="239"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In addition, we have no material long-term contracts with our suppliers, and we compete with other companies for raw materials and production. We may experience a significant disruption in the supply of raw materials from current sources or, in the event of a disruption, we may be unable to locate alternative materials suppliers of comparable quality at an acceptable price, or at all. In addition, if we experience significant increased demand, or if we need to replace an existing supplier, we may be unable to locate additional supplies of raw materials on terms that are acceptable to us, or at all, or we may be unable to locate any supplier with sufficient capacity to meet our requirements or to fill our orders in a timely manner. Identifying a suitable supplier is an involved process that requires us to become satisfied with their quality control, responsiveness and service, financial stability and labor and other ethical practices. Even if we are able to expand existing sources, we may encounter delays in production and added costs as a result of the time it takes to train suppliers in our methods, products and quality control standards.</w:t>
      </w:r>
    </w:p>
    <w:p>
      <w:pPr>
        <w:spacing w:after="0" w:line="290" w:lineRule="exact"/>
        <w:rPr>
          <w:sz w:val="20"/>
          <w:szCs w:val="20"/>
          <w:color w:val="auto"/>
        </w:rPr>
      </w:pPr>
    </w:p>
    <w:p>
      <w:pPr>
        <w:ind w:right="100"/>
        <w:spacing w:after="0" w:line="296" w:lineRule="auto"/>
        <w:rPr>
          <w:sz w:val="20"/>
          <w:szCs w:val="20"/>
          <w:color w:val="auto"/>
        </w:rPr>
      </w:pPr>
      <w:r>
        <w:rPr>
          <w:rFonts w:ascii="Arial" w:cs="Arial" w:eastAsia="Arial" w:hAnsi="Arial"/>
          <w:sz w:val="17"/>
          <w:szCs w:val="17"/>
          <w:b w:val="1"/>
          <w:bCs w:val="1"/>
          <w:i w:val="1"/>
          <w:iCs w:val="1"/>
          <w:color w:val="auto"/>
        </w:rPr>
        <w:t>The manufacture of biotechnology products is complex, and manufacturers often encounter difficulties in production. If we or any of our third-party manufacturers encounter any loss of materials or if any of our third-party manufacturers encounter other difficulties, or otherwise fail to comply with their contractual or regulatory obligations, our ability to provide product candidates for clinical trials or our products to patients, once approved and the development or commercialization of our product candidates could be delayed or stopped.</w:t>
      </w:r>
    </w:p>
    <w:p>
      <w:pPr>
        <w:spacing w:after="0" w:line="62" w:lineRule="exact"/>
        <w:rPr>
          <w:sz w:val="20"/>
          <w:szCs w:val="20"/>
          <w:color w:val="auto"/>
        </w:rPr>
      </w:pPr>
    </w:p>
    <w:p>
      <w:pPr>
        <w:ind w:right="60" w:firstLine="509"/>
        <w:spacing w:after="0" w:line="306" w:lineRule="auto"/>
        <w:rPr>
          <w:sz w:val="20"/>
          <w:szCs w:val="20"/>
          <w:color w:val="auto"/>
        </w:rPr>
      </w:pPr>
      <w:r>
        <w:rPr>
          <w:rFonts w:ascii="Arial" w:cs="Arial" w:eastAsia="Arial" w:hAnsi="Arial"/>
          <w:sz w:val="16"/>
          <w:szCs w:val="16"/>
          <w:color w:val="auto"/>
        </w:rPr>
        <w:t>The manufacture of biotechnology products is complex and requires significant expertise and capital investment, including the development of advanced manufacturing techniques and process controls. We and our contract manufacturers must comply with cGMPs, regulations and guidelines for the manufacturing of biologics used in clinical trials and, if approved, marketed products. In order to conduct clinical trials of our product candidates, we and existing and future collaborators will need to manufacture them in large quantities and in accordance with cGMPs. Manufacturers of biotechnology products often encounter difficulties in production, particularly in scaling up and validating initial production. In addition,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 Furthermore, changes in our manufacturing methods may require comparability studies, including clinical bridging studies, which may result in delays to the approval process for our product candidates.</w:t>
      </w:r>
    </w:p>
    <w:p>
      <w:pPr>
        <w:spacing w:after="0" w:line="170" w:lineRule="exact"/>
        <w:rPr>
          <w:sz w:val="20"/>
          <w:szCs w:val="20"/>
          <w:color w:val="auto"/>
        </w:rPr>
      </w:pPr>
    </w:p>
    <w:p>
      <w:pPr>
        <w:ind w:right="100" w:firstLine="509"/>
        <w:spacing w:after="0" w:line="296" w:lineRule="auto"/>
        <w:rPr>
          <w:sz w:val="20"/>
          <w:szCs w:val="20"/>
          <w:color w:val="auto"/>
        </w:rPr>
      </w:pPr>
      <w:r>
        <w:rPr>
          <w:rFonts w:ascii="Arial" w:cs="Arial" w:eastAsia="Arial" w:hAnsi="Arial"/>
          <w:sz w:val="17"/>
          <w:szCs w:val="17"/>
          <w:color w:val="auto"/>
        </w:rPr>
        <w:t>All of our therapeutic antibodies are manufactured by starting with cells which are stored in a cell bank. We have one master cell bank for each antibody manufactured in accordance with cGMPs, which is stored in multiple locations. We are currently creating multiple working cell banks.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spacing w:after="0" w:line="170" w:lineRule="exact"/>
        <w:rPr>
          <w:sz w:val="20"/>
          <w:szCs w:val="20"/>
          <w:color w:val="auto"/>
        </w:rPr>
      </w:pPr>
    </w:p>
    <w:p>
      <w:pPr>
        <w:ind w:right="80" w:firstLine="509"/>
        <w:spacing w:after="0" w:line="266" w:lineRule="auto"/>
        <w:rPr>
          <w:sz w:val="20"/>
          <w:szCs w:val="20"/>
          <w:color w:val="auto"/>
        </w:rPr>
      </w:pPr>
      <w:r>
        <w:rPr>
          <w:rFonts w:ascii="Arial" w:cs="Arial" w:eastAsia="Arial" w:hAnsi="Arial"/>
          <w:sz w:val="18"/>
          <w:szCs w:val="18"/>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For example, the extent to which the COVID-19 pandemic impacts the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8" w:name="page59"/>
    <w:bookmarkEnd w:id="58"/>
    <w:p>
      <w:pPr>
        <w:ind w:right="20"/>
        <w:spacing w:after="0" w:line="285" w:lineRule="auto"/>
        <w:rPr>
          <w:sz w:val="20"/>
          <w:szCs w:val="20"/>
          <w:color w:val="auto"/>
        </w:rPr>
      </w:pPr>
      <w:r>
        <w:rPr>
          <w:rFonts w:ascii="Arial" w:cs="Arial" w:eastAsia="Arial" w:hAnsi="Arial"/>
          <w:sz w:val="17"/>
          <w:szCs w:val="17"/>
          <w:color w:val="auto"/>
        </w:rPr>
        <w:t>ability to procure sufficient supplies for the development of our product candidates will depend on the severity and duration of the spread of the virus, and the actions undertaken to contain COVID-19 or treat its effects. If our manufacturers were to encounter any of these difficulties, or otherwise fail to comply with 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or enforcement actions by regulatory authorities.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financial condition, results of operations and prospects.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35" w:lineRule="exact"/>
        <w:rPr>
          <w:sz w:val="20"/>
          <w:szCs w:val="20"/>
          <w:color w:val="auto"/>
        </w:rPr>
      </w:pPr>
    </w:p>
    <w:p>
      <w:pPr>
        <w:jc w:val="both"/>
        <w:ind w:right="60"/>
        <w:spacing w:after="0" w:line="279" w:lineRule="auto"/>
        <w:rPr>
          <w:sz w:val="20"/>
          <w:szCs w:val="20"/>
          <w:color w:val="auto"/>
        </w:rPr>
      </w:pPr>
      <w:r>
        <w:rPr>
          <w:rFonts w:ascii="Arial" w:cs="Arial" w:eastAsia="Arial" w:hAnsi="Arial"/>
          <w:sz w:val="18"/>
          <w:szCs w:val="18"/>
          <w:b w:val="1"/>
          <w:bCs w:val="1"/>
          <w:i w:val="1"/>
          <w:iCs w:val="1"/>
          <w:color w:val="auto"/>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75"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As of December 31, 2020, we own or have rights to 266 issued or allowed patents and 226 pending patent applications worldwide. The patent process is expensive and time-consuming, and we may not be able to apply for patents on certain aspects of our product candidates in a timely fashion, at a reasonable cost, in all jurisdictions,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w:t>
      </w:r>
    </w:p>
    <w:p>
      <w:pPr>
        <w:spacing w:after="0" w:line="182"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Moreover, the patent position of biotechnology and biopharmaceutical companies can be highly uncertain because it involves complex legal and factual issues.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 Furthermore, even if they are unchallenged, our patents and patent applications may not adequately protect our intellectual property, provide exclusivity for our product candidates, or prevent others from designing around our patent claims.</w:t>
      </w:r>
    </w:p>
    <w:p>
      <w:pPr>
        <w:spacing w:after="0" w:line="191"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 xml:space="preserve">Once granted, patents may remain open to opposition, interference, re-examination,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nullification or derivation action in court or before patent offices or similar proceedings for a given period after allowance or grant, during which time third parties can raise objections against granted patents. In the course of such proceedings, which may continue for a protracted period of time, the patent owner may be compelled to limit the scope of the allowed or granted patent claims thus attacked, or may lose the allowed or granted claims altogether. As of November 2021, there is an ongoing patent opposition proceeding regarding our patent EP2 406 399 at the European Patent Office which is related to a version of methods used for evolving and screening potential product candidates. The Opposition Division revoked EP2 406 399 in its decision dated March 10, 2020 and we filed an appeal on July 20, 2020. In addition, we cannot assure you that:</w:t>
      </w:r>
    </w:p>
    <w:p>
      <w:pPr>
        <w:spacing w:after="0" w:line="7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obtain, maintain, protect and enforce intellectual property protection for our technologies and product candidates.</w:t>
      </w:r>
    </w:p>
    <w:p>
      <w:pPr>
        <w:spacing w:after="0" w:line="131" w:lineRule="exact"/>
        <w:rPr>
          <w:sz w:val="20"/>
          <w:szCs w:val="20"/>
          <w:color w:val="auto"/>
        </w:rPr>
      </w:pPr>
    </w:p>
    <w:p>
      <w:pPr>
        <w:ind w:left="960" w:right="320"/>
        <w:spacing w:after="0" w:line="293" w:lineRule="auto"/>
        <w:rPr>
          <w:sz w:val="20"/>
          <w:szCs w:val="20"/>
          <w:color w:val="auto"/>
        </w:rPr>
      </w:pPr>
      <w:r>
        <w:rPr>
          <w:rFonts w:ascii="Arial" w:cs="Arial" w:eastAsia="Arial" w:hAnsi="Arial"/>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62" w:lineRule="exact"/>
        <w:rPr>
          <w:sz w:val="20"/>
          <w:szCs w:val="20"/>
          <w:color w:val="auto"/>
        </w:rPr>
      </w:pPr>
    </w:p>
    <w:p>
      <w:pPr>
        <w:ind w:left="960" w:right="500"/>
        <w:spacing w:after="0" w:line="293" w:lineRule="auto"/>
        <w:rPr>
          <w:sz w:val="20"/>
          <w:szCs w:val="20"/>
          <w:color w:val="auto"/>
        </w:rPr>
      </w:pPr>
      <w:r>
        <w:rPr>
          <w:rFonts w:ascii="Arial" w:cs="Arial" w:eastAsia="Arial" w:hAnsi="Arial"/>
          <w:sz w:val="18"/>
          <w:szCs w:val="18"/>
          <w:color w:val="auto"/>
        </w:rPr>
        <w:t>We or our licensors, or our existing or future collaborators are the first to make the inventions covered by each of our issued patents and pending patent applications that we own or license.</w:t>
      </w:r>
    </w:p>
    <w:p>
      <w:pPr>
        <w:spacing w:after="0" w:line="62" w:lineRule="exact"/>
        <w:rPr>
          <w:sz w:val="20"/>
          <w:szCs w:val="20"/>
          <w:color w:val="auto"/>
        </w:rPr>
      </w:pPr>
    </w:p>
    <w:p>
      <w:pPr>
        <w:ind w:left="5540" w:right="260" w:hanging="4577"/>
        <w:spacing w:after="0" w:line="293" w:lineRule="auto"/>
        <w:rPr>
          <w:sz w:val="20"/>
          <w:szCs w:val="20"/>
          <w:color w:val="auto"/>
        </w:rPr>
      </w:pPr>
      <w:r>
        <w:rPr>
          <w:rFonts w:ascii="Arial" w:cs="Arial" w:eastAsia="Arial" w:hAnsi="Arial"/>
          <w:sz w:val="18"/>
          <w:szCs w:val="18"/>
          <w:color w:val="auto"/>
        </w:rPr>
        <w:t>We or our licensors, or our existing or future collaborators are the first to file patent applications covering certain aspects of our inventions.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9" w:name="page60"/>
    <w:bookmarkEnd w:id="59"/>
    <w:p>
      <w:pPr>
        <w:ind w:left="960" w:right="720"/>
        <w:spacing w:after="0" w:line="293" w:lineRule="auto"/>
        <w:rPr>
          <w:sz w:val="20"/>
          <w:szCs w:val="20"/>
          <w:color w:val="auto"/>
        </w:rPr>
      </w:pPr>
      <w:r>
        <w:rPr>
          <w:rFonts w:ascii="Arial" w:cs="Arial" w:eastAsia="Arial" w:hAnsi="Arial"/>
          <w:sz w:val="18"/>
          <w:szCs w:val="18"/>
          <w:color w:val="auto"/>
        </w:rPr>
        <w:t>Others will not independently develop similar or alternative technologies or duplicate any of our technologies without infringing our intellectual property rights.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 third party may not challenge our patents and, if challenged, that a court would hold that our patents are valid, enforceable and infringed.</w:t>
      </w:r>
    </w:p>
    <w:p>
      <w:pPr>
        <w:spacing w:after="0" w:line="15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Any issued patents that we own or have licensed will provide us with any competitive advantage, or will not be challenged by third parties.</w:t>
      </w:r>
    </w:p>
    <w:p>
      <w:pPr>
        <w:spacing w:after="0" w:line="15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develop or in-license additional proprietary technologies that are patentable.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Pending patent applications that we own or may license will lead to issued patents.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The patents of others will not have a material or adverse effect on our business, financial condition, results of operations and prospects.</w:t>
      </w:r>
    </w:p>
    <w:p>
      <w:pPr>
        <w:spacing w:after="0" w:line="142" w:lineRule="exact"/>
        <w:rPr>
          <w:sz w:val="20"/>
          <w:szCs w:val="20"/>
          <w:color w:val="auto"/>
        </w:rPr>
      </w:pPr>
    </w:p>
    <w:p>
      <w:pPr>
        <w:ind w:left="960" w:right="80"/>
        <w:spacing w:after="0" w:line="324" w:lineRule="auto"/>
        <w:rPr>
          <w:sz w:val="20"/>
          <w:szCs w:val="20"/>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commercial markets.</w:t>
      </w:r>
    </w:p>
    <w:p>
      <w:pPr>
        <w:spacing w:after="0" w:line="147"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If the breadth or strength of protection provided by the patents and patent applications we hold, obtain or pursue with respect to our product candidates is challenged, or if they fail to provide meaningful exclusivity for our product candidates, it could threaten our ability to practice our technologies or commercialize our product candidates. We cannot offer any assurances about which, if any, patents will issue, the breadth of any such patent, or whether any issued patents will be found invalid and unenforceable or will be threatened by third parties. Furthermore, an interference or derivation proceeding can be provoked by a third party or instituted by a patent office or in a court proceeding, to determine who was the first to invent any of the subject matter covered by the patent claims of our applications.</w:t>
      </w:r>
    </w:p>
    <w:p>
      <w:pPr>
        <w:spacing w:after="0" w:line="19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Where we obtain licenses from third parties,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31"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auto"/>
        </w:rPr>
        <w:t>In addition to seeking patent protection for certain aspects of our product candidates, we also consider trade secrets, including confidential and unpatented know-how important to the maintenance of our competitive position. We seek to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could be harmed.</w:t>
      </w:r>
    </w:p>
    <w:p>
      <w:pPr>
        <w:spacing w:after="0" w:line="174" w:lineRule="exact"/>
        <w:rPr>
          <w:sz w:val="20"/>
          <w:szCs w:val="20"/>
          <w:color w:val="auto"/>
        </w:rPr>
      </w:pPr>
    </w:p>
    <w:p>
      <w:pPr>
        <w:ind w:firstLine="509"/>
        <w:spacing w:after="0" w:line="266" w:lineRule="auto"/>
        <w:rPr>
          <w:sz w:val="20"/>
          <w:szCs w:val="20"/>
          <w:color w:val="auto"/>
        </w:rPr>
      </w:pPr>
      <w:r>
        <w:rPr>
          <w:rFonts w:ascii="Arial" w:cs="Arial" w:eastAsia="Arial" w:hAnsi="Arial"/>
          <w:sz w:val="18"/>
          <w:szCs w:val="18"/>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we would have no right to prevent such competitor from using that technology or information to compete with us, which could harm our competitive position. If we are unable to prevent material disclosure of the intellectual property related to our technologies to third parties, we will not be able to establish or maintain a competitive advantage in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0" w:name="page61"/>
    <w:bookmarkEnd w:id="60"/>
    <w:p>
      <w:pPr>
        <w:spacing w:after="0" w:line="269" w:lineRule="auto"/>
        <w:rPr>
          <w:sz w:val="20"/>
          <w:szCs w:val="20"/>
          <w:color w:val="auto"/>
        </w:rPr>
      </w:pPr>
      <w:r>
        <w:rPr>
          <w:rFonts w:ascii="Arial" w:cs="Arial" w:eastAsia="Arial" w:hAnsi="Arial"/>
          <w:sz w:val="18"/>
          <w:szCs w:val="18"/>
          <w:color w:val="auto"/>
        </w:rPr>
        <w:t>our market, which could materially adversely affect our business, results of operations and financial condition. Even if we are able to adequately protect our trade secrets and proprietary information, our trade secrets could otherwise become known or could be independently discovered by our competitors. Competitors could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in the absence of patent protection, we would have no right to prevent them, or those to whom they communicate, from using that technology or information to compete with us. If our trade secrets are not adequately protected so as to protect our market against competitors’ products, others may be able to exploit our product candidates and discovery technologies to identify and develop competing product candidates, and thus our competitive position could be adversely affected, as could our business.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terms of our patents may not protect our competitive position on our product candidates for an adequate amount of time.</w:t>
      </w:r>
    </w:p>
    <w:p>
      <w:pPr>
        <w:spacing w:after="0" w:line="131" w:lineRule="exact"/>
        <w:rPr>
          <w:sz w:val="20"/>
          <w:szCs w:val="20"/>
          <w:color w:val="auto"/>
        </w:rPr>
      </w:pPr>
    </w:p>
    <w:p>
      <w:pPr>
        <w:ind w:right="20" w:firstLine="509"/>
        <w:spacing w:after="0" w:line="308"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after its earliest U.S. non-provisional effective filing date. Although various extensions may be available, the life of a patent, and the protection it affords, is limited. Even if patents covering our technologies or product candidates are obtained, once the patent life has expired, we may be open to competition. Our issued patents will expire on dates ranging from 2030 to 2037, subject to any additional patent extensions that may be available for such patents. If patents are issued on our pending patent applications, the resulting patents are projected to expire on dates ranging from 2030 to 2041 plus any potential patent extensions that may be available for such patents. Due to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31" w:lineRule="exact"/>
        <w:rPr>
          <w:sz w:val="20"/>
          <w:szCs w:val="20"/>
          <w:color w:val="auto"/>
        </w:rPr>
      </w:pPr>
    </w:p>
    <w:p>
      <w:pPr>
        <w:ind w:right="20" w:firstLine="509"/>
        <w:spacing w:after="0" w:line="285" w:lineRule="auto"/>
        <w:rPr>
          <w:sz w:val="20"/>
          <w:szCs w:val="20"/>
          <w:color w:val="auto"/>
        </w:rPr>
      </w:pPr>
      <w:r>
        <w:rPr>
          <w:rFonts w:ascii="Arial" w:cs="Arial" w:eastAsia="Arial" w:hAnsi="Arial"/>
          <w:sz w:val="17"/>
          <w:szCs w:val="17"/>
          <w:color w:val="auto"/>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90"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62" w:lineRule="exact"/>
        <w:rPr>
          <w:sz w:val="20"/>
          <w:szCs w:val="20"/>
          <w:color w:val="auto"/>
        </w:rPr>
      </w:pPr>
    </w:p>
    <w:p>
      <w:pPr>
        <w:ind w:right="20" w:firstLine="509"/>
        <w:spacing w:after="0" w:line="268" w:lineRule="auto"/>
        <w:rPr>
          <w:sz w:val="20"/>
          <w:szCs w:val="20"/>
          <w:color w:val="auto"/>
        </w:rPr>
      </w:pPr>
      <w:r>
        <w:rPr>
          <w:rFonts w:ascii="Arial" w:cs="Arial" w:eastAsia="Arial" w:hAnsi="Arial"/>
          <w:sz w:val="18"/>
          <w:szCs w:val="18"/>
          <w:color w:val="auto"/>
        </w:rPr>
        <w:t>In September 2011, the Leahy-Smith America Invents Act, or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another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render our technology to be patentable over the prior art. Since patent applications in the United States and most other countries are confidential for a period of time after filing or until issuance, we cannot be certain that we were the first to either (i) file any patent application related to our product candidates or (ii) invent any of the inventions claimed in our patents or patent applications.</w:t>
      </w:r>
    </w:p>
    <w:p>
      <w:pPr>
        <w:spacing w:after="0" w:line="198" w:lineRule="exact"/>
        <w:rPr>
          <w:sz w:val="20"/>
          <w:szCs w:val="20"/>
          <w:color w:val="auto"/>
        </w:rPr>
      </w:pPr>
    </w:p>
    <w:p>
      <w:pPr>
        <w:ind w:right="240" w:firstLine="509"/>
        <w:spacing w:after="0" w:line="266"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the provision of additional procedures to attack the validity of a patent by USPTO administered post-grant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1" w:name="page62"/>
    <w:bookmarkEnd w:id="61"/>
    <w:p>
      <w:pPr>
        <w:ind w:right="240"/>
        <w:spacing w:after="0" w:line="293" w:lineRule="auto"/>
        <w:rPr>
          <w:sz w:val="20"/>
          <w:szCs w:val="20"/>
          <w:color w:val="auto"/>
        </w:rPr>
      </w:pPr>
      <w:r>
        <w:rPr>
          <w:rFonts w:ascii="Arial" w:cs="Arial" w:eastAsia="Arial" w:hAnsi="Arial"/>
          <w:sz w:val="18"/>
          <w:szCs w:val="18"/>
          <w:color w:val="auto"/>
        </w:rPr>
        <w:t>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70"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Because of the application of a lower evidentiary standard in USPTO proceedings compared to the evidentiary standard applied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patent claims that would not have been invalidated if first challenged by the third party as a defendant in a district court action. Thus, the Leahy-Smith Act and its implementation could increase the uncertainties and costs surrounding the prosecution and defense of our or our licensors’ patent applications and the enforcement or defense of our issued patents, all of which could have a material adverse effect on our business, financial condition, results of operations and prospects.</w:t>
      </w:r>
    </w:p>
    <w:p>
      <w:pPr>
        <w:spacing w:after="0" w:line="289" w:lineRule="exact"/>
        <w:rPr>
          <w:sz w:val="20"/>
          <w:szCs w:val="20"/>
          <w:color w:val="auto"/>
        </w:rPr>
      </w:pPr>
    </w:p>
    <w:p>
      <w:pPr>
        <w:ind w:right="480"/>
        <w:spacing w:after="0" w:line="293"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62" w:lineRule="exact"/>
        <w:rPr>
          <w:sz w:val="20"/>
          <w:szCs w:val="20"/>
          <w:color w:val="auto"/>
        </w:rPr>
      </w:pPr>
    </w:p>
    <w:p>
      <w:pPr>
        <w:ind w:right="40" w:firstLine="509"/>
        <w:spacing w:after="0" w:line="270"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93" w:lineRule="exact"/>
        <w:rPr>
          <w:sz w:val="20"/>
          <w:szCs w:val="20"/>
          <w:color w:val="auto"/>
        </w:rPr>
      </w:pPr>
    </w:p>
    <w:p>
      <w:pPr>
        <w:ind w:right="20" w:firstLine="509"/>
        <w:spacing w:after="0" w:line="290" w:lineRule="auto"/>
        <w:rPr>
          <w:sz w:val="20"/>
          <w:szCs w:val="20"/>
          <w:color w:val="auto"/>
        </w:rPr>
      </w:pPr>
      <w:r>
        <w:rPr>
          <w:rFonts w:ascii="Arial" w:cs="Arial" w:eastAsia="Arial" w:hAnsi="Arial"/>
          <w:sz w:val="17"/>
          <w:szCs w:val="17"/>
          <w:color w:val="auto"/>
        </w:rPr>
        <w:t>For example, the U.S. Supreme Court has ruled on several patent cases in recent years, sometimes narrowing the scope of patent protection available in certain circumstances, weakening the rights of patent owners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spacing w:after="0" w:line="284" w:lineRule="exact"/>
        <w:rPr>
          <w:sz w:val="20"/>
          <w:szCs w:val="20"/>
          <w:color w:val="auto"/>
        </w:rPr>
      </w:pPr>
    </w:p>
    <w:p>
      <w:pPr>
        <w:ind w:right="300"/>
        <w:spacing w:after="0" w:line="293" w:lineRule="auto"/>
        <w:rPr>
          <w:sz w:val="20"/>
          <w:szCs w:val="20"/>
          <w:color w:val="auto"/>
        </w:rPr>
      </w:pPr>
      <w:r>
        <w:rPr>
          <w:rFonts w:ascii="Arial" w:cs="Arial" w:eastAsia="Arial" w:hAnsi="Arial"/>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62"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CAB therapeutics are a new scientific field. We have obtained grants and issuances of CAB therapeutic patents and the various technologies used in discovering and producing CAB therapeutic proteins.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 portfolio of patents, patent applications and other intellectual property covering CAB compositions of matter as well as their development and methods of use.</w:t>
      </w:r>
    </w:p>
    <w:p>
      <w:pPr>
        <w:spacing w:after="0" w:line="174"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91" w:lineRule="exact"/>
        <w:rPr>
          <w:sz w:val="20"/>
          <w:szCs w:val="20"/>
          <w:color w:val="auto"/>
        </w:rPr>
      </w:pPr>
    </w:p>
    <w:p>
      <w:pPr>
        <w:ind w:right="80" w:firstLine="509"/>
        <w:spacing w:after="0" w:line="266" w:lineRule="auto"/>
        <w:rPr>
          <w:sz w:val="20"/>
          <w:szCs w:val="20"/>
          <w:color w:val="auto"/>
        </w:rPr>
      </w:pPr>
      <w:r>
        <w:rPr>
          <w:rFonts w:ascii="Arial" w:cs="Arial" w:eastAsia="Arial" w:hAnsi="Arial"/>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CAB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2" w:name="page63"/>
    <w:bookmarkEnd w:id="62"/>
    <w:p>
      <w:pPr>
        <w:jc w:val="both"/>
        <w:ind w:right="60"/>
        <w:spacing w:after="0" w:line="329" w:lineRule="auto"/>
        <w:rPr>
          <w:sz w:val="20"/>
          <w:szCs w:val="20"/>
          <w:color w:val="auto"/>
        </w:rPr>
      </w:pPr>
      <w:r>
        <w:rPr>
          <w:rFonts w:ascii="Arial" w:cs="Arial" w:eastAsia="Arial" w:hAnsi="Arial"/>
          <w:sz w:val="16"/>
          <w:szCs w:val="16"/>
          <w:b w:val="1"/>
          <w:bCs w:val="1"/>
          <w:i w:val="1"/>
          <w:iCs w:val="1"/>
          <w:color w:val="auto"/>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 Such litigation or licenses could be costly or not available on commercially reasonable terms.</w:t>
      </w:r>
    </w:p>
    <w:p>
      <w:pPr>
        <w:spacing w:after="0" w:line="40"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 xml:space="preserve">Our commercial success depends in part on our ability to develop, manufacture, market and sell our product candidates and use our proprietary technologies without infringing or otherwise violating the patents and proprietary rights of third parties. There is a substantial amount of litigation involving patent and other intellectual property rights in the biotechnology and pharmaceutical industries, including patent infringement lawsuits, interferences, derivation proceedings, post grant reviews,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and reexamination proceedings before the USPTO or oppositions and other comparable proceedings in foreign jurisdictions. Given the vast number of patents in our field of technology, we cannot assure you that marketing of our product candidates or practice of our technologies will not infringe existing patents or patents that may be granted in the future. Because the antibody landscape is still evolving and the CAB antibody landscape is a new field, it is difficult to conclusively assess our freedom to operate without infringing on third-party rights. There are numerous companies that have pending patent applications and issued patents broadly covering many aspects of antibodies generally or covering antibodies directed against the same targets as, or targets similar to, those we are pursuing. Our competitive position may suffer if patents issued to third parties or other third-party intellectual property rights cover our products or product candidates or elements thereof, or our manufacture or uses relevant to our development plans. If any third-party patents were held by a court of competent jurisdiction to cover the manufacturing process of any of our product candidates, any molecules formed during the manufacturing process or any final product or formulation itself, the holders of any such patents may be able to block our ability to commercialize such product candidate.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Parties making claims against us may obtain injunctive or other equitable relief, which could effectively block our ability to further practice our technologies or develop and commercialize one or more of our product candidates. There may be issued patents of which we are not aware, held by third parties that, if found to be valid and enforceable, could be alleged to be infringed by our CAB technologies. There also may be pending patent applications of which we are not aware that may result in issued patents, which could be alleged to be infringed by our CAB technologies. If such an infringement claim should be brought and be successful, we may be required to pay substantial damages, be forced to abandon our product candidates or seek a license from any patent holders, and would most likely be required to pay license fees or royalties or both, each of which could be substantial. No assurances can be given that a license will be available on commercially reasonable terms, if at all. Even if we were able to obtain a license, the rights we obtain may be nonexclusive, which would provide our competitors access to the same intellectual property rights upon which we are forced to rely. As the biotechnology and pharmaceutical industries expand and more patents are issued, the risk increases that our product candidates or technologies may give rise to claims of infringement of the patent rights of others.</w:t>
      </w:r>
    </w:p>
    <w:p>
      <w:pPr>
        <w:spacing w:after="0" w:line="200" w:lineRule="exact"/>
        <w:rPr>
          <w:sz w:val="20"/>
          <w:szCs w:val="20"/>
          <w:color w:val="auto"/>
        </w:rPr>
      </w:pPr>
    </w:p>
    <w:p>
      <w:pPr>
        <w:spacing w:after="0" w:line="216" w:lineRule="exact"/>
        <w:rPr>
          <w:sz w:val="20"/>
          <w:szCs w:val="20"/>
          <w:color w:val="auto"/>
        </w:rPr>
      </w:pPr>
    </w:p>
    <w:p>
      <w:pPr>
        <w:ind w:firstLine="509"/>
        <w:spacing w:after="0" w:line="281" w:lineRule="auto"/>
        <w:rPr>
          <w:sz w:val="20"/>
          <w:szCs w:val="20"/>
          <w:color w:val="auto"/>
        </w:rPr>
      </w:pPr>
      <w:r>
        <w:rPr>
          <w:rFonts w:ascii="Arial" w:cs="Arial" w:eastAsia="Arial" w:hAnsi="Arial"/>
          <w:sz w:val="17"/>
          <w:szCs w:val="17"/>
          <w:color w:val="auto"/>
        </w:rPr>
        <w:t>We or our collaboration partner, or any future strategic partners may be subject to third-party claims for infringement or misappropriation of patent or other proprietary rights. 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existing or future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w:t>
      </w:r>
    </w:p>
    <w:p>
      <w:pPr>
        <w:spacing w:after="0" w:line="7" w:lineRule="exact"/>
        <w:rPr>
          <w:sz w:val="20"/>
          <w:szCs w:val="20"/>
          <w:color w:val="auto"/>
        </w:rPr>
      </w:pPr>
    </w:p>
    <w:p>
      <w:pPr>
        <w:jc w:val="both"/>
        <w:ind w:right="140"/>
        <w:spacing w:after="0" w:line="295" w:lineRule="auto"/>
        <w:rPr>
          <w:sz w:val="20"/>
          <w:szCs w:val="20"/>
          <w:color w:val="auto"/>
        </w:rPr>
      </w:pPr>
      <w:r>
        <w:rPr>
          <w:rFonts w:ascii="Arial" w:cs="Arial" w:eastAsia="Arial" w:hAnsi="Arial"/>
          <w:sz w:val="17"/>
          <w:szCs w:val="17"/>
          <w:color w:val="auto"/>
        </w:rPr>
        <w:t>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280"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62" w:lineRule="exact"/>
        <w:rPr>
          <w:sz w:val="20"/>
          <w:szCs w:val="20"/>
          <w:color w:val="auto"/>
        </w:rPr>
      </w:pPr>
    </w:p>
    <w:p>
      <w:pPr>
        <w:ind w:right="260" w:firstLine="509"/>
        <w:spacing w:after="0" w:line="299" w:lineRule="auto"/>
        <w:rPr>
          <w:sz w:val="20"/>
          <w:szCs w:val="20"/>
          <w:color w:val="auto"/>
        </w:rPr>
      </w:pPr>
      <w:r>
        <w:rPr>
          <w:rFonts w:ascii="Arial" w:cs="Arial" w:eastAsia="Arial" w:hAnsi="Arial"/>
          <w:sz w:val="16"/>
          <w:szCs w:val="16"/>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candidates or technologies could have been filed by others without our knowledge. Additionally, pending patent</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63" w:name="page64"/>
    <w:bookmarkEnd w:id="63"/>
    <w:p>
      <w:pPr>
        <w:spacing w:after="0" w:line="269" w:lineRule="auto"/>
        <w:rPr>
          <w:sz w:val="20"/>
          <w:szCs w:val="20"/>
          <w:color w:val="auto"/>
        </w:rPr>
      </w:pPr>
      <w:r>
        <w:rPr>
          <w:rFonts w:ascii="Arial" w:cs="Arial" w:eastAsia="Arial" w:hAnsi="Arial"/>
          <w:sz w:val="18"/>
          <w:szCs w:val="18"/>
          <w:color w:val="auto"/>
        </w:rPr>
        <w:t>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even if we have received patent protection for our technologies and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w:t>
      </w:r>
    </w:p>
    <w:p>
      <w:pPr>
        <w:spacing w:after="0" w:line="196" w:lineRule="exact"/>
        <w:rPr>
          <w:sz w:val="20"/>
          <w:szCs w:val="20"/>
          <w:color w:val="auto"/>
        </w:rPr>
      </w:pPr>
    </w:p>
    <w:p>
      <w:pPr>
        <w:ind w:right="40" w:firstLine="509"/>
        <w:spacing w:after="0" w:line="309" w:lineRule="auto"/>
        <w:rPr>
          <w:sz w:val="20"/>
          <w:szCs w:val="20"/>
          <w:color w:val="auto"/>
        </w:rPr>
      </w:pPr>
      <w:r>
        <w:rPr>
          <w:rFonts w:ascii="Arial" w:cs="Arial" w:eastAsia="Arial" w:hAnsi="Arial"/>
          <w:sz w:val="16"/>
          <w:szCs w:val="16"/>
          <w:color w:val="auto"/>
        </w:rPr>
        <w:t>If we fail to identify and correctly interpret relevant patents, we may be subject to infringement claims.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or our technologies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31"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We may also be subject to claims that former employees, collaborators or other third parties have an ownership interest in our patents or other intellectual property. We may have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71" w:lineRule="exact"/>
        <w:rPr>
          <w:sz w:val="20"/>
          <w:szCs w:val="20"/>
          <w:color w:val="auto"/>
        </w:rPr>
      </w:pPr>
    </w:p>
    <w:p>
      <w:pPr>
        <w:ind w:right="220"/>
        <w:spacing w:after="0" w:line="279"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 and issued patents covering our product candidates could be found invalid or unenforceable if challenged in court in the United States and abroad.</w:t>
      </w:r>
    </w:p>
    <w:p>
      <w:pPr>
        <w:spacing w:after="0" w:line="75"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6"/>
          <w:szCs w:val="16"/>
          <w:color w:val="auto"/>
        </w:rPr>
        <w:t>Competitors may infringe our patents or the patents of our licensors. If we were to initiate legal proceedings against a third party to enforce a patent covering one of our products or our technology, the defendant could counterclaim that our patent is invalid or unenforceable, or the court may refuse to stop the defendant in such infringement proceeding from using the technology at issue on the grounds that our patents do not cover the technology in question.</w:t>
      </w:r>
    </w:p>
    <w:p>
      <w:pPr>
        <w:spacing w:after="0" w:line="2"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In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our patents or other intellectual property rights.</w:t>
      </w:r>
    </w:p>
    <w:p>
      <w:pPr>
        <w:spacing w:after="0" w:line="190" w:lineRule="exact"/>
        <w:rPr>
          <w:sz w:val="20"/>
          <w:szCs w:val="20"/>
          <w:color w:val="auto"/>
        </w:rPr>
      </w:pPr>
    </w:p>
    <w:p>
      <w:pPr>
        <w:ind w:right="180" w:firstLine="509"/>
        <w:spacing w:after="0" w:line="314" w:lineRule="auto"/>
        <w:rPr>
          <w:sz w:val="20"/>
          <w:szCs w:val="20"/>
          <w:color w:val="auto"/>
        </w:rPr>
      </w:pPr>
      <w:r>
        <w:rPr>
          <w:rFonts w:ascii="Arial" w:cs="Arial" w:eastAsia="Arial" w:hAnsi="Arial"/>
          <w:sz w:val="16"/>
          <w:szCs w:val="16"/>
          <w:color w:val="auto"/>
        </w:rPr>
        <w:t>Interference or derivation proceedings provoked by third parties or brought by us, the USPTO or any foreign patent authority may be necessary to determine the priority and/or ownership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w:t>
      </w:r>
    </w:p>
    <w:p>
      <w:pPr>
        <w:spacing w:after="0" w:line="160" w:lineRule="exact"/>
        <w:rPr>
          <w:sz w:val="20"/>
          <w:szCs w:val="20"/>
          <w:color w:val="auto"/>
        </w:rPr>
      </w:pPr>
    </w:p>
    <w:p>
      <w:pPr>
        <w:ind w:right="220" w:firstLine="509"/>
        <w:spacing w:after="0" w:line="266" w:lineRule="auto"/>
        <w:rPr>
          <w:sz w:val="20"/>
          <w:szCs w:val="20"/>
          <w:color w:val="auto"/>
        </w:rPr>
      </w:pPr>
      <w:r>
        <w:rPr>
          <w:rFonts w:ascii="Arial" w:cs="Arial" w:eastAsia="Arial" w:hAnsi="Arial"/>
          <w:sz w:val="18"/>
          <w:szCs w:val="18"/>
          <w:color w:val="auto"/>
        </w:rPr>
        <w:t>We may not be able to prevent, alone or with our licensors, misappropriation of our intellectual property, trade secrets or confidential information, particularly in countries where the laws may not protect those rights as fully as in the United States. Furthermore, because of the substantial amount of discovery required in connection with intellectual property litigation, there is a risk that some of our confidential information could be compromised by disclosure during this type of litigation. In addition, there could be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4" w:name="page65"/>
    <w:bookmarkEnd w:id="64"/>
    <w:p>
      <w:pPr>
        <w:ind w:right="280"/>
        <w:spacing w:after="0" w:line="293" w:lineRule="auto"/>
        <w:rPr>
          <w:sz w:val="20"/>
          <w:szCs w:val="20"/>
          <w:color w:val="auto"/>
        </w:rPr>
      </w:pPr>
      <w:r>
        <w:rPr>
          <w:rFonts w:ascii="Arial" w:cs="Arial" w:eastAsia="Arial" w:hAnsi="Arial"/>
          <w:sz w:val="18"/>
          <w:szCs w:val="18"/>
          <w:color w:val="auto"/>
        </w:rPr>
        <w:t>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31" w:lineRule="exact"/>
        <w:rPr>
          <w:sz w:val="20"/>
          <w:szCs w:val="20"/>
          <w:color w:val="auto"/>
        </w:rPr>
      </w:pPr>
    </w:p>
    <w:p>
      <w:pPr>
        <w:ind w:right="60" w:firstLine="509"/>
        <w:spacing w:after="0" w:line="304" w:lineRule="auto"/>
        <w:rPr>
          <w:sz w:val="20"/>
          <w:szCs w:val="20"/>
          <w:color w:val="auto"/>
        </w:rPr>
      </w:pPr>
      <w:r>
        <w:rPr>
          <w:rFonts w:ascii="Arial" w:cs="Arial" w:eastAsia="Arial" w:hAnsi="Arial"/>
          <w:sz w:val="16"/>
          <w:szCs w:val="16"/>
          <w:color w:val="auto"/>
        </w:rPr>
        <w:t>Obtaining a valid and enforceable issued or granted patent covering our technology in the United States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in certain jurisdictions. Proceedings to enforce our patent rights in foreign jurisdictions, regardless of whether they are successful, could result in substantial cost and divert our efforts and attention from other aspects of our business.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w:t>
      </w:r>
    </w:p>
    <w:p>
      <w:pPr>
        <w:spacing w:after="0" w:line="173" w:lineRule="exact"/>
        <w:rPr>
          <w:sz w:val="20"/>
          <w:szCs w:val="20"/>
          <w:color w:val="auto"/>
        </w:rPr>
      </w:pPr>
    </w:p>
    <w:p>
      <w:pPr>
        <w:ind w:right="60" w:firstLine="509"/>
        <w:spacing w:after="0" w:line="285" w:lineRule="auto"/>
        <w:rPr>
          <w:sz w:val="20"/>
          <w:szCs w:val="20"/>
          <w:color w:val="auto"/>
        </w:rPr>
      </w:pPr>
      <w:r>
        <w:rPr>
          <w:rFonts w:ascii="Arial" w:cs="Arial" w:eastAsia="Arial" w:hAnsi="Arial"/>
          <w:sz w:val="17"/>
          <w:szCs w:val="17"/>
          <w:color w:val="auto"/>
        </w:rPr>
        <w:t xml:space="preserve">We generally file a provisional patent application first (a priority filing) at the USPTO. An international application under the Patent Cooperation Treaty, or PCT, is usually filed within 12 months after the priority filing. Based on the PCT filing, national and regional patent applications may be filed in the United States, Europe, Japan, Australia and Canada and, depending on the individual case, also in any or all of, </w:t>
      </w:r>
      <w:r>
        <w:rPr>
          <w:rFonts w:ascii="Arial" w:cs="Arial" w:eastAsia="Arial" w:hAnsi="Arial"/>
          <w:sz w:val="17"/>
          <w:szCs w:val="17"/>
          <w:i w:val="1"/>
          <w:iCs w:val="1"/>
          <w:color w:val="auto"/>
        </w:rPr>
        <w:t>inter alia</w:t>
      </w:r>
      <w:r>
        <w:rPr>
          <w:rFonts w:ascii="Arial" w:cs="Arial" w:eastAsia="Arial" w:hAnsi="Arial"/>
          <w:sz w:val="17"/>
          <w:szCs w:val="17"/>
          <w:color w:val="auto"/>
        </w:rPr>
        <w:t>, Brazil, China, Hong Kong, India, Israel, Mexico, New Zealand, Russia,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in other jurisdictions. It is also quite common that depending on the country, various scopes of patent protection may be granted on the same product candidate or technology.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w:t>
      </w:r>
    </w:p>
    <w:p>
      <w:pPr>
        <w:spacing w:after="0" w:line="185"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The laws of some jurisdictions do not protect intellectual property rights to the same extent as the laws in the United States, and many companies have encountered significant difficulties in protecting and defending such rights in such jurisdictions. The requirements for patentability differ, in varying degrees, from country to country, and the laws of some foreign countries do not protect intellectual property rights, including trade secrets, to the same extent as federal and state laws of the United States.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42" w:lineRule="exact"/>
        <w:rPr>
          <w:sz w:val="20"/>
          <w:szCs w:val="20"/>
          <w:color w:val="auto"/>
        </w:rPr>
      </w:pPr>
    </w:p>
    <w:p>
      <w:pPr>
        <w:ind w:firstLine="509"/>
        <w:spacing w:after="0" w:line="299"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5" w:name="page66"/>
    <w:bookmarkEnd w:id="65"/>
    <w:p>
      <w:pPr>
        <w:ind w:right="140" w:firstLine="509"/>
        <w:spacing w:after="0" w:line="292"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82" w:lineRule="exact"/>
        <w:rPr>
          <w:sz w:val="20"/>
          <w:szCs w:val="20"/>
          <w:color w:val="auto"/>
        </w:rPr>
      </w:pPr>
    </w:p>
    <w:p>
      <w:pPr>
        <w:ind w:right="40"/>
        <w:spacing w:after="0" w:line="394" w:lineRule="auto"/>
        <w:rPr>
          <w:sz w:val="20"/>
          <w:szCs w:val="20"/>
          <w:color w:val="auto"/>
        </w:rPr>
      </w:pPr>
      <w:r>
        <w:rPr>
          <w:rFonts w:ascii="Arial" w:cs="Arial" w:eastAsia="Arial" w:hAnsi="Arial"/>
          <w:sz w:val="15"/>
          <w:szCs w:val="15"/>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product candidates or we could lose certain rights to grant sublicenses.</w:t>
      </w:r>
    </w:p>
    <w:p>
      <w:pPr>
        <w:spacing w:after="0" w:line="1"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Our current and any future collaboration agreements or license agreements we enter into are likely to impose various development, commercialization, funding, milestone, royalty, diligence, sublicensing, insurance, patent prosecution and enforcement and/or other obligations on us.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42" w:lineRule="exact"/>
        <w:rPr>
          <w:sz w:val="20"/>
          <w:szCs w:val="20"/>
          <w:color w:val="auto"/>
        </w:rPr>
      </w:pPr>
    </w:p>
    <w:p>
      <w:pPr>
        <w:ind w:right="80" w:firstLine="509"/>
        <w:spacing w:after="0" w:line="305" w:lineRule="auto"/>
        <w:rPr>
          <w:sz w:val="20"/>
          <w:szCs w:val="20"/>
          <w:color w:val="auto"/>
        </w:rPr>
      </w:pPr>
      <w:r>
        <w:rPr>
          <w:rFonts w:ascii="Arial" w:cs="Arial" w:eastAsia="Arial" w:hAnsi="Arial"/>
          <w:sz w:val="16"/>
          <w:szCs w:val="16"/>
          <w:color w:val="auto"/>
        </w:rPr>
        <w:t>We may find that our programs require the use of proprietary rights held by third parties, and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also may be unable to license or acquire third-party intellectual property rights on terms that that would be favorable to us or would allow us to make an appropriate return on our investment. Even if we are able to obtain a license to intellectual property of interest, we may not be able to secure exclusive rights, in which case others could use the same rights and compete with us.</w:t>
      </w:r>
    </w:p>
    <w:p>
      <w:pPr>
        <w:spacing w:after="0" w:line="277" w:lineRule="exact"/>
        <w:rPr>
          <w:sz w:val="20"/>
          <w:szCs w:val="20"/>
          <w:color w:val="auto"/>
        </w:rPr>
      </w:pPr>
    </w:p>
    <w:p>
      <w:pPr>
        <w:ind w:right="500"/>
        <w:spacing w:after="0" w:line="279"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5" w:lineRule="exact"/>
        <w:rPr>
          <w:sz w:val="20"/>
          <w:szCs w:val="20"/>
          <w:color w:val="auto"/>
        </w:rPr>
      </w:pPr>
    </w:p>
    <w:p>
      <w:pPr>
        <w:ind w:right="40" w:firstLine="509"/>
        <w:spacing w:after="0" w:line="299"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law firms and other professionals and rely on such third parties to help us comply with these requirements and effect payment of these fees with respect to the patents and patent applications that we own, and if we in-license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time-consuming, expensive and sometimes unpredictable.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6" w:name="page67"/>
    <w:bookmarkEnd w:id="66"/>
    <w:p>
      <w:pPr>
        <w:ind w:right="380"/>
        <w:spacing w:after="0" w:line="303"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56" w:lineRule="exact"/>
        <w:rPr>
          <w:sz w:val="20"/>
          <w:szCs w:val="20"/>
          <w:color w:val="auto"/>
        </w:rPr>
      </w:pPr>
    </w:p>
    <w:p>
      <w:pPr>
        <w:ind w:right="80" w:firstLine="509"/>
        <w:spacing w:after="0" w:line="270" w:lineRule="auto"/>
        <w:rPr>
          <w:sz w:val="20"/>
          <w:szCs w:val="20"/>
          <w:color w:val="auto"/>
        </w:rPr>
      </w:pPr>
      <w:r>
        <w:rPr>
          <w:rFonts w:ascii="Arial" w:cs="Arial" w:eastAsia="Arial" w:hAnsi="Arial"/>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301"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Our trademarks or trade names may be challenged, infringed, circumvented, declared generic or determined to be infringing on other marks. We only have one currently registered trademark, and rely on common law protection for the rest of our trademarks.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35"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b w:val="1"/>
          <w:bCs w:val="1"/>
          <w:i w:val="1"/>
          <w:iCs w:val="1"/>
          <w:color w:val="auto"/>
        </w:rPr>
        <w:t>Our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560" w:firstLine="509"/>
        <w:spacing w:after="0" w:line="293" w:lineRule="auto"/>
        <w:rPr>
          <w:sz w:val="20"/>
          <w:szCs w:val="20"/>
          <w:color w:val="auto"/>
        </w:rPr>
      </w:pPr>
      <w:r>
        <w:rPr>
          <w:rFonts w:ascii="Arial" w:cs="Arial" w:eastAsia="Arial" w:hAnsi="Arial"/>
          <w:sz w:val="18"/>
          <w:szCs w:val="18"/>
          <w:color w:val="auto"/>
        </w:rPr>
        <w:t>We expect our operating results to be subject to annual and quarterly fluctuations. Our net loss and other operating results will be affected by numerous factors, including:</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variations in the level of expense related to the ongoing development of our product candidates or future development programs;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results of preclinical studies and clinical trials, or the addition or termination of clinical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success of our existing collaborations and any potential additional collaborations, licensing or similar arrangements;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14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additions and departures of key personnel;</w:t>
      </w:r>
    </w:p>
    <w:p>
      <w:pPr>
        <w:spacing w:after="0" w:line="131" w:lineRule="exact"/>
        <w:rPr>
          <w:sz w:val="20"/>
          <w:szCs w:val="20"/>
          <w:color w:val="auto"/>
        </w:rPr>
      </w:pPr>
    </w:p>
    <w:p>
      <w:pPr>
        <w:ind w:left="960" w:right="280"/>
        <w:spacing w:after="0" w:line="293" w:lineRule="auto"/>
        <w:rPr>
          <w:sz w:val="20"/>
          <w:szCs w:val="20"/>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sz w:val="20"/>
          <w:szCs w:val="20"/>
          <w:color w:val="auto"/>
        </w:rPr>
      </w:pPr>
    </w:p>
    <w:p>
      <w:pPr>
        <w:ind w:left="960" w:right="60"/>
        <w:spacing w:after="0" w:line="293" w:lineRule="auto"/>
        <w:rPr>
          <w:sz w:val="20"/>
          <w:szCs w:val="20"/>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62" w:lineRule="exact"/>
        <w:rPr>
          <w:sz w:val="20"/>
          <w:szCs w:val="20"/>
          <w:color w:val="auto"/>
        </w:rPr>
      </w:pPr>
    </w:p>
    <w:p>
      <w:pPr>
        <w:ind w:left="960" w:right="3760"/>
        <w:spacing w:after="0" w:line="418" w:lineRule="auto"/>
        <w:rPr>
          <w:sz w:val="20"/>
          <w:szCs w:val="20"/>
          <w:color w:val="auto"/>
        </w:rPr>
      </w:pPr>
      <w:r>
        <w:rPr>
          <w:rFonts w:ascii="Arial" w:cs="Arial" w:eastAsia="Arial" w:hAnsi="Arial"/>
          <w:sz w:val="18"/>
          <w:szCs w:val="18"/>
          <w:color w:val="auto"/>
        </w:rPr>
        <w:t>regulatory developments affecting our product candidates or those of our competitors; and changes in general market and economic conditions.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our operating results fall below the expectations of investors or securities analysts, the price of our common stock could decline substantially.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Furthermore, any fluctuations in our operating results may, in turn, cause the price of our stock to fluctuate substantially.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Our stock price may be volatile, and you could lose all or part of your investment.</w:t>
      </w:r>
    </w:p>
    <w:p>
      <w:pPr>
        <w:spacing w:after="0" w:line="131" w:lineRule="exact"/>
        <w:rPr>
          <w:sz w:val="20"/>
          <w:szCs w:val="20"/>
          <w:color w:val="auto"/>
        </w:rPr>
      </w:pPr>
    </w:p>
    <w:p>
      <w:pPr>
        <w:ind w:right="420" w:firstLine="509"/>
        <w:spacing w:after="0" w:line="293" w:lineRule="auto"/>
        <w:rPr>
          <w:sz w:val="20"/>
          <w:szCs w:val="20"/>
          <w:color w:val="auto"/>
        </w:rPr>
      </w:pPr>
      <w:r>
        <w:rPr>
          <w:rFonts w:ascii="Arial" w:cs="Arial" w:eastAsia="Arial" w:hAnsi="Arial"/>
          <w:sz w:val="18"/>
          <w:szCs w:val="18"/>
          <w:color w:val="auto"/>
        </w:rPr>
        <w:t>The trading price of our common stock has been and is likely to continue to be highly volatile. The market price for our common stock may be influenced by many factors, including the other risks described in this section and the following:</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timing and results of our clinical trials or those of our competitors;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regulatory or legal developments in the United States and other countries, especially changes in laws or regulations applicable to our products;</w:t>
      </w:r>
    </w:p>
    <w:p>
      <w:pPr>
        <w:spacing w:after="0" w:line="15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success of competitive products or technologies;</w:t>
      </w:r>
    </w:p>
    <w:p>
      <w:pPr>
        <w:spacing w:after="0" w:line="131" w:lineRule="exact"/>
        <w:rPr>
          <w:sz w:val="20"/>
          <w:szCs w:val="20"/>
          <w:color w:val="auto"/>
        </w:rPr>
      </w:pPr>
    </w:p>
    <w:p>
      <w:pPr>
        <w:ind w:left="960" w:right="120"/>
        <w:spacing w:after="0" w:line="293" w:lineRule="auto"/>
        <w:rPr>
          <w:sz w:val="20"/>
          <w:szCs w:val="20"/>
          <w:color w:val="auto"/>
        </w:rPr>
      </w:pPr>
      <w:r>
        <w:rPr>
          <w:rFonts w:ascii="Arial" w:cs="Arial" w:eastAsia="Arial" w:hAnsi="Arial"/>
          <w:sz w:val="18"/>
          <w:szCs w:val="18"/>
          <w:color w:val="auto"/>
        </w:rPr>
        <w:t>introductions and announcements of new products by us, our current collaborator, our future collaborators or our competitors, and the timing of these introductions or announcements;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announcements of new collaboration agreements, or the restructuring or termination of current collaboration agreements;</w:t>
      </w:r>
    </w:p>
    <w:p>
      <w:pPr>
        <w:spacing w:after="0" w:line="131" w:lineRule="exact"/>
        <w:rPr>
          <w:sz w:val="20"/>
          <w:szCs w:val="20"/>
          <w:color w:val="auto"/>
        </w:rPr>
      </w:pPr>
    </w:p>
    <w:p>
      <w:pPr>
        <w:ind w:left="960" w:right="560"/>
        <w:spacing w:after="0" w:line="293" w:lineRule="auto"/>
        <w:rPr>
          <w:sz w:val="20"/>
          <w:szCs w:val="20"/>
          <w:color w:val="auto"/>
        </w:rPr>
      </w:pPr>
      <w:r>
        <w:rPr>
          <w:rFonts w:ascii="Arial" w:cs="Arial" w:eastAsia="Arial" w:hAnsi="Arial"/>
          <w:sz w:val="18"/>
          <w:szCs w:val="18"/>
          <w:color w:val="auto"/>
        </w:rPr>
        <w:t>actions taken by regulatory agencies with respect to our products, preclinical studies, clinical trials, manufacturing process or sales and marketing terms;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developments concerning any future collaborations, including those regarding manufacturing, supply and commercialization of our products;</w:t>
      </w:r>
    </w:p>
    <w:p>
      <w:pPr>
        <w:spacing w:after="0" w:line="15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market conditions in the pharmaceutical and biotechnology sectors;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42" w:lineRule="exact"/>
        <w:rPr>
          <w:sz w:val="20"/>
          <w:szCs w:val="20"/>
          <w:color w:val="auto"/>
        </w:rPr>
      </w:pPr>
    </w:p>
    <w:p>
      <w:pPr>
        <w:ind w:left="960" w:right="220"/>
        <w:spacing w:after="0" w:line="293" w:lineRule="auto"/>
        <w:rPr>
          <w:sz w:val="20"/>
          <w:szCs w:val="20"/>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or inability to raise additional capital and the terms on which we raise it;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recruitment or departure of key personnel;</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the structure of healthcare payment systems;</w:t>
      </w:r>
    </w:p>
    <w:p>
      <w:pPr>
        <w:spacing w:after="0" w:line="131" w:lineRule="exact"/>
        <w:rPr>
          <w:sz w:val="20"/>
          <w:szCs w:val="20"/>
          <w:color w:val="auto"/>
        </w:rPr>
      </w:pPr>
    </w:p>
    <w:p>
      <w:pPr>
        <w:ind w:left="960" w:right="200"/>
        <w:spacing w:after="0" w:line="293" w:lineRule="auto"/>
        <w:rPr>
          <w:sz w:val="20"/>
          <w:szCs w:val="20"/>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4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fluctuations in the valuation of companies perceived by investors to be comparable to us;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announcement and expectation of additional financing efforts;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speculation in the press or investment community;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trading volume of our common stock;</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sales of our common stock by us, our insiders or our other stockholders;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expiration of market stand-off or lock-up agreements;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concentrated ownership of our common stock;</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accounting principles;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terrorist acts, acts of war or periods of widespread civil unrest;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impact of any natural disasters or public health emergencies, such as the COVID-19 pandemic;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general economic, industry and market conditions.</w:t>
      </w:r>
    </w:p>
    <w:p>
      <w:pPr>
        <w:spacing w:after="0" w:line="239" w:lineRule="exact"/>
        <w:rPr>
          <w:sz w:val="20"/>
          <w:szCs w:val="20"/>
          <w:color w:val="auto"/>
        </w:rPr>
      </w:pPr>
    </w:p>
    <w:p>
      <w:pPr>
        <w:jc w:val="both"/>
        <w:ind w:right="520" w:firstLine="509"/>
        <w:spacing w:after="0" w:line="266" w:lineRule="auto"/>
        <w:rPr>
          <w:sz w:val="20"/>
          <w:szCs w:val="20"/>
          <w:color w:val="auto"/>
        </w:rPr>
      </w:pPr>
      <w:r>
        <w:rPr>
          <w:rFonts w:ascii="Arial" w:cs="Arial" w:eastAsia="Arial" w:hAnsi="Arial"/>
          <w:sz w:val="18"/>
          <w:szCs w:val="18"/>
          <w:color w:val="auto"/>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The future issuance of equity or of debt securities that are convertible into equity will dilute our share capital.</w:t>
      </w:r>
    </w:p>
    <w:p>
      <w:pPr>
        <w:spacing w:after="0" w:line="131" w:lineRule="exact"/>
        <w:rPr>
          <w:sz w:val="20"/>
          <w:szCs w:val="20"/>
          <w:color w:val="auto"/>
        </w:rPr>
      </w:pPr>
    </w:p>
    <w:p>
      <w:pPr>
        <w:ind w:right="120" w:firstLine="509"/>
        <w:spacing w:after="0" w:line="309" w:lineRule="auto"/>
        <w:rPr>
          <w:sz w:val="20"/>
          <w:szCs w:val="20"/>
          <w:color w:val="auto"/>
        </w:rPr>
      </w:pPr>
      <w:r>
        <w:rPr>
          <w:rFonts w:ascii="Arial" w:cs="Arial" w:eastAsia="Arial" w:hAnsi="Arial"/>
          <w:sz w:val="16"/>
          <w:szCs w:val="16"/>
          <w:color w:val="auto"/>
        </w:rPr>
        <w:t>We will need to raise additional capital in the future. To the extent we raise additional capital through the issuance of equity or convertible debt securities in the future, there will be further dilution to investors and the terms of these securities may include liquidation or other preferences that adversely affect our stockholders’ rights. Future issuances of our common stock or other equity securities, or the perception that such sales may occur, could adversely affect the trading price of our common stock and impair our ability to raise capital through future offerings of shares or equity securities. We may choose to raise additional capital through the issuance of equity or convertible debt securities due to market conditions or strategic considerations even if we believe we have sufficient funds for our current or future operating plans. No prediction can be made as to the effect, if any, that future sales of common stock or the availability of common stock for future sales will have on the trading price of our common stock.</w:t>
      </w:r>
    </w:p>
    <w:p>
      <w:pPr>
        <w:spacing w:after="0" w:line="272" w:lineRule="exact"/>
        <w:rPr>
          <w:sz w:val="20"/>
          <w:szCs w:val="20"/>
          <w:color w:val="auto"/>
        </w:rPr>
      </w:pPr>
    </w:p>
    <w:p>
      <w:pPr>
        <w:ind w:right="620"/>
        <w:spacing w:after="0" w:line="293" w:lineRule="auto"/>
        <w:rPr>
          <w:sz w:val="20"/>
          <w:szCs w:val="20"/>
          <w:color w:val="auto"/>
        </w:rPr>
      </w:pPr>
      <w:r>
        <w:rPr>
          <w:rFonts w:ascii="Arial" w:cs="Arial" w:eastAsia="Arial" w:hAnsi="Arial"/>
          <w:sz w:val="18"/>
          <w:szCs w:val="18"/>
          <w:b w:val="1"/>
          <w:bCs w:val="1"/>
          <w:i w:val="1"/>
          <w:iCs w:val="1"/>
          <w:color w:val="auto"/>
        </w:rPr>
        <w:t>The dual class structure of our common stock and the option of the holder of shares of our Class B common stock to convert into shares of our common stock may limit your ability to influence corporate matters.</w:t>
      </w:r>
    </w:p>
    <w:p>
      <w:pPr>
        <w:spacing w:after="0" w:line="62" w:lineRule="exact"/>
        <w:rPr>
          <w:sz w:val="20"/>
          <w:szCs w:val="20"/>
          <w:color w:val="auto"/>
        </w:rPr>
      </w:pPr>
    </w:p>
    <w:p>
      <w:pPr>
        <w:ind w:right="20" w:firstLine="509"/>
        <w:spacing w:after="0" w:line="269" w:lineRule="auto"/>
        <w:rPr>
          <w:sz w:val="20"/>
          <w:szCs w:val="20"/>
          <w:color w:val="auto"/>
        </w:rPr>
      </w:pPr>
      <w:r>
        <w:rPr>
          <w:rFonts w:ascii="Arial" w:cs="Arial" w:eastAsia="Arial" w:hAnsi="Arial"/>
          <w:sz w:val="18"/>
          <w:szCs w:val="18"/>
          <w:color w:val="auto"/>
        </w:rPr>
        <w:t>Our common stock has one vote per share, while our Class B common stock is non-voting. Nonetheless, each share of our Class B common stock may be converted at any time into one share of common stock at the option of its holder, subject to the limitations provided for in our amended and restated certificate of incorporation. Consequently, if holders of Class B common stock exercise their option to make this conversion, this will have the effect of increasing the relative voting power of those prior holders of our Class B common stock, and correspondingly decrease the voting power of the current holders of our common stock, which may limit your ability to influence corporate matters. Because our Class B common stock is generally non-voting, stockholders who own more than 10% of our Class B common stock and common stock overall but 10% or less of our common stock will not be required to report changes in their ownership from transactions in our Class B common stock pursuant to Section 16(a) of the Securities Exchange Act of 1934, as amended, or the Exchange Act, and would not be subject to the short-swing profit provisions of Section 16(b) of the Exchange Act. In addition, acquisitions of Class B common stock would not be subject to notification pursuant to the Hart-Scott-Rodino Antitrust Improvements Act of 1976, as amended.</w:t>
      </w:r>
    </w:p>
    <w:p>
      <w:pPr>
        <w:spacing w:after="0" w:line="299" w:lineRule="exact"/>
        <w:rPr>
          <w:sz w:val="20"/>
          <w:szCs w:val="20"/>
          <w:color w:val="auto"/>
        </w:rPr>
      </w:pPr>
    </w:p>
    <w:p>
      <w:pPr>
        <w:ind w:right="540"/>
        <w:spacing w:after="0" w:line="29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adverse or misleading research or reports regarding us, our business or our market, our stock price and trading volume could decline.</w:t>
      </w:r>
    </w:p>
    <w:p>
      <w:pPr>
        <w:spacing w:after="0" w:line="62"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our business or our market. If no or few securities or industry analysts commence or maintain coverage of us, the trading price for our stock would be negatively impacted.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9" w:lineRule="exact"/>
        <w:rPr>
          <w:sz w:val="20"/>
          <w:szCs w:val="20"/>
          <w:color w:val="auto"/>
        </w:rPr>
      </w:pPr>
    </w:p>
    <w:p>
      <w:pPr>
        <w:ind w:right="40"/>
        <w:spacing w:after="0" w:line="324"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spacing w:after="0" w:line="39"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As of September 30, 2021, executive officers and directors, together with holders of 5% or more of our outstanding common stock and their respective affiliates, beneficially own approximately 46.8% of our outstanding common stock. More specifically, Jay M. Short, Ph.D, our Chairman and Chief Executive Officer, together with his spouse, Carolyn Anderson Short, our former Chief of Intellectual Property and Strategy and Assistant Secretary, own 8.3%, of our outstanding common stock, as of September 30, 2021.</w:t>
      </w:r>
    </w:p>
    <w:p>
      <w:pPr>
        <w:spacing w:after="0" w:line="185" w:lineRule="exact"/>
        <w:rPr>
          <w:sz w:val="20"/>
          <w:szCs w:val="20"/>
          <w:color w:val="auto"/>
        </w:rPr>
      </w:pPr>
    </w:p>
    <w:p>
      <w:pPr>
        <w:ind w:firstLine="509"/>
        <w:spacing w:after="0" w:line="288" w:lineRule="auto"/>
        <w:rPr>
          <w:sz w:val="20"/>
          <w:szCs w:val="20"/>
          <w:color w:val="auto"/>
        </w:rPr>
      </w:pPr>
      <w:r>
        <w:rPr>
          <w:rFonts w:ascii="Arial" w:cs="Arial" w:eastAsia="Arial" w:hAnsi="Arial"/>
          <w:sz w:val="17"/>
          <w:szCs w:val="17"/>
          <w:color w:val="auto"/>
        </w:rPr>
        <w:t>As a result, Dr. Short and our other principal stockholders will continue to have significant influence over the outcome of corporate actions requiring stockholder approval, including the election of directors,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81" w:lineRule="exact"/>
        <w:rPr>
          <w:sz w:val="20"/>
          <w:szCs w:val="20"/>
          <w:color w:val="auto"/>
        </w:rPr>
      </w:pPr>
    </w:p>
    <w:p>
      <w:pPr>
        <w:ind w:right="20" w:firstLine="509"/>
        <w:spacing w:after="0" w:line="266" w:lineRule="auto"/>
        <w:rPr>
          <w:sz w:val="20"/>
          <w:szCs w:val="20"/>
          <w:color w:val="auto"/>
        </w:rPr>
      </w:pPr>
      <w:r>
        <w:rPr>
          <w:rFonts w:ascii="Arial" w:cs="Arial" w:eastAsia="Arial" w:hAnsi="Arial"/>
          <w:sz w:val="18"/>
          <w:szCs w:val="18"/>
          <w:color w:val="auto"/>
        </w:rPr>
        <w:t>In addition, we have entered into certain related party transactions with Himalaya Therapeutics SEZC, Inversagen, LLC and BioAtla Holdings, LLC, including various licensing arrangements with respect to certain CAB antibodies. Dr. Short and his wife, Carolyn Anderson Short, are each managers of Inversagen, LLC and BioAtla Holdings, LLC and directors of Himalaya Therapeutics SEZC. In addition, Ms. Anderson Short is also an officer of Himalaya Therapeutics SEZC. These related party transactions, and any future related party transactions, create the possibility of actual conflicts of interest with regard to Dr. Short.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31" w:lineRule="exact"/>
        <w:rPr>
          <w:sz w:val="20"/>
          <w:szCs w:val="20"/>
          <w:color w:val="auto"/>
        </w:rPr>
      </w:pPr>
    </w:p>
    <w:p>
      <w:pPr>
        <w:ind w:right="180" w:firstLine="509"/>
        <w:spacing w:after="0" w:line="279" w:lineRule="auto"/>
        <w:rPr>
          <w:sz w:val="20"/>
          <w:szCs w:val="20"/>
          <w:color w:val="auto"/>
        </w:rPr>
      </w:pPr>
      <w:r>
        <w:rPr>
          <w:rFonts w:ascii="Arial" w:cs="Arial" w:eastAsia="Arial" w:hAnsi="Arial"/>
          <w:sz w:val="18"/>
          <w:szCs w:val="18"/>
          <w:color w:val="auto"/>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spacing w:after="0" w:line="183" w:lineRule="exact"/>
        <w:rPr>
          <w:sz w:val="20"/>
          <w:szCs w:val="20"/>
          <w:color w:val="auto"/>
        </w:rPr>
      </w:pPr>
    </w:p>
    <w:p>
      <w:pPr>
        <w:ind w:right="140" w:firstLine="509"/>
        <w:spacing w:after="0" w:line="275" w:lineRule="auto"/>
        <w:rPr>
          <w:sz w:val="20"/>
          <w:szCs w:val="20"/>
          <w:color w:val="auto"/>
        </w:rPr>
      </w:pPr>
      <w:r>
        <w:rPr>
          <w:rFonts w:ascii="Arial" w:cs="Arial" w:eastAsia="Arial" w:hAnsi="Arial"/>
          <w:sz w:val="18"/>
          <w:szCs w:val="18"/>
          <w:color w:val="auto"/>
        </w:rPr>
        <w:t>All of our outstanding shares of common stock are freely tradable without restriction or further registration under the Securities Act unless held by our “affiliates” as defined in Rule 144 under the Securities Act, or Rule 144. Shares issued upon the exercise of stock options and warrants outstanding under our equity incentive plans or pursuant to future awards granted under those plans will become available for sale in the public market to the extent permitted by Rules 144 and 701 under the Securities Act.</w:t>
      </w:r>
    </w:p>
    <w:p>
      <w:pPr>
        <w:spacing w:after="0" w:line="185" w:lineRule="exact"/>
        <w:rPr>
          <w:sz w:val="20"/>
          <w:szCs w:val="20"/>
          <w:color w:val="auto"/>
        </w:rPr>
      </w:pPr>
    </w:p>
    <w:p>
      <w:pPr>
        <w:ind w:right="140" w:firstLine="509"/>
        <w:spacing w:after="0" w:line="275" w:lineRule="auto"/>
        <w:rPr>
          <w:sz w:val="20"/>
          <w:szCs w:val="20"/>
          <w:color w:val="auto"/>
        </w:rPr>
      </w:pPr>
      <w:r>
        <w:rPr>
          <w:rFonts w:ascii="Arial" w:cs="Arial" w:eastAsia="Arial" w:hAnsi="Arial"/>
          <w:sz w:val="18"/>
          <w:szCs w:val="18"/>
          <w:color w:val="auto"/>
        </w:rPr>
        <w:t>Certain holders of our outstanding shares have rights, subject to certain conditions, to require us to file registration statements covering the sale of their shares or to include their shares in registration statements that we may file for ourselves or our other stockholders. We also registered the offer and sale of all shares of common stock that we may issue under our equity compensation plans, which shares will be able to be sold in the public market upon issuance, subject to applicable securities laws and the lock-up agreements.</w:t>
      </w:r>
    </w:p>
    <w:p>
      <w:pPr>
        <w:spacing w:after="0" w:line="293"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62"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We are an “emerging growth company,” as defined in the JOBS Act. We will remain an emerging growth company until the earlier of (i) the last day of the fiscal year (a) following the fifth anniversary of the completion of our initial public offering, (b) in which we have total annual gross revenue of at least $1.07 billion or (c) in which we are deemed to be a large accelerated filer, which means the market value of our common stock that is held by non-affiliates exceeded $700.0 million as of the prior June 30th and (ii) the date on which we have issued more than $1.0 billion in non-convertible debt during the prior three-year period. We will cease to be an emerging growth company as of December 31, 2021.</w:t>
      </w:r>
    </w:p>
    <w:p>
      <w:pPr>
        <w:spacing w:after="0" w:line="174" w:lineRule="exact"/>
        <w:rPr>
          <w:sz w:val="20"/>
          <w:szCs w:val="20"/>
          <w:color w:val="auto"/>
        </w:rPr>
      </w:pPr>
    </w:p>
    <w:p>
      <w:pPr>
        <w:ind w:right="400" w:firstLine="509"/>
        <w:spacing w:after="0" w:line="293" w:lineRule="auto"/>
        <w:rPr>
          <w:sz w:val="20"/>
          <w:szCs w:val="20"/>
          <w:color w:val="auto"/>
        </w:rPr>
      </w:pPr>
      <w:r>
        <w:rPr>
          <w:rFonts w:ascii="Arial" w:cs="Arial" w:eastAsia="Arial" w:hAnsi="Arial"/>
          <w:sz w:val="18"/>
          <w:szCs w:val="18"/>
          <w:color w:val="auto"/>
        </w:rPr>
        <w:t>An emerging growth company may take advantage of specified reduced reporting requirements and other burdens that are otherwise applicable generally to public companies. These provisions include:</w:t>
      </w:r>
    </w:p>
    <w:p>
      <w:pPr>
        <w:spacing w:after="0" w:line="62" w:lineRule="exact"/>
        <w:rPr>
          <w:sz w:val="20"/>
          <w:szCs w:val="20"/>
          <w:color w:val="auto"/>
        </w:rPr>
      </w:pPr>
    </w:p>
    <w:p>
      <w:pPr>
        <w:ind w:left="960" w:right="60"/>
        <w:spacing w:after="0" w:line="293" w:lineRule="auto"/>
        <w:rPr>
          <w:sz w:val="20"/>
          <w:szCs w:val="20"/>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31"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an exemption from compliance with any new requirements adopted by the Public Company Accounting Oversight Board regarding mandatory audit firm rotations;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reduced disclosure obligations regarding executive compensation in our periodic reports, proxy statements and registration statements; and</w:t>
      </w:r>
    </w:p>
    <w:p>
      <w:pPr>
        <w:spacing w:after="0" w:line="154" w:lineRule="exact"/>
        <w:rPr>
          <w:sz w:val="20"/>
          <w:szCs w:val="20"/>
          <w:color w:val="auto"/>
        </w:rPr>
      </w:pPr>
    </w:p>
    <w:p>
      <w:pPr>
        <w:ind w:left="960" w:right="260"/>
        <w:spacing w:after="0" w:line="293" w:lineRule="auto"/>
        <w:rPr>
          <w:sz w:val="20"/>
          <w:szCs w:val="20"/>
          <w:color w:val="auto"/>
        </w:rPr>
      </w:pPr>
      <w:r>
        <w:rPr>
          <w:rFonts w:ascii="Arial" w:cs="Arial" w:eastAsia="Arial" w:hAnsi="Arial"/>
          <w:sz w:val="18"/>
          <w:szCs w:val="18"/>
          <w:color w:val="auto"/>
        </w:rPr>
        <w:t>exemptions from the requirement to hold a nonbinding advisory vote on executive compensation and to obtain stockholder approval of any golden parachute payments not previously approved.</w:t>
      </w:r>
    </w:p>
    <w:p>
      <w:pPr>
        <w:spacing w:after="0" w:line="170"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We have elected to take advantage of certain of the reduced disclosure obligations and may elect to take advantage of other reduced reporting requirements in future filings. As a result, the information that we provide to our investors may be different from the information you might receive from other public reporting companies that are not emerging growth companies in which you hold equity interests. The JOBS Act provides that an emerging growth company can take advantage of an extended transition period for complying with new or revised accounting standards applicable to public companies until those standards would otherwise apply to private companies. We have elected to take advantage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irrevocably elect to “opt out” of such extended transition period or no longer qualify as an emerging growth company. As a result of this election, our financial statements may not be comparable to companies that comply with public company effective dates. We may choose to early adopt any new or revised accounting standards whenever such early adoption is permitted for private companies.</w:t>
      </w:r>
    </w:p>
    <w:p>
      <w:pPr>
        <w:spacing w:after="0" w:line="182" w:lineRule="exact"/>
        <w:rPr>
          <w:sz w:val="20"/>
          <w:szCs w:val="20"/>
          <w:color w:val="auto"/>
        </w:rPr>
      </w:pPr>
    </w:p>
    <w:p>
      <w:pPr>
        <w:ind w:firstLine="509"/>
        <w:spacing w:after="0" w:line="266" w:lineRule="auto"/>
        <w:rPr>
          <w:sz w:val="20"/>
          <w:szCs w:val="20"/>
          <w:color w:val="auto"/>
        </w:rPr>
      </w:pPr>
      <w:r>
        <w:rPr>
          <w:rFonts w:ascii="Arial" w:cs="Arial" w:eastAsia="Arial" w:hAnsi="Arial"/>
          <w:sz w:val="18"/>
          <w:szCs w:val="18"/>
          <w:color w:val="auto"/>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70" w:name="page71"/>
    <w:bookmarkEnd w:id="70"/>
    <w:p>
      <w:pPr>
        <w:ind w:right="100"/>
        <w:spacing w:after="0" w:line="272" w:lineRule="auto"/>
        <w:rPr>
          <w:sz w:val="20"/>
          <w:szCs w:val="20"/>
          <w:color w:val="auto"/>
        </w:rPr>
      </w:pPr>
      <w:r>
        <w:rPr>
          <w:rFonts w:ascii="Arial" w:cs="Arial" w:eastAsia="Arial" w:hAnsi="Arial"/>
          <w:sz w:val="18"/>
          <w:szCs w:val="18"/>
          <w:color w:val="auto"/>
        </w:rPr>
        <w:t>companies. Specifically, as a smaller reporting company, we may choose to present only the two most recent fiscal years of audited financial statements in our Annual Report on Form 10-K and have reduced disclosure obligations regarding executive compensation, and, similar to emerging growth companies, if we are a smaller reporting company with less than $100 million in annual revenue, we would not be required to obtain an attestation report on internal control over financial reporting issued by our independent registered public accounting firm. We will cease to be a smaller reporting company as of December 31, 2021.</w:t>
      </w:r>
    </w:p>
    <w:p>
      <w:pPr>
        <w:spacing w:after="0" w:line="299" w:lineRule="exact"/>
        <w:rPr>
          <w:sz w:val="20"/>
          <w:szCs w:val="20"/>
          <w:color w:val="auto"/>
        </w:rPr>
      </w:pPr>
    </w:p>
    <w:p>
      <w:pPr>
        <w:ind w:right="820"/>
        <w:spacing w:after="0" w:line="359"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 w:lineRule="exact"/>
        <w:rPr>
          <w:sz w:val="20"/>
          <w:szCs w:val="20"/>
          <w:color w:val="auto"/>
        </w:rPr>
      </w:pPr>
    </w:p>
    <w:p>
      <w:pPr>
        <w:ind w:right="120" w:firstLine="509"/>
        <w:spacing w:after="0" w:line="272" w:lineRule="auto"/>
        <w:rPr>
          <w:sz w:val="20"/>
          <w:szCs w:val="20"/>
          <w:color w:val="auto"/>
        </w:rPr>
      </w:pPr>
      <w:r>
        <w:rPr>
          <w:rFonts w:ascii="Arial" w:cs="Arial" w:eastAsia="Arial" w:hAnsi="Arial"/>
          <w:sz w:val="18"/>
          <w:szCs w:val="18"/>
          <w:color w:val="auto"/>
        </w:rPr>
        <w:t>Provisions in the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8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prohibition on actions by our stockholders by written consent;</w:t>
      </w:r>
    </w:p>
    <w:p>
      <w:pPr>
        <w:spacing w:after="0" w:line="131"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a requirement that special meetings of stockholders be called only by the chairman of our board of directors, our chief executive officer, or our board of directors pursuant to a resolution adopted by a majority of the total number of authorized directors;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advance notice requirements for election to our board of directors and for proposing matters that can be acted upon at stockholder meetings;</w:t>
      </w:r>
    </w:p>
    <w:p>
      <w:pPr>
        <w:spacing w:after="0" w:line="15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requirement that directors may only be removed “for cause” and only with 66 2/3% voting stock of our stockholders;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requirement that only the board of directors may change the number of directors and fill vacancies on the board;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division of our board of directors into three classes, serving staggered terms of three years each;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authority of the board of directors to issue preferred stock with such terms as the board of directors may determine.</w:t>
      </w:r>
    </w:p>
    <w:p>
      <w:pPr>
        <w:spacing w:after="0" w:line="239" w:lineRule="exact"/>
        <w:rPr>
          <w:sz w:val="20"/>
          <w:szCs w:val="20"/>
          <w:color w:val="auto"/>
        </w:rPr>
      </w:pPr>
    </w:p>
    <w:p>
      <w:pPr>
        <w:ind w:right="60" w:firstLine="509"/>
        <w:spacing w:after="0" w:line="272"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as amended,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These provisions would apply even if the proposed merger or acquisition could be considered beneficial by some stockholders.</w:t>
      </w:r>
    </w:p>
    <w:p>
      <w:pPr>
        <w:spacing w:after="0" w:line="299" w:lineRule="exact"/>
        <w:rPr>
          <w:sz w:val="20"/>
          <w:szCs w:val="20"/>
          <w:color w:val="auto"/>
        </w:rPr>
      </w:pPr>
    </w:p>
    <w:p>
      <w:pPr>
        <w:jc w:val="both"/>
        <w:ind w:right="420"/>
        <w:spacing w:after="0" w:line="279"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 Additionally, if we fail to maintain proper and effective internal controls, our ability to produce accurate financial statements on a timely basis could be impaired.</w:t>
      </w:r>
    </w:p>
    <w:p>
      <w:pPr>
        <w:spacing w:after="0" w:line="75" w:lineRule="exact"/>
        <w:rPr>
          <w:sz w:val="20"/>
          <w:szCs w:val="20"/>
          <w:color w:val="auto"/>
        </w:rPr>
      </w:pPr>
    </w:p>
    <w:p>
      <w:pPr>
        <w:ind w:right="20" w:firstLine="509"/>
        <w:spacing w:after="0" w:line="304" w:lineRule="auto"/>
        <w:rPr>
          <w:sz w:val="20"/>
          <w:szCs w:val="20"/>
          <w:color w:val="auto"/>
        </w:rPr>
      </w:pPr>
      <w:r>
        <w:rPr>
          <w:rFonts w:ascii="Arial" w:cs="Arial" w:eastAsia="Arial" w:hAnsi="Arial"/>
          <w:sz w:val="16"/>
          <w:szCs w:val="16"/>
          <w:color w:val="auto"/>
        </w:rPr>
        <w:t>As a public company, and particularly after we are no longer an emerging growth company or a smaller reporting company, we will incur significant legal, accounting and other expenses that we did not incur as a private company. The Sarbanes-Oxley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Also the Exchange Act requires, among other things, that we file annual, quarterly and current reports with respect to our business and operating results.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members of our board of directors or our board committees or as executive officers.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0" w:lineRule="exact"/>
        <w:rPr>
          <w:sz w:val="20"/>
          <w:szCs w:val="20"/>
          <w:color w:val="auto"/>
        </w:rPr>
      </w:pPr>
    </w:p>
    <w:p>
      <w:pPr>
        <w:ind w:right="120" w:firstLine="509"/>
        <w:spacing w:after="0" w:line="266" w:lineRule="auto"/>
        <w:rPr>
          <w:sz w:val="20"/>
          <w:szCs w:val="20"/>
          <w:color w:val="auto"/>
        </w:rPr>
      </w:pPr>
      <w:r>
        <w:rPr>
          <w:rFonts w:ascii="Arial" w:cs="Arial" w:eastAsia="Arial" w:hAnsi="Arial"/>
          <w:sz w:val="18"/>
          <w:szCs w:val="18"/>
          <w:color w:val="auto"/>
        </w:rPr>
        <w:t>In addition, as a public company, we will be required to incur additional costs and obligations in order to comply with SEC rules that implement Section 404 of the Sarbanes-Oxley Act. Under these rules, beginning with our second annual report on Form 10-K after we become a public company, we will be required to make a formal assessment of the effectiveness of our internal control</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1" w:name="page72"/>
    <w:bookmarkEnd w:id="71"/>
    <w:p>
      <w:pPr>
        <w:ind w:right="100"/>
        <w:spacing w:after="0" w:line="288" w:lineRule="auto"/>
        <w:rPr>
          <w:sz w:val="20"/>
          <w:szCs w:val="20"/>
          <w:color w:val="auto"/>
        </w:rPr>
      </w:pPr>
      <w:r>
        <w:rPr>
          <w:rFonts w:ascii="Arial" w:cs="Arial" w:eastAsia="Arial" w:hAnsi="Arial"/>
          <w:sz w:val="17"/>
          <w:szCs w:val="17"/>
          <w:color w:val="auto"/>
        </w:rPr>
        <w:t>over financial reporting, and once we cease to be an emerging growth company or a smaller reporting company with less than $100 million in annual revenue,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81"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will not prevent or detect all errors and all fraud.</w:t>
      </w:r>
    </w:p>
    <w:p>
      <w:pPr>
        <w:spacing w:after="0" w:line="185"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 In addition, if we are not able to continue to meet these requirements, we may not be able to remain listed on The Nasdaq Global Market.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31" w:lineRule="exact"/>
        <w:rPr>
          <w:sz w:val="20"/>
          <w:szCs w:val="20"/>
          <w:color w:val="auto"/>
        </w:rPr>
      </w:pPr>
    </w:p>
    <w:p>
      <w:pPr>
        <w:ind w:right="40" w:firstLine="509"/>
        <w:spacing w:after="0" w:line="272"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91" w:lineRule="exact"/>
        <w:rPr>
          <w:sz w:val="20"/>
          <w:szCs w:val="20"/>
          <w:color w:val="auto"/>
        </w:rPr>
      </w:pPr>
    </w:p>
    <w:p>
      <w:pPr>
        <w:ind w:right="100" w:firstLine="509"/>
        <w:spacing w:after="0" w:line="275"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3" w:lineRule="exact"/>
        <w:rPr>
          <w:sz w:val="20"/>
          <w:szCs w:val="20"/>
          <w:color w:val="auto"/>
        </w:rPr>
      </w:pPr>
    </w:p>
    <w:p>
      <w:pPr>
        <w:ind w:right="740"/>
        <w:spacing w:after="0" w:line="293"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your ability to achieve a return on your investment will depend on appreciation of the value of our common stock.</w:t>
      </w:r>
    </w:p>
    <w:p>
      <w:pPr>
        <w:spacing w:after="0" w:line="62"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and do not anticipate declaring or paying any cash dividends for the foreseeable future. Any return to stockholders will therefore be limited to any appreciation in the value of our common stock, which is not certain.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our management’s attention.</w:t>
      </w:r>
    </w:p>
    <w:p>
      <w:pPr>
        <w:spacing w:after="0" w:line="131" w:lineRule="exact"/>
        <w:rPr>
          <w:sz w:val="20"/>
          <w:szCs w:val="20"/>
          <w:color w:val="auto"/>
        </w:rPr>
      </w:pPr>
    </w:p>
    <w:p>
      <w:pPr>
        <w:jc w:val="both"/>
        <w:ind w:right="260" w:firstLine="509"/>
        <w:spacing w:after="0" w:line="303" w:lineRule="auto"/>
        <w:rPr>
          <w:sz w:val="20"/>
          <w:szCs w:val="20"/>
          <w:color w:val="auto"/>
        </w:rPr>
      </w:pPr>
      <w:r>
        <w:rPr>
          <w:rFonts w:ascii="Arial" w:cs="Arial" w:eastAsia="Arial" w:hAnsi="Arial"/>
          <w:sz w:val="17"/>
          <w:szCs w:val="17"/>
          <w:color w:val="auto"/>
        </w:rPr>
        <w:t>In the past, companies that have experienced volatility in the market price of their securities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w:t>
      </w:r>
    </w:p>
    <w:p>
      <w:pPr>
        <w:spacing w:after="0" w:line="272"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b w:val="1"/>
          <w:bCs w:val="1"/>
          <w:i w:val="1"/>
          <w:iCs w:val="1"/>
          <w:color w:val="auto"/>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5" w:lineRule="exact"/>
        <w:rPr>
          <w:sz w:val="20"/>
          <w:szCs w:val="20"/>
          <w:color w:val="auto"/>
        </w:rPr>
      </w:pPr>
    </w:p>
    <w:p>
      <w:pPr>
        <w:ind w:firstLine="509"/>
        <w:spacing w:after="0" w:line="266"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2" w:name="page73"/>
    <w:bookmarkEnd w:id="72"/>
    <w:p>
      <w:pPr>
        <w:spacing w:after="0" w:line="285" w:lineRule="auto"/>
        <w:rPr>
          <w:sz w:val="20"/>
          <w:szCs w:val="20"/>
          <w:color w:val="auto"/>
        </w:rPr>
      </w:pPr>
      <w:r>
        <w:rPr>
          <w:rFonts w:ascii="Arial" w:cs="Arial" w:eastAsia="Arial" w:hAnsi="Arial"/>
          <w:sz w:val="17"/>
          <w:szCs w:val="17"/>
          <w:color w:val="auto"/>
        </w:rPr>
        <w:t>asserting a claim arising pursuant to any provision of our amended and restated certificate of incorporation or amended and restated bylaws (in each case, as they may be amended from time to time) or governed by the internal affairs doctrine. This provision would not apply to suits brought to enforce a duty or liability created by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United States of America will be the exclusive forum to the fullest extent permitted by law, for resolving any complaint asserting a cause of action arising under the Securities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35"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On December 15, 2020, the SEC declared effective our registration statement on Form S-1 (File No. 333-250093), as amended, filed in connection with our IPO. At the closing of the offering on December 18, 2020, we issued and sold 12,075,000 shares of our common stock at the initial public offering price to the public of $18.00 per share, which included the exercise in full of the underwriters’ option to purchase additional shares. We received gross proceeds from the IPO of $217.4 million, before deducting underwriting discounts and commissions of approximately $15.2 million and estimated offering costs of approximately $3.8 million.</w:t>
      </w:r>
    </w:p>
    <w:p>
      <w:pPr>
        <w:spacing w:after="0" w:line="191" w:lineRule="exact"/>
        <w:rPr>
          <w:sz w:val="20"/>
          <w:szCs w:val="20"/>
          <w:color w:val="auto"/>
        </w:rPr>
      </w:pPr>
    </w:p>
    <w:p>
      <w:pPr>
        <w:ind w:right="520" w:firstLine="509"/>
        <w:spacing w:after="0" w:line="324" w:lineRule="auto"/>
        <w:rPr>
          <w:sz w:val="20"/>
          <w:szCs w:val="20"/>
          <w:color w:val="auto"/>
        </w:rPr>
      </w:pPr>
      <w:r>
        <w:rPr>
          <w:rFonts w:ascii="Arial" w:cs="Arial" w:eastAsia="Arial" w:hAnsi="Arial"/>
          <w:sz w:val="17"/>
          <w:szCs w:val="17"/>
          <w:color w:val="auto"/>
        </w:rPr>
        <w:t>As of September 30, 2021, we have used approximately $3.4 million of the proceeds from our IPO. There has been no material change in the planned use of such proceeds from that described in the final prospectus filed by us with the SEC on December 17, 2020.</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6. Exhibits.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File/Furnished</w:t>
            </w:r>
          </w:p>
        </w:tc>
      </w:tr>
      <w:tr>
        <w:trPr>
          <w:trHeight w:val="185"/>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7"/>
          </w:tcPr>
          <w:p>
            <w:pPr>
              <w:ind w:left="720"/>
              <w:spacing w:after="0"/>
              <w:rPr>
                <w:sz w:val="20"/>
                <w:szCs w:val="20"/>
                <w:color w:val="auto"/>
              </w:rPr>
            </w:pPr>
            <w:r>
              <w:rPr>
                <w:rFonts w:ascii="Arial" w:cs="Arial" w:eastAsia="Arial" w:hAnsi="Arial"/>
                <w:sz w:val="14"/>
                <w:szCs w:val="14"/>
                <w:b w:val="1"/>
                <w:bCs w:val="1"/>
                <w:color w:val="auto"/>
              </w:rPr>
              <w:t>Description</w:t>
            </w:r>
          </w:p>
        </w:tc>
        <w:tc>
          <w:tcPr>
            <w:tcW w:w="1200" w:type="dxa"/>
            <w:vAlign w:val="bottom"/>
            <w:tcBorders>
              <w:bottom w:val="single" w:sz="8" w:color="auto"/>
            </w:tcBorders>
          </w:tcPr>
          <w:p>
            <w:pPr>
              <w:jc w:val="center"/>
              <w:ind w:left="59"/>
              <w:spacing w:after="0"/>
              <w:rPr>
                <w:sz w:val="20"/>
                <w:szCs w:val="20"/>
                <w:color w:val="auto"/>
              </w:rPr>
            </w:pPr>
            <w:r>
              <w:rPr>
                <w:rFonts w:ascii="Arial" w:cs="Arial" w:eastAsia="Arial" w:hAnsi="Arial"/>
                <w:sz w:val="14"/>
                <w:szCs w:val="14"/>
                <w:b w:val="1"/>
                <w:bCs w:val="1"/>
                <w:color w:val="auto"/>
                <w:w w:val="97"/>
              </w:rPr>
              <w:t>Form</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000" w:type="dxa"/>
            <w:vAlign w:val="bottom"/>
            <w:tcBorders>
              <w:bottom w:val="single" w:sz="8" w:color="auto"/>
            </w:tcBorders>
          </w:tcPr>
          <w:p>
            <w:pPr>
              <w:jc w:val="center"/>
              <w:ind w:left="39"/>
              <w:spacing w:after="0"/>
              <w:rPr>
                <w:sz w:val="20"/>
                <w:szCs w:val="20"/>
                <w:color w:val="auto"/>
              </w:rPr>
            </w:pPr>
            <w:r>
              <w:rPr>
                <w:rFonts w:ascii="Arial" w:cs="Arial" w:eastAsia="Arial" w:hAnsi="Arial"/>
                <w:sz w:val="14"/>
                <w:szCs w:val="14"/>
                <w:b w:val="1"/>
                <w:bCs w:val="1"/>
                <w:color w:val="auto"/>
                <w:w w:val="94"/>
              </w:rPr>
              <w:t>Exhibit</w:t>
            </w:r>
          </w:p>
        </w:tc>
        <w:tc>
          <w:tcPr>
            <w:tcW w:w="152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96"/>
              </w:rPr>
              <w:t>Exhibit Filing Date</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r>
      <w:tr>
        <w:trPr>
          <w:trHeight w:val="493"/>
        </w:trPr>
        <w:tc>
          <w:tcPr>
            <w:tcW w:w="1000" w:type="dxa"/>
            <w:vAlign w:val="bottom"/>
          </w:tcPr>
          <w:p>
            <w:pPr>
              <w:ind w:left="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Arial" w:cs="Arial" w:eastAsia="Arial" w:hAnsi="Arial"/>
                <w:sz w:val="18"/>
                <w:szCs w:val="18"/>
                <w:color w:val="auto"/>
              </w:rPr>
              <w:t>Form of Stock Purchase Agreement</w:t>
            </w:r>
          </w:p>
        </w:tc>
        <w:tc>
          <w:tcPr>
            <w:tcW w:w="1200" w:type="dxa"/>
            <w:vAlign w:val="bottom"/>
          </w:tcPr>
          <w:p>
            <w:pPr>
              <w:jc w:val="center"/>
              <w:ind w:left="39"/>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right"/>
              <w:ind w:right="239"/>
              <w:spacing w:after="0"/>
              <w:rPr>
                <w:sz w:val="20"/>
                <w:szCs w:val="20"/>
                <w:color w:val="auto"/>
              </w:rPr>
            </w:pPr>
            <w:r>
              <w:rPr>
                <w:rFonts w:ascii="Arial" w:cs="Arial" w:eastAsia="Arial" w:hAnsi="Arial"/>
                <w:sz w:val="18"/>
                <w:szCs w:val="18"/>
                <w:color w:val="auto"/>
              </w:rPr>
              <w:t>001-39787</w:t>
            </w:r>
          </w:p>
        </w:tc>
        <w:tc>
          <w:tcPr>
            <w:tcW w:w="1000" w:type="dxa"/>
            <w:vAlign w:val="bottom"/>
          </w:tcPr>
          <w:p>
            <w:pPr>
              <w:jc w:val="right"/>
              <w:ind w:right="239"/>
              <w:spacing w:after="0"/>
              <w:rPr>
                <w:sz w:val="20"/>
                <w:szCs w:val="20"/>
                <w:color w:val="auto"/>
              </w:rPr>
            </w:pPr>
            <w:r>
              <w:rPr>
                <w:rFonts w:ascii="Arial" w:cs="Arial" w:eastAsia="Arial" w:hAnsi="Arial"/>
                <w:sz w:val="18"/>
                <w:szCs w:val="18"/>
                <w:color w:val="auto"/>
              </w:rPr>
              <w:t>4.1</w:t>
            </w:r>
          </w:p>
        </w:tc>
        <w:tc>
          <w:tcPr>
            <w:tcW w:w="1520" w:type="dxa"/>
            <w:vAlign w:val="bottom"/>
          </w:tcPr>
          <w:p>
            <w:pPr>
              <w:jc w:val="right"/>
              <w:ind w:right="259"/>
              <w:spacing w:after="0"/>
              <w:rPr>
                <w:sz w:val="20"/>
                <w:szCs w:val="20"/>
                <w:color w:val="auto"/>
              </w:rPr>
            </w:pPr>
            <w:r>
              <w:rPr>
                <w:rFonts w:ascii="Arial" w:cs="Arial" w:eastAsia="Arial" w:hAnsi="Arial"/>
                <w:sz w:val="18"/>
                <w:szCs w:val="18"/>
                <w:color w:val="auto"/>
              </w:rPr>
              <w:t>9/29/2021</w:t>
            </w:r>
          </w:p>
        </w:tc>
        <w:tc>
          <w:tcPr>
            <w:tcW w:w="1220" w:type="dxa"/>
            <w:vAlign w:val="bottom"/>
          </w:tcPr>
          <w:p>
            <w:pPr>
              <w:spacing w:after="0"/>
              <w:rPr>
                <w:sz w:val="24"/>
                <w:szCs w:val="24"/>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3720" w:type="dxa"/>
            <w:vAlign w:val="bottom"/>
            <w:gridSpan w:val="8"/>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Form of Non-Employee Director Stock Option</w:t>
              </w:r>
            </w:hyperlink>
          </w:p>
        </w:tc>
        <w:tc>
          <w:tcPr>
            <w:tcW w:w="1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gridSpan w:val="8"/>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Agreement</w:t>
              </w:r>
            </w:hyperlink>
          </w:p>
        </w:tc>
        <w:tc>
          <w:tcPr>
            <w:tcW w:w="1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6"/>
        </w:trPr>
        <w:tc>
          <w:tcPr>
            <w:tcW w:w="1000" w:type="dxa"/>
            <w:vAlign w:val="bottom"/>
          </w:tcPr>
          <w:p>
            <w:pPr>
              <w:ind w:left="2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0"/>
                <w:szCs w:val="20"/>
                <w:color w:val="auto"/>
              </w:rPr>
            </w:pPr>
          </w:p>
        </w:tc>
        <w:tc>
          <w:tcPr>
            <w:tcW w:w="3720" w:type="dxa"/>
            <w:vAlign w:val="bottom"/>
            <w:gridSpan w:val="8"/>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Form of Employee Stock Option Agreement</w:t>
              </w:r>
            </w:hyperlink>
          </w:p>
        </w:tc>
        <w:tc>
          <w:tcPr>
            <w:tcW w:w="1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100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0"/>
                <w:szCs w:val="20"/>
                <w:color w:val="auto"/>
              </w:rPr>
            </w:pPr>
          </w:p>
        </w:tc>
        <w:tc>
          <w:tcPr>
            <w:tcW w:w="3720" w:type="dxa"/>
            <w:vAlign w:val="bottom"/>
            <w:gridSpan w:val="8"/>
          </w:tcPr>
          <w:p>
            <w:pPr>
              <w:spacing w:after="0"/>
              <w:rPr>
                <w:rFonts w:ascii="Arial" w:cs="Arial" w:eastAsia="Arial" w:hAnsi="Arial"/>
                <w:sz w:val="18"/>
                <w:szCs w:val="18"/>
                <w:color w:val="0000FF"/>
                <w:w w:val="91"/>
              </w:rPr>
            </w:pPr>
            <w:hyperlink w:anchor="page93">
              <w:r>
                <w:rPr>
                  <w:rFonts w:ascii="Arial" w:cs="Arial" w:eastAsia="Arial" w:hAnsi="Arial"/>
                  <w:sz w:val="18"/>
                  <w:szCs w:val="18"/>
                  <w:color w:val="0000FF"/>
                  <w:w w:val="91"/>
                </w:rPr>
                <w:t>Certification of Chief Executive Officer Pursuant to</w:t>
              </w:r>
            </w:hyperlink>
          </w:p>
        </w:tc>
        <w:tc>
          <w:tcPr>
            <w:tcW w:w="1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gridSpan w:val="8"/>
          </w:tcPr>
          <w:p>
            <w:pPr>
              <w:spacing w:after="0"/>
              <w:rPr>
                <w:rFonts w:ascii="Arial" w:cs="Arial" w:eastAsia="Arial" w:hAnsi="Arial"/>
                <w:sz w:val="18"/>
                <w:szCs w:val="18"/>
                <w:color w:val="0000FF"/>
                <w:w w:val="87"/>
              </w:rPr>
            </w:pPr>
            <w:hyperlink w:anchor="page93">
              <w:r>
                <w:rPr>
                  <w:rFonts w:ascii="Arial" w:cs="Arial" w:eastAsia="Arial" w:hAnsi="Arial"/>
                  <w:sz w:val="18"/>
                  <w:szCs w:val="18"/>
                  <w:color w:val="0000FF"/>
                  <w:w w:val="87"/>
                </w:rPr>
                <w:t>Rules 13a-14(a) and 15d-14(a) as Adopted Pursuant</w:t>
              </w:r>
            </w:hyperlink>
          </w:p>
        </w:tc>
        <w:tc>
          <w:tcPr>
            <w:tcW w:w="1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gridSpan w:val="8"/>
          </w:tcPr>
          <w:p>
            <w:pPr>
              <w:spacing w:after="0"/>
              <w:rPr>
                <w:rFonts w:ascii="Arial" w:cs="Arial" w:eastAsia="Arial" w:hAnsi="Arial"/>
                <w:sz w:val="18"/>
                <w:szCs w:val="18"/>
                <w:color w:val="0000FF"/>
                <w:w w:val="91"/>
              </w:rPr>
            </w:pPr>
            <w:hyperlink w:anchor="page93">
              <w:r>
                <w:rPr>
                  <w:rFonts w:ascii="Arial" w:cs="Arial" w:eastAsia="Arial" w:hAnsi="Arial"/>
                  <w:sz w:val="18"/>
                  <w:szCs w:val="18"/>
                  <w:color w:val="0000FF"/>
                  <w:w w:val="91"/>
                </w:rPr>
                <w:t>to Section 302 of the Sarbanes-Oxley Act of 2002.</w:t>
              </w:r>
            </w:hyperlink>
          </w:p>
        </w:tc>
        <w:tc>
          <w:tcPr>
            <w:tcW w:w="1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100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0"/>
                <w:szCs w:val="20"/>
                <w:color w:val="auto"/>
              </w:rPr>
            </w:pPr>
          </w:p>
        </w:tc>
        <w:tc>
          <w:tcPr>
            <w:tcW w:w="3720" w:type="dxa"/>
            <w:vAlign w:val="bottom"/>
            <w:gridSpan w:val="8"/>
          </w:tcPr>
          <w:p>
            <w:pPr>
              <w:spacing w:after="0"/>
              <w:rPr>
                <w:rFonts w:ascii="Arial" w:cs="Arial" w:eastAsia="Arial" w:hAnsi="Arial"/>
                <w:sz w:val="18"/>
                <w:szCs w:val="18"/>
                <w:color w:val="0000FF"/>
                <w:w w:val="93"/>
              </w:rPr>
            </w:pPr>
            <w:hyperlink w:anchor="page94">
              <w:r>
                <w:rPr>
                  <w:rFonts w:ascii="Arial" w:cs="Arial" w:eastAsia="Arial" w:hAnsi="Arial"/>
                  <w:sz w:val="18"/>
                  <w:szCs w:val="18"/>
                  <w:color w:val="0000FF"/>
                  <w:w w:val="93"/>
                </w:rPr>
                <w:t>Certification of Chief Financial Officer Pursuant to</w:t>
              </w:r>
            </w:hyperlink>
          </w:p>
        </w:tc>
        <w:tc>
          <w:tcPr>
            <w:tcW w:w="1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gridSpan w:val="8"/>
          </w:tcPr>
          <w:p>
            <w:pPr>
              <w:spacing w:after="0"/>
              <w:rPr>
                <w:rFonts w:ascii="Arial" w:cs="Arial" w:eastAsia="Arial" w:hAnsi="Arial"/>
                <w:sz w:val="18"/>
                <w:szCs w:val="18"/>
                <w:color w:val="0000FF"/>
                <w:w w:val="87"/>
              </w:rPr>
            </w:pPr>
            <w:hyperlink w:anchor="page94">
              <w:r>
                <w:rPr>
                  <w:rFonts w:ascii="Arial" w:cs="Arial" w:eastAsia="Arial" w:hAnsi="Arial"/>
                  <w:sz w:val="18"/>
                  <w:szCs w:val="18"/>
                  <w:color w:val="0000FF"/>
                  <w:w w:val="87"/>
                </w:rPr>
                <w:t>Rules 13a-14(a) and 15d-14(a) as Adopted Pursuant</w:t>
              </w:r>
            </w:hyperlink>
          </w:p>
        </w:tc>
        <w:tc>
          <w:tcPr>
            <w:tcW w:w="1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gridSpan w:val="8"/>
          </w:tcPr>
          <w:p>
            <w:pPr>
              <w:spacing w:after="0"/>
              <w:rPr>
                <w:rFonts w:ascii="Arial" w:cs="Arial" w:eastAsia="Arial" w:hAnsi="Arial"/>
                <w:sz w:val="18"/>
                <w:szCs w:val="18"/>
                <w:color w:val="0000FF"/>
                <w:w w:val="91"/>
              </w:rPr>
            </w:pPr>
            <w:hyperlink w:anchor="page94">
              <w:r>
                <w:rPr>
                  <w:rFonts w:ascii="Arial" w:cs="Arial" w:eastAsia="Arial" w:hAnsi="Arial"/>
                  <w:sz w:val="18"/>
                  <w:szCs w:val="18"/>
                  <w:color w:val="0000FF"/>
                  <w:w w:val="91"/>
                </w:rPr>
                <w:t>to Section 302 of the Sarbanes-Oxley Act of 2002.</w:t>
              </w:r>
            </w:hyperlink>
          </w:p>
        </w:tc>
        <w:tc>
          <w:tcPr>
            <w:tcW w:w="1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6"/>
        </w:trPr>
        <w:tc>
          <w:tcPr>
            <w:tcW w:w="100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0"/>
                <w:szCs w:val="20"/>
                <w:color w:val="auto"/>
              </w:rPr>
            </w:pPr>
          </w:p>
        </w:tc>
        <w:tc>
          <w:tcPr>
            <w:tcW w:w="3720" w:type="dxa"/>
            <w:vAlign w:val="bottom"/>
            <w:gridSpan w:val="8"/>
          </w:tcPr>
          <w:p>
            <w:pPr>
              <w:spacing w:after="0"/>
              <w:rPr>
                <w:rFonts w:ascii="Arial" w:cs="Arial" w:eastAsia="Arial" w:hAnsi="Arial"/>
                <w:sz w:val="18"/>
                <w:szCs w:val="18"/>
                <w:color w:val="0000FF"/>
                <w:w w:val="95"/>
              </w:rPr>
            </w:pPr>
            <w:hyperlink w:anchor="page95">
              <w:r>
                <w:rPr>
                  <w:rFonts w:ascii="Arial" w:cs="Arial" w:eastAsia="Arial" w:hAnsi="Arial"/>
                  <w:sz w:val="18"/>
                  <w:szCs w:val="18"/>
                  <w:color w:val="0000FF"/>
                  <w:w w:val="95"/>
                </w:rPr>
                <w:t>Certification of Chief Executive Officer and Chief</w:t>
              </w:r>
            </w:hyperlink>
          </w:p>
        </w:tc>
        <w:tc>
          <w:tcPr>
            <w:tcW w:w="1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gridSpan w:val="8"/>
          </w:tcPr>
          <w:p>
            <w:pPr>
              <w:spacing w:after="0"/>
              <w:rPr>
                <w:rFonts w:ascii="Arial" w:cs="Arial" w:eastAsia="Arial" w:hAnsi="Arial"/>
                <w:sz w:val="18"/>
                <w:szCs w:val="18"/>
                <w:color w:val="0000FF"/>
                <w:w w:val="98"/>
              </w:rPr>
            </w:pPr>
            <w:hyperlink w:anchor="page95">
              <w:r>
                <w:rPr>
                  <w:rFonts w:ascii="Arial" w:cs="Arial" w:eastAsia="Arial" w:hAnsi="Arial"/>
                  <w:sz w:val="18"/>
                  <w:szCs w:val="18"/>
                  <w:color w:val="0000FF"/>
                  <w:w w:val="98"/>
                </w:rPr>
                <w:t>Financial Officer Pursuant to 18 U.S.C. Section</w:t>
              </w:r>
            </w:hyperlink>
          </w:p>
        </w:tc>
        <w:tc>
          <w:tcPr>
            <w:tcW w:w="1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gridSpan w:val="8"/>
          </w:tcPr>
          <w:p>
            <w:pPr>
              <w:spacing w:after="0"/>
              <w:rPr>
                <w:rFonts w:ascii="Arial" w:cs="Arial" w:eastAsia="Arial" w:hAnsi="Arial"/>
                <w:sz w:val="18"/>
                <w:szCs w:val="18"/>
                <w:color w:val="0000FF"/>
                <w:w w:val="94"/>
              </w:rPr>
            </w:pPr>
            <w:hyperlink w:anchor="page95">
              <w:r>
                <w:rPr>
                  <w:rFonts w:ascii="Arial" w:cs="Arial" w:eastAsia="Arial" w:hAnsi="Arial"/>
                  <w:sz w:val="18"/>
                  <w:szCs w:val="18"/>
                  <w:color w:val="0000FF"/>
                  <w:w w:val="94"/>
                </w:rPr>
                <w:t>1350, as Adopted Pursuant to Section 906 of the</w:t>
              </w:r>
            </w:hyperlink>
          </w:p>
        </w:tc>
        <w:tc>
          <w:tcPr>
            <w:tcW w:w="1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gridSpan w:val="8"/>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Sarbanes-Oxley Act of 2002.</w:t>
              </w:r>
            </w:hyperlink>
          </w:p>
        </w:tc>
        <w:tc>
          <w:tcPr>
            <w:tcW w:w="1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gridSpan w:val="2"/>
            <w:shd w:val="clear" w:color="auto" w:fill="0000FF"/>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76"/>
        </w:trPr>
        <w:tc>
          <w:tcPr>
            <w:tcW w:w="100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Arial" w:cs="Arial" w:eastAsia="Arial" w:hAnsi="Arial"/>
                <w:sz w:val="18"/>
                <w:szCs w:val="18"/>
                <w:color w:val="auto"/>
                <w:w w:val="98"/>
              </w:rPr>
              <w:t>Inline XBRL Instance Document – the instance</w:t>
            </w: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29"/>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gridSpan w:val="8"/>
          </w:tcPr>
          <w:p>
            <w:pPr>
              <w:spacing w:after="0"/>
              <w:rPr>
                <w:sz w:val="20"/>
                <w:szCs w:val="20"/>
                <w:color w:val="auto"/>
              </w:rPr>
            </w:pPr>
            <w:r>
              <w:rPr>
                <w:rFonts w:ascii="Arial" w:cs="Arial" w:eastAsia="Arial" w:hAnsi="Arial"/>
                <w:sz w:val="18"/>
                <w:szCs w:val="18"/>
                <w:color w:val="auto"/>
                <w:w w:val="93"/>
              </w:rPr>
              <w:t>document does not appear in the Interactive Data</w:t>
            </w: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gridSpan w:val="8"/>
          </w:tcPr>
          <w:p>
            <w:pPr>
              <w:spacing w:after="0"/>
              <w:rPr>
                <w:sz w:val="20"/>
                <w:szCs w:val="20"/>
                <w:color w:val="auto"/>
              </w:rPr>
            </w:pPr>
            <w:r>
              <w:rPr>
                <w:rFonts w:ascii="Arial" w:cs="Arial" w:eastAsia="Arial" w:hAnsi="Arial"/>
                <w:sz w:val="18"/>
                <w:szCs w:val="18"/>
                <w:color w:val="auto"/>
                <w:w w:val="93"/>
              </w:rPr>
              <w:t>File because XBRL tags are embedded within the</w:t>
            </w: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20" w:type="dxa"/>
            <w:vAlign w:val="bottom"/>
            <w:gridSpan w:val="8"/>
          </w:tcPr>
          <w:p>
            <w:pPr>
              <w:spacing w:after="0"/>
              <w:rPr>
                <w:sz w:val="20"/>
                <w:szCs w:val="20"/>
                <w:color w:val="auto"/>
              </w:rPr>
            </w:pPr>
            <w:r>
              <w:rPr>
                <w:rFonts w:ascii="Arial" w:cs="Arial" w:eastAsia="Arial" w:hAnsi="Arial"/>
                <w:sz w:val="18"/>
                <w:szCs w:val="18"/>
                <w:color w:val="auto"/>
              </w:rPr>
              <w:t>Inline XBRL document.</w:t>
            </w:r>
          </w:p>
        </w:tc>
        <w:tc>
          <w:tcPr>
            <w:tcW w:w="1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6"/>
        </w:trPr>
        <w:tc>
          <w:tcPr>
            <w:tcW w:w="1000" w:type="dxa"/>
            <w:vAlign w:val="bottom"/>
          </w:tcPr>
          <w:p>
            <w:pPr>
              <w:ind w:left="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2"/>
                <w:szCs w:val="22"/>
                <w:color w:val="auto"/>
              </w:rPr>
            </w:pPr>
          </w:p>
        </w:tc>
        <w:tc>
          <w:tcPr>
            <w:tcW w:w="3720" w:type="dxa"/>
            <w:vAlign w:val="bottom"/>
            <w:gridSpan w:val="8"/>
          </w:tcPr>
          <w:p>
            <w:pPr>
              <w:spacing w:after="0"/>
              <w:rPr>
                <w:sz w:val="20"/>
                <w:szCs w:val="20"/>
                <w:color w:val="auto"/>
              </w:rPr>
            </w:pPr>
            <w:r>
              <w:rPr>
                <w:rFonts w:ascii="Arial" w:cs="Arial" w:eastAsia="Arial" w:hAnsi="Arial"/>
                <w:sz w:val="18"/>
                <w:szCs w:val="18"/>
                <w:color w:val="auto"/>
                <w:w w:val="97"/>
              </w:rPr>
              <w:t>The following materials from BioAtla’s Quarterly</w:t>
            </w:r>
          </w:p>
        </w:tc>
        <w:tc>
          <w:tcPr>
            <w:tcW w:w="1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29"/>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gridSpan w:val="8"/>
          </w:tcPr>
          <w:p>
            <w:pPr>
              <w:spacing w:after="0"/>
              <w:rPr>
                <w:sz w:val="20"/>
                <w:szCs w:val="20"/>
                <w:color w:val="auto"/>
              </w:rPr>
            </w:pPr>
            <w:r>
              <w:rPr>
                <w:rFonts w:ascii="Arial" w:cs="Arial" w:eastAsia="Arial" w:hAnsi="Arial"/>
                <w:sz w:val="18"/>
                <w:szCs w:val="18"/>
                <w:color w:val="auto"/>
              </w:rPr>
              <w:t>Report on Form 10-Q for the quarter ended</w:t>
            </w: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gridSpan w:val="8"/>
          </w:tcPr>
          <w:p>
            <w:pPr>
              <w:spacing w:after="0"/>
              <w:rPr>
                <w:sz w:val="20"/>
                <w:szCs w:val="20"/>
                <w:color w:val="auto"/>
              </w:rPr>
            </w:pPr>
            <w:r>
              <w:rPr>
                <w:rFonts w:ascii="Arial" w:cs="Arial" w:eastAsia="Arial" w:hAnsi="Arial"/>
                <w:sz w:val="18"/>
                <w:szCs w:val="18"/>
                <w:color w:val="auto"/>
                <w:w w:val="97"/>
              </w:rPr>
              <w:t>September 30, 2021, formatted in iXBRL (inline</w:t>
            </w: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gridSpan w:val="8"/>
          </w:tcPr>
          <w:p>
            <w:pPr>
              <w:spacing w:after="0"/>
              <w:rPr>
                <w:sz w:val="20"/>
                <w:szCs w:val="20"/>
                <w:color w:val="auto"/>
              </w:rPr>
            </w:pPr>
            <w:r>
              <w:rPr>
                <w:rFonts w:ascii="Arial" w:cs="Arial" w:eastAsia="Arial" w:hAnsi="Arial"/>
                <w:sz w:val="18"/>
                <w:szCs w:val="18"/>
                <w:color w:val="auto"/>
                <w:w w:val="93"/>
              </w:rPr>
              <w:t>eXtensible Business Reporting Language): (i) the</w:t>
            </w: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gridSpan w:val="8"/>
          </w:tcPr>
          <w:p>
            <w:pPr>
              <w:spacing w:after="0"/>
              <w:rPr>
                <w:sz w:val="20"/>
                <w:szCs w:val="20"/>
                <w:color w:val="auto"/>
              </w:rPr>
            </w:pPr>
            <w:r>
              <w:rPr>
                <w:rFonts w:ascii="Arial" w:cs="Arial" w:eastAsia="Arial" w:hAnsi="Arial"/>
                <w:sz w:val="18"/>
                <w:szCs w:val="18"/>
                <w:color w:val="auto"/>
                <w:w w:val="93"/>
              </w:rPr>
              <w:t>Condensed Consolidated Balance Sheets, (ii) the</w:t>
            </w: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gridSpan w:val="8"/>
          </w:tcPr>
          <w:p>
            <w:pPr>
              <w:spacing w:after="0"/>
              <w:rPr>
                <w:sz w:val="20"/>
                <w:szCs w:val="20"/>
                <w:color w:val="auto"/>
              </w:rPr>
            </w:pPr>
            <w:r>
              <w:rPr>
                <w:rFonts w:ascii="Arial" w:cs="Arial" w:eastAsia="Arial" w:hAnsi="Arial"/>
                <w:sz w:val="18"/>
                <w:szCs w:val="18"/>
                <w:color w:val="auto"/>
                <w:w w:val="89"/>
              </w:rPr>
              <w:t>Condensed Consolidated Statements of Operations</w:t>
            </w: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gridSpan w:val="8"/>
          </w:tcPr>
          <w:p>
            <w:pPr>
              <w:spacing w:after="0"/>
              <w:rPr>
                <w:sz w:val="20"/>
                <w:szCs w:val="20"/>
                <w:color w:val="auto"/>
              </w:rPr>
            </w:pPr>
            <w:r>
              <w:rPr>
                <w:rFonts w:ascii="Arial" w:cs="Arial" w:eastAsia="Arial" w:hAnsi="Arial"/>
                <w:sz w:val="18"/>
                <w:szCs w:val="18"/>
                <w:color w:val="auto"/>
              </w:rPr>
              <w:t>and Comprehensive Loss, (iii) the Condensed</w:t>
            </w: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gridSpan w:val="8"/>
          </w:tcPr>
          <w:p>
            <w:pPr>
              <w:spacing w:after="0"/>
              <w:rPr>
                <w:sz w:val="20"/>
                <w:szCs w:val="20"/>
                <w:color w:val="auto"/>
              </w:rPr>
            </w:pPr>
            <w:r>
              <w:rPr>
                <w:rFonts w:ascii="Arial" w:cs="Arial" w:eastAsia="Arial" w:hAnsi="Arial"/>
                <w:sz w:val="18"/>
                <w:szCs w:val="18"/>
                <w:color w:val="auto"/>
                <w:w w:val="94"/>
              </w:rPr>
              <w:t>Consolidated Statements of Stockholders’ Equity</w:t>
            </w: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gridSpan w:val="8"/>
          </w:tcPr>
          <w:p>
            <w:pPr>
              <w:spacing w:after="0"/>
              <w:rPr>
                <w:sz w:val="20"/>
                <w:szCs w:val="20"/>
                <w:color w:val="auto"/>
              </w:rPr>
            </w:pPr>
            <w:r>
              <w:rPr>
                <w:rFonts w:ascii="Arial" w:cs="Arial" w:eastAsia="Arial" w:hAnsi="Arial"/>
                <w:sz w:val="18"/>
                <w:szCs w:val="18"/>
                <w:color w:val="auto"/>
                <w:w w:val="97"/>
              </w:rPr>
              <w:t>(iv) the Condensed Consolidated Statements of</w:t>
            </w: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gridSpan w:val="8"/>
          </w:tcPr>
          <w:p>
            <w:pPr>
              <w:spacing w:after="0"/>
              <w:rPr>
                <w:sz w:val="20"/>
                <w:szCs w:val="20"/>
                <w:color w:val="auto"/>
              </w:rPr>
            </w:pPr>
            <w:r>
              <w:rPr>
                <w:rFonts w:ascii="Arial" w:cs="Arial" w:eastAsia="Arial" w:hAnsi="Arial"/>
                <w:sz w:val="18"/>
                <w:szCs w:val="18"/>
                <w:color w:val="auto"/>
              </w:rPr>
              <w:t>Cash Flows, and (v) Notes to Condensed</w:t>
            </w: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gridSpan w:val="8"/>
          </w:tcPr>
          <w:p>
            <w:pPr>
              <w:spacing w:after="0"/>
              <w:rPr>
                <w:sz w:val="20"/>
                <w:szCs w:val="20"/>
                <w:color w:val="auto"/>
              </w:rPr>
            </w:pPr>
            <w:r>
              <w:rPr>
                <w:rFonts w:ascii="Arial" w:cs="Arial" w:eastAsia="Arial" w:hAnsi="Arial"/>
                <w:sz w:val="18"/>
                <w:szCs w:val="18"/>
                <w:color w:val="auto"/>
              </w:rPr>
              <w:t>Consolidated Financial Statements, tagged as</w:t>
            </w: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20" w:type="dxa"/>
            <w:vAlign w:val="bottom"/>
            <w:gridSpan w:val="8"/>
          </w:tcPr>
          <w:p>
            <w:pPr>
              <w:spacing w:after="0"/>
              <w:rPr>
                <w:sz w:val="20"/>
                <w:szCs w:val="20"/>
                <w:color w:val="auto"/>
              </w:rPr>
            </w:pPr>
            <w:r>
              <w:rPr>
                <w:rFonts w:ascii="Arial" w:cs="Arial" w:eastAsia="Arial" w:hAnsi="Arial"/>
                <w:sz w:val="18"/>
                <w:szCs w:val="18"/>
                <w:color w:val="auto"/>
              </w:rPr>
              <w:t>blocks of text and including detailed tags</w:t>
            </w:r>
          </w:p>
        </w:tc>
        <w:tc>
          <w:tcPr>
            <w:tcW w:w="1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6"/>
        </w:trPr>
        <w:tc>
          <w:tcPr>
            <w:tcW w:w="100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2"/>
                <w:szCs w:val="22"/>
                <w:color w:val="auto"/>
              </w:rPr>
            </w:pPr>
          </w:p>
        </w:tc>
        <w:tc>
          <w:tcPr>
            <w:tcW w:w="3720" w:type="dxa"/>
            <w:vAlign w:val="bottom"/>
            <w:gridSpan w:val="8"/>
          </w:tcPr>
          <w:p>
            <w:pPr>
              <w:spacing w:after="0"/>
              <w:rPr>
                <w:sz w:val="20"/>
                <w:szCs w:val="20"/>
                <w:color w:val="auto"/>
              </w:rPr>
            </w:pPr>
            <w:r>
              <w:rPr>
                <w:rFonts w:ascii="Arial" w:cs="Arial" w:eastAsia="Arial" w:hAnsi="Arial"/>
                <w:sz w:val="18"/>
                <w:szCs w:val="18"/>
                <w:color w:val="auto"/>
                <w:w w:val="99"/>
              </w:rPr>
              <w:t>Cover Page Interactive Data File (formatted as</w:t>
            </w:r>
          </w:p>
        </w:tc>
        <w:tc>
          <w:tcPr>
            <w:tcW w:w="1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29"/>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gridSpan w:val="8"/>
          </w:tcPr>
          <w:p>
            <w:pPr>
              <w:spacing w:after="0"/>
              <w:rPr>
                <w:sz w:val="20"/>
                <w:szCs w:val="20"/>
                <w:color w:val="auto"/>
              </w:rPr>
            </w:pPr>
            <w:r>
              <w:rPr>
                <w:rFonts w:ascii="Arial" w:cs="Arial" w:eastAsia="Arial" w:hAnsi="Arial"/>
                <w:sz w:val="18"/>
                <w:szCs w:val="18"/>
                <w:color w:val="auto"/>
                <w:w w:val="98"/>
              </w:rPr>
              <w:t>Inline XBRL document and contained in exhibit</w:t>
            </w: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101)</w:t>
            </w:r>
          </w:p>
        </w:tc>
        <w:tc>
          <w:tcPr>
            <w:tcW w:w="1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 Furnished and not filed.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right="440" w:firstLine="50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3200" w:type="dxa"/>
            <w:vAlign w:val="bottom"/>
            <w:gridSpan w:val="2"/>
          </w:tcPr>
          <w:p>
            <w:pPr>
              <w:ind w:left="1880"/>
              <w:spacing w:after="0"/>
              <w:rPr>
                <w:sz w:val="20"/>
                <w:szCs w:val="20"/>
                <w:color w:val="auto"/>
              </w:rPr>
            </w:pPr>
            <w:r>
              <w:rPr>
                <w:rFonts w:ascii="Arial" w:cs="Arial" w:eastAsia="Arial" w:hAnsi="Arial"/>
                <w:sz w:val="18"/>
                <w:szCs w:val="18"/>
                <w:color w:val="auto"/>
                <w:w w:val="99"/>
              </w:rPr>
              <w:t>Company Name</w:t>
            </w:r>
          </w:p>
        </w:tc>
        <w:tc>
          <w:tcPr>
            <w:tcW w:w="4320" w:type="dxa"/>
            <w:vAlign w:val="bottom"/>
          </w:tcPr>
          <w:p>
            <w:pPr>
              <w:spacing w:after="0"/>
              <w:rPr>
                <w:sz w:val="20"/>
                <w:szCs w:val="20"/>
                <w:color w:val="auto"/>
              </w:rPr>
            </w:pPr>
          </w:p>
        </w:tc>
      </w:tr>
      <w:tr>
        <w:trPr>
          <w:trHeight w:val="486"/>
        </w:trPr>
        <w:tc>
          <w:tcPr>
            <w:tcW w:w="3720" w:type="dxa"/>
            <w:vAlign w:val="bottom"/>
          </w:tcPr>
          <w:p>
            <w:pPr>
              <w:ind w:left="20"/>
              <w:spacing w:after="0"/>
              <w:rPr>
                <w:sz w:val="20"/>
                <w:szCs w:val="20"/>
                <w:color w:val="auto"/>
              </w:rPr>
            </w:pPr>
            <w:r>
              <w:rPr>
                <w:rFonts w:ascii="Arial" w:cs="Arial" w:eastAsia="Arial" w:hAnsi="Arial"/>
                <w:sz w:val="18"/>
                <w:szCs w:val="18"/>
                <w:color w:val="auto"/>
              </w:rPr>
              <w:t>Date: November 15, 2021</w:t>
            </w:r>
          </w:p>
        </w:tc>
        <w:tc>
          <w:tcPr>
            <w:tcW w:w="3200" w:type="dxa"/>
            <w:vAlign w:val="bottom"/>
            <w:gridSpan w:val="2"/>
          </w:tcPr>
          <w:p>
            <w:pPr>
              <w:ind w:left="1880"/>
              <w:spacing w:after="0"/>
              <w:rPr>
                <w:sz w:val="20"/>
                <w:szCs w:val="20"/>
                <w:color w:val="auto"/>
              </w:rPr>
            </w:pPr>
            <w:r>
              <w:rPr>
                <w:rFonts w:ascii="Arial" w:cs="Arial" w:eastAsia="Arial" w:hAnsi="Arial"/>
                <w:sz w:val="18"/>
                <w:szCs w:val="18"/>
                <w:color w:val="auto"/>
              </w:rPr>
              <w:t>By:</w:t>
            </w:r>
          </w:p>
        </w:tc>
        <w:tc>
          <w:tcPr>
            <w:tcW w:w="4320" w:type="dxa"/>
            <w:vAlign w:val="bottom"/>
          </w:tcPr>
          <w:p>
            <w:pPr>
              <w:ind w:left="900"/>
              <w:spacing w:after="0"/>
              <w:rPr>
                <w:sz w:val="20"/>
                <w:szCs w:val="20"/>
                <w:color w:val="auto"/>
              </w:rPr>
            </w:pPr>
            <w:r>
              <w:rPr>
                <w:rFonts w:ascii="Arial" w:cs="Arial" w:eastAsia="Arial" w:hAnsi="Arial"/>
                <w:sz w:val="18"/>
                <w:szCs w:val="18"/>
                <w:color w:val="auto"/>
              </w:rPr>
              <w:t>/s/ Jay M. Short, Ph.D.</w:t>
            </w:r>
          </w:p>
        </w:tc>
      </w:tr>
      <w:tr>
        <w:trPr>
          <w:trHeight w:val="224"/>
        </w:trPr>
        <w:tc>
          <w:tcPr>
            <w:tcW w:w="37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32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Jay M. Short, Ph.D.</w:t>
            </w:r>
          </w:p>
        </w:tc>
      </w:tr>
      <w:tr>
        <w:trPr>
          <w:trHeight w:val="241"/>
        </w:trPr>
        <w:tc>
          <w:tcPr>
            <w:tcW w:w="3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20" w:type="dxa"/>
            <w:vAlign w:val="bottom"/>
          </w:tcPr>
          <w:p>
            <w:pPr>
              <w:ind w:left="880"/>
              <w:spacing w:after="0"/>
              <w:rPr>
                <w:sz w:val="20"/>
                <w:szCs w:val="20"/>
                <w:color w:val="auto"/>
              </w:rPr>
            </w:pPr>
            <w:r>
              <w:rPr>
                <w:rFonts w:ascii="Arial" w:cs="Arial" w:eastAsia="Arial" w:hAnsi="Arial"/>
                <w:sz w:val="18"/>
                <w:szCs w:val="18"/>
                <w:color w:val="auto"/>
              </w:rPr>
              <w:t>Chief Executive Officer</w:t>
            </w:r>
          </w:p>
        </w:tc>
      </w:tr>
      <w:tr>
        <w:trPr>
          <w:trHeight w:val="230"/>
        </w:trPr>
        <w:tc>
          <w:tcPr>
            <w:tcW w:w="3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(Principal Executive Officer)</w:t>
            </w:r>
          </w:p>
        </w:tc>
      </w:tr>
      <w:tr>
        <w:trPr>
          <w:trHeight w:val="486"/>
        </w:trPr>
        <w:tc>
          <w:tcPr>
            <w:tcW w:w="3720" w:type="dxa"/>
            <w:vAlign w:val="bottom"/>
          </w:tcPr>
          <w:p>
            <w:pPr>
              <w:ind w:left="20"/>
              <w:spacing w:after="0"/>
              <w:rPr>
                <w:sz w:val="20"/>
                <w:szCs w:val="20"/>
                <w:color w:val="auto"/>
              </w:rPr>
            </w:pPr>
            <w:r>
              <w:rPr>
                <w:rFonts w:ascii="Arial" w:cs="Arial" w:eastAsia="Arial" w:hAnsi="Arial"/>
                <w:sz w:val="18"/>
                <w:szCs w:val="18"/>
                <w:color w:val="auto"/>
              </w:rPr>
              <w:t>Date: November 15, 2021</w:t>
            </w:r>
          </w:p>
        </w:tc>
        <w:tc>
          <w:tcPr>
            <w:tcW w:w="3200" w:type="dxa"/>
            <w:vAlign w:val="bottom"/>
            <w:gridSpan w:val="2"/>
          </w:tcPr>
          <w:p>
            <w:pPr>
              <w:ind w:left="1880"/>
              <w:spacing w:after="0"/>
              <w:rPr>
                <w:sz w:val="20"/>
                <w:szCs w:val="20"/>
                <w:color w:val="auto"/>
              </w:rPr>
            </w:pPr>
            <w:r>
              <w:rPr>
                <w:rFonts w:ascii="Arial" w:cs="Arial" w:eastAsia="Arial" w:hAnsi="Arial"/>
                <w:sz w:val="18"/>
                <w:szCs w:val="18"/>
                <w:color w:val="auto"/>
              </w:rPr>
              <w:t>By:</w:t>
            </w:r>
          </w:p>
        </w:tc>
        <w:tc>
          <w:tcPr>
            <w:tcW w:w="4320" w:type="dxa"/>
            <w:vAlign w:val="bottom"/>
          </w:tcPr>
          <w:p>
            <w:pPr>
              <w:ind w:left="880"/>
              <w:spacing w:after="0"/>
              <w:rPr>
                <w:sz w:val="20"/>
                <w:szCs w:val="20"/>
                <w:color w:val="auto"/>
              </w:rPr>
            </w:pPr>
            <w:r>
              <w:rPr>
                <w:rFonts w:ascii="Arial" w:cs="Arial" w:eastAsia="Arial" w:hAnsi="Arial"/>
                <w:sz w:val="18"/>
                <w:szCs w:val="18"/>
                <w:color w:val="auto"/>
              </w:rPr>
              <w:t>/s/ Richard A. Waldron</w:t>
            </w:r>
          </w:p>
        </w:tc>
      </w:tr>
      <w:tr>
        <w:trPr>
          <w:trHeight w:val="224"/>
        </w:trPr>
        <w:tc>
          <w:tcPr>
            <w:tcW w:w="37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32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Richard A. Waldron</w:t>
            </w:r>
          </w:p>
        </w:tc>
      </w:tr>
      <w:tr>
        <w:trPr>
          <w:trHeight w:val="241"/>
        </w:trPr>
        <w:tc>
          <w:tcPr>
            <w:tcW w:w="3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20" w:type="dxa"/>
            <w:vAlign w:val="bottom"/>
          </w:tcPr>
          <w:p>
            <w:pPr>
              <w:ind w:left="900"/>
              <w:spacing w:after="0"/>
              <w:rPr>
                <w:sz w:val="20"/>
                <w:szCs w:val="20"/>
                <w:color w:val="auto"/>
              </w:rPr>
            </w:pPr>
            <w:r>
              <w:rPr>
                <w:rFonts w:ascii="Arial" w:cs="Arial" w:eastAsia="Arial" w:hAnsi="Arial"/>
                <w:sz w:val="18"/>
                <w:szCs w:val="18"/>
                <w:color w:val="auto"/>
              </w:rPr>
              <w:t>Chief Financial Officer</w:t>
            </w:r>
          </w:p>
        </w:tc>
      </w:tr>
      <w:tr>
        <w:trPr>
          <w:trHeight w:val="230"/>
        </w:trPr>
        <w:tc>
          <w:tcPr>
            <w:tcW w:w="3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(Principal Financial and Accounting Officer)</w:t>
            </w:r>
          </w:p>
        </w:tc>
      </w:tr>
      <w:tr>
        <w:trPr>
          <w:trHeight w:val="473"/>
        </w:trPr>
        <w:tc>
          <w:tcPr>
            <w:tcW w:w="3720" w:type="dxa"/>
            <w:vAlign w:val="bottom"/>
          </w:tcPr>
          <w:p>
            <w:pPr>
              <w:spacing w:after="0"/>
              <w:rPr>
                <w:sz w:val="24"/>
                <w:szCs w:val="24"/>
                <w:color w:val="auto"/>
              </w:rPr>
            </w:pPr>
          </w:p>
        </w:tc>
        <w:tc>
          <w:tcPr>
            <w:tcW w:w="2300" w:type="dxa"/>
            <w:vAlign w:val="bottom"/>
          </w:tcPr>
          <w:p>
            <w:pPr>
              <w:jc w:val="right"/>
              <w:ind w:right="210"/>
              <w:spacing w:after="0"/>
              <w:rPr>
                <w:sz w:val="20"/>
                <w:szCs w:val="20"/>
                <w:color w:val="auto"/>
              </w:rPr>
            </w:pPr>
            <w:r>
              <w:rPr>
                <w:rFonts w:ascii="Arial" w:cs="Arial" w:eastAsia="Arial" w:hAnsi="Arial"/>
                <w:sz w:val="18"/>
                <w:szCs w:val="18"/>
                <w:color w:val="auto"/>
              </w:rPr>
              <w:t>73</w:t>
            </w:r>
          </w:p>
        </w:tc>
        <w:tc>
          <w:tcPr>
            <w:tcW w:w="90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 xml:space="preserve">Stock Option No: </w:t>
      </w:r>
      <w:r>
        <w:rPr>
          <w:rFonts w:ascii="Arial" w:cs="Arial" w:eastAsia="Arial" w:hAnsi="Arial"/>
          <w:sz w:val="22"/>
          <w:szCs w:val="22"/>
          <w:b w:val="1"/>
          <w:bCs w:val="1"/>
          <w:i w:val="1"/>
          <w:iCs w:val="1"/>
          <w:u w:val="single" w:color="auto"/>
          <w:color w:val="auto"/>
        </w:rPr>
        <w:t>See Carta</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STOCK OPTION AGREEMENT UNDER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BIOATLA,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EQUITY INCENTIVE PLAN</w:t>
      </w:r>
    </w:p>
    <w:p>
      <w:pPr>
        <w:spacing w:after="0" w:line="200" w:lineRule="exact"/>
        <w:rPr>
          <w:sz w:val="20"/>
          <w:szCs w:val="20"/>
          <w:color w:val="auto"/>
        </w:rPr>
      </w:pPr>
    </w:p>
    <w:p>
      <w:pPr>
        <w:spacing w:after="0" w:line="360" w:lineRule="exact"/>
        <w:rPr>
          <w:sz w:val="20"/>
          <w:szCs w:val="20"/>
          <w:color w:val="auto"/>
        </w:rPr>
      </w:pPr>
    </w:p>
    <w:p>
      <w:pPr>
        <w:jc w:val="both"/>
        <w:ind w:firstLine="1497"/>
        <w:spacing w:after="0" w:line="282" w:lineRule="auto"/>
        <w:rPr>
          <w:sz w:val="20"/>
          <w:szCs w:val="20"/>
          <w:color w:val="auto"/>
        </w:rPr>
      </w:pPr>
      <w:r>
        <w:rPr>
          <w:rFonts w:ascii="Arial" w:cs="Arial" w:eastAsia="Arial" w:hAnsi="Arial"/>
          <w:sz w:val="22"/>
          <w:szCs w:val="22"/>
          <w:b w:val="1"/>
          <w:bCs w:val="1"/>
          <w:color w:val="auto"/>
        </w:rPr>
        <w:t xml:space="preserve">THIS STOCK OPTION AGREEMENT </w:t>
      </w:r>
      <w:r>
        <w:rPr>
          <w:rFonts w:ascii="Arial" w:cs="Arial" w:eastAsia="Arial" w:hAnsi="Arial"/>
          <w:sz w:val="22"/>
          <w:szCs w:val="22"/>
          <w:color w:val="auto"/>
        </w:rPr>
        <w:t>(this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between BioAtla, Inc., a Delaware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xml:space="preserve">”), and </w:t>
      </w:r>
      <w:r>
        <w:rPr>
          <w:rFonts w:ascii="Arial" w:cs="Arial" w:eastAsia="Arial" w:hAnsi="Arial"/>
          <w:sz w:val="22"/>
          <w:szCs w:val="22"/>
          <w:b w:val="1"/>
          <w:bCs w:val="1"/>
          <w:i w:val="1"/>
          <w:iCs w:val="1"/>
          <w:color w:val="auto"/>
        </w:rPr>
        <w:t>See Carta</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301" w:lineRule="exact"/>
        <w:rPr>
          <w:sz w:val="20"/>
          <w:szCs w:val="20"/>
          <w:color w:val="auto"/>
        </w:rPr>
      </w:pPr>
    </w:p>
    <w:p>
      <w:pPr>
        <w:jc w:val="both"/>
        <w:ind w:right="20" w:firstLine="1497"/>
        <w:spacing w:after="0" w:line="282"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Company maintains the BioAtla, Inc. 2020 Equity Incentive Plan (as it may be amended</w:t>
      </w:r>
      <w:r>
        <w:rPr>
          <w:rFonts w:ascii="Arial" w:cs="Arial" w:eastAsia="Arial" w:hAnsi="Arial"/>
          <w:sz w:val="22"/>
          <w:szCs w:val="22"/>
          <w:b w:val="1"/>
          <w:bCs w:val="1"/>
          <w:color w:val="auto"/>
        </w:rPr>
        <w:t xml:space="preserve"> </w:t>
      </w:r>
      <w:r>
        <w:rPr>
          <w:rFonts w:ascii="Arial" w:cs="Arial" w:eastAsia="Arial" w:hAnsi="Arial"/>
          <w:sz w:val="22"/>
          <w:szCs w:val="22"/>
          <w:color w:val="auto"/>
        </w:rPr>
        <w:t>and/or restated from time to time,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216" w:lineRule="exact"/>
        <w:rPr>
          <w:sz w:val="20"/>
          <w:szCs w:val="20"/>
          <w:color w:val="auto"/>
        </w:rPr>
      </w:pPr>
    </w:p>
    <w:p>
      <w:pPr>
        <w:jc w:val="both"/>
        <w:ind w:right="20" w:firstLine="1481"/>
        <w:spacing w:after="0" w:line="282"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Plan permits the Company to award options to purchase shares of the Company’s common</w:t>
      </w:r>
      <w:r>
        <w:rPr>
          <w:rFonts w:ascii="Arial" w:cs="Arial" w:eastAsia="Arial" w:hAnsi="Arial"/>
          <w:sz w:val="22"/>
          <w:szCs w:val="22"/>
          <w:b w:val="1"/>
          <w:bCs w:val="1"/>
          <w:color w:val="auto"/>
        </w:rPr>
        <w:t xml:space="preserve"> </w:t>
      </w:r>
      <w:r>
        <w:rPr>
          <w:rFonts w:ascii="Arial" w:cs="Arial" w:eastAsia="Arial" w:hAnsi="Arial"/>
          <w:sz w:val="22"/>
          <w:szCs w:val="22"/>
          <w:color w:val="auto"/>
        </w:rPr>
        <w:t>stock, $0.0001 par value per share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subject to the terms of the Plan; and</w:t>
      </w:r>
    </w:p>
    <w:p>
      <w:pPr>
        <w:spacing w:after="0" w:line="189" w:lineRule="exact"/>
        <w:rPr>
          <w:sz w:val="20"/>
          <w:szCs w:val="20"/>
          <w:color w:val="auto"/>
        </w:rPr>
      </w:pPr>
    </w:p>
    <w:p>
      <w:pPr>
        <w:jc w:val="both"/>
        <w:ind w:firstLine="1498"/>
        <w:spacing w:after="0" w:line="28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to grant an option to purchase Shares to the Grantee in accordance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terms of this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w:t>
      </w:r>
    </w:p>
    <w:p>
      <w:pPr>
        <w:spacing w:after="0" w:line="229" w:lineRule="exact"/>
        <w:rPr>
          <w:sz w:val="20"/>
          <w:szCs w:val="20"/>
          <w:color w:val="auto"/>
        </w:rPr>
      </w:pPr>
    </w:p>
    <w:p>
      <w:pPr>
        <w:jc w:val="both"/>
        <w:ind w:right="20" w:firstLine="1481"/>
        <w:spacing w:after="0" w:line="282"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foregoing and the agreements set forth herein,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intending to be legally bound hereby, agree as follows:</w:t>
      </w:r>
    </w:p>
    <w:p>
      <w:pPr>
        <w:spacing w:after="0" w:line="235" w:lineRule="exact"/>
        <w:rPr>
          <w:sz w:val="20"/>
          <w:szCs w:val="20"/>
          <w:color w:val="auto"/>
        </w:rPr>
      </w:pPr>
    </w:p>
    <w:p>
      <w:pPr>
        <w:jc w:val="both"/>
        <w:ind w:firstLine="1497"/>
        <w:spacing w:after="0" w:line="262"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Grant of Option</w:t>
      </w:r>
      <w:r>
        <w:rPr>
          <w:rFonts w:ascii="Arial" w:cs="Arial" w:eastAsia="Arial" w:hAnsi="Arial"/>
          <w:sz w:val="22"/>
          <w:szCs w:val="22"/>
          <w:color w:val="auto"/>
        </w:rPr>
        <w:t xml:space="preserve">. Effective as of </w:t>
      </w:r>
      <w:r>
        <w:rPr>
          <w:rFonts w:ascii="Arial" w:cs="Arial" w:eastAsia="Arial" w:hAnsi="Arial"/>
          <w:sz w:val="22"/>
          <w:szCs w:val="22"/>
          <w:b w:val="1"/>
          <w:bCs w:val="1"/>
          <w:i w:val="1"/>
          <w:iCs w:val="1"/>
          <w:color w:val="auto"/>
        </w:rPr>
        <w:t>See Carta</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Date of Grant</w:t>
      </w:r>
      <w:r>
        <w:rPr>
          <w:rFonts w:ascii="Arial" w:cs="Arial" w:eastAsia="Arial" w:hAnsi="Arial"/>
          <w:sz w:val="22"/>
          <w:szCs w:val="22"/>
          <w:color w:val="auto"/>
        </w:rPr>
        <w:t xml:space="preserve">”), the Company grants to the Grantee, pursuant to the Plan and the terms and conditions of this Agreement, an option to purchase </w:t>
      </w:r>
      <w:r>
        <w:rPr>
          <w:rFonts w:ascii="Arial" w:cs="Arial" w:eastAsia="Arial" w:hAnsi="Arial"/>
          <w:sz w:val="22"/>
          <w:szCs w:val="22"/>
          <w:b w:val="1"/>
          <w:bCs w:val="1"/>
          <w:i w:val="1"/>
          <w:iCs w:val="1"/>
          <w:color w:val="auto"/>
        </w:rPr>
        <w:t>See Carta</w:t>
      </w:r>
      <w:r>
        <w:rPr>
          <w:rFonts w:ascii="Arial" w:cs="Arial" w:eastAsia="Arial" w:hAnsi="Arial"/>
          <w:sz w:val="22"/>
          <w:szCs w:val="22"/>
          <w:color w:val="auto"/>
        </w:rPr>
        <w:t xml:space="preserve"> Shares at an exercise price per Share equal to </w:t>
      </w:r>
      <w:r>
        <w:rPr>
          <w:rFonts w:ascii="Arial" w:cs="Arial" w:eastAsia="Arial" w:hAnsi="Arial"/>
          <w:sz w:val="22"/>
          <w:szCs w:val="22"/>
          <w:b w:val="1"/>
          <w:bCs w:val="1"/>
          <w:i w:val="1"/>
          <w:iCs w:val="1"/>
          <w:color w:val="auto"/>
        </w:rPr>
        <w:t>See Carta</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The Option is not, and is not intended to be, an Incentive Stock Option under Section 422 of the Code.</w:t>
      </w:r>
    </w:p>
    <w:p>
      <w:pPr>
        <w:spacing w:after="0" w:line="259"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Term of Option</w:t>
      </w:r>
      <w:r>
        <w:rPr>
          <w:rFonts w:ascii="Arial" w:cs="Arial" w:eastAsia="Arial" w:hAnsi="Arial"/>
          <w:sz w:val="22"/>
          <w:szCs w:val="22"/>
          <w:color w:val="auto"/>
        </w:rPr>
        <w:t>. Unless earlier terminated pursuant to the Plan or the other provisions of this Agreement, the Option shall terminate at 5 p.m. Pacific time on the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anniversary of the Date of Grant (the “</w:t>
      </w:r>
      <w:r>
        <w:rPr>
          <w:rFonts w:ascii="Arial" w:cs="Arial" w:eastAsia="Arial" w:hAnsi="Arial"/>
          <w:sz w:val="22"/>
          <w:szCs w:val="22"/>
          <w:b w:val="1"/>
          <w:bCs w:val="1"/>
          <w:i w:val="1"/>
          <w:iCs w:val="1"/>
          <w:color w:val="auto"/>
        </w:rPr>
        <w:t>Expiration</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Date</w:t>
      </w:r>
      <w:r>
        <w:rPr>
          <w:rFonts w:ascii="Arial" w:cs="Arial" w:eastAsia="Arial" w:hAnsi="Arial"/>
          <w:sz w:val="22"/>
          <w:szCs w:val="22"/>
          <w:color w:val="auto"/>
        </w:rPr>
        <w:t>”).</w:t>
      </w:r>
    </w:p>
    <w:p>
      <w:pPr>
        <w:spacing w:after="0" w:line="266" w:lineRule="exact"/>
        <w:rPr>
          <w:sz w:val="20"/>
          <w:szCs w:val="20"/>
          <w:color w:val="auto"/>
        </w:rPr>
      </w:pPr>
    </w:p>
    <w:p>
      <w:pPr>
        <w:jc w:val="both"/>
        <w:ind w:left="1480" w:firstLine="1712"/>
        <w:spacing w:after="0" w:line="317" w:lineRule="auto"/>
        <w:tabs>
          <w:tab w:leader="none" w:pos="4274" w:val="left"/>
        </w:tabs>
        <w:numPr>
          <w:ilvl w:val="0"/>
          <w:numId w:val="8"/>
        </w:numPr>
        <w:rPr>
          <w:rFonts w:ascii="Arial" w:cs="Arial" w:eastAsia="Arial" w:hAnsi="Arial"/>
          <w:sz w:val="19"/>
          <w:szCs w:val="19"/>
          <w:color w:val="auto"/>
        </w:rPr>
      </w:pPr>
      <w:r>
        <w:rPr>
          <w:rFonts w:ascii="Arial" w:cs="Arial" w:eastAsia="Arial" w:hAnsi="Arial"/>
          <w:sz w:val="19"/>
          <w:szCs w:val="19"/>
          <w:color w:val="auto"/>
        </w:rPr>
        <w:t xml:space="preserve">Except as otherwise provided in Section 7.2 of the Plan or as provided </w:t>
      </w:r>
      <w:r>
        <w:rPr>
          <w:rFonts w:ascii="Arial" w:cs="Arial" w:eastAsia="Arial" w:hAnsi="Arial"/>
          <w:sz w:val="19"/>
          <w:szCs w:val="19"/>
          <w:b w:val="1"/>
          <w:bCs w:val="1"/>
          <w:i w:val="1"/>
          <w:iCs w:val="1"/>
          <w:color w:val="auto"/>
        </w:rPr>
        <w:t>in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Carta</w:t>
      </w:r>
      <w:r>
        <w:rPr>
          <w:rFonts w:ascii="Arial" w:cs="Arial" w:eastAsia="Arial" w:hAnsi="Arial"/>
          <w:sz w:val="19"/>
          <w:szCs w:val="19"/>
          <w:color w:val="auto"/>
        </w:rPr>
        <w:t>, upon the Grantee ceasing to provide services to the Company or its Subsidiaries for any reason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whatsoever, the Option shall terminate as to that number of Shares as to which the Option is not vested at the time of such cessation, without any compensation or other payment due to the Grantee or any other Person.</w:t>
      </w:r>
    </w:p>
    <w:p>
      <w:pPr>
        <w:spacing w:after="0" w:line="209" w:lineRule="exact"/>
        <w:rPr>
          <w:rFonts w:ascii="Arial" w:cs="Arial" w:eastAsia="Arial" w:hAnsi="Arial"/>
          <w:sz w:val="19"/>
          <w:szCs w:val="19"/>
          <w:color w:val="auto"/>
        </w:rPr>
      </w:pPr>
    </w:p>
    <w:p>
      <w:pPr>
        <w:jc w:val="both"/>
        <w:ind w:left="1480" w:firstLine="1712"/>
        <w:spacing w:after="0" w:line="262" w:lineRule="auto"/>
        <w:tabs>
          <w:tab w:leader="none" w:pos="4274" w:val="left"/>
        </w:tabs>
        <w:numPr>
          <w:ilvl w:val="0"/>
          <w:numId w:val="8"/>
        </w:numPr>
        <w:rPr>
          <w:rFonts w:ascii="Arial" w:cs="Arial" w:eastAsia="Arial" w:hAnsi="Arial"/>
          <w:sz w:val="22"/>
          <w:szCs w:val="22"/>
          <w:color w:val="auto"/>
        </w:rPr>
      </w:pPr>
      <w:r>
        <w:rPr>
          <w:rFonts w:ascii="Arial" w:cs="Arial" w:eastAsia="Arial" w:hAnsi="Arial"/>
          <w:sz w:val="22"/>
          <w:szCs w:val="22"/>
          <w:color w:val="auto"/>
        </w:rPr>
        <w:t>If the Grantee’s services to the Company and any of its Subsidiaries are terminated for Cause, then the unexercised portion of the Option (whether or not vested) will terminate immediately upon such termination, without any compensation or other payment due to the Grantee or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336550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463" w:right="459" w:bottom="1440" w:gutter="0" w:footer="0" w:header="0"/>
        </w:sectPr>
      </w:pPr>
    </w:p>
    <w:bookmarkStart w:id="76" w:name="page77"/>
    <w:bookmarkEnd w:id="76"/>
    <w:p>
      <w:pPr>
        <w:jc w:val="both"/>
        <w:ind w:left="1480" w:firstLine="1712"/>
        <w:spacing w:after="0" w:line="302" w:lineRule="auto"/>
        <w:tabs>
          <w:tab w:leader="none" w:pos="4274" w:val="left"/>
        </w:tabs>
        <w:numPr>
          <w:ilvl w:val="0"/>
          <w:numId w:val="9"/>
        </w:numPr>
        <w:rPr>
          <w:rFonts w:ascii="Arial" w:cs="Arial" w:eastAsia="Arial" w:hAnsi="Arial"/>
          <w:sz w:val="19"/>
          <w:szCs w:val="19"/>
          <w:color w:val="auto"/>
        </w:rPr>
      </w:pPr>
      <w:r>
        <w:rPr>
          <w:rFonts w:ascii="Arial" w:cs="Arial" w:eastAsia="Arial" w:hAnsi="Arial"/>
          <w:sz w:val="19"/>
          <w:szCs w:val="19"/>
          <w:color w:val="auto"/>
        </w:rPr>
        <w:t>Except as otherwise provided in Section 7.2 of the Plan, if the Grantee’s services to the Company and its Subsidiaries terminates for any reason other than Cause, death or Disability, then the Option may be exercised to the extent vested at the time of such termination at any time prior to the earlier of the Expiration Date and 90 days after such termination, and any part of the Option which is not exercised within such period shall terminate at the end of such period without any compensation or other payment due to the Grantee or any other Person. Except as otherwise provided in Section 7.2 of the Plan, if the Grantee’s services to the Company and its Subsidiaries terminates by reason of his or her death or Disability, then the Option may be exercised, as to the number of whole Shares with respect to which the Option is vested and exercisable at the time of such death or Disability, at any time prior to the earlier of the Expiration Date and twelve (12) months after such termination, and any part of the Option which is not exercised within such period shall terminate at the end of such period without any compensation or other payment due to the Grantee or any other Person.</w:t>
      </w:r>
    </w:p>
    <w:p>
      <w:pPr>
        <w:spacing w:after="0" w:line="224" w:lineRule="exact"/>
        <w:rPr>
          <w:rFonts w:ascii="Arial" w:cs="Arial" w:eastAsia="Arial" w:hAnsi="Arial"/>
          <w:sz w:val="19"/>
          <w:szCs w:val="19"/>
          <w:color w:val="auto"/>
        </w:rPr>
      </w:pPr>
    </w:p>
    <w:p>
      <w:pPr>
        <w:jc w:val="both"/>
        <w:ind w:left="1480" w:firstLine="1712"/>
        <w:spacing w:after="0" w:line="284" w:lineRule="auto"/>
        <w:tabs>
          <w:tab w:leader="none" w:pos="4274"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Committee, in its absolute discretion, shall determine the effect of all matters and questions relating to termination of the Grantee’s services, including, but not by way of limitation, the question of whether a termination of the Grantee’s services resulted from Cause.</w:t>
      </w:r>
    </w:p>
    <w:p>
      <w:pPr>
        <w:spacing w:after="0" w:line="223" w:lineRule="exact"/>
        <w:rPr>
          <w:sz w:val="20"/>
          <w:szCs w:val="20"/>
          <w:color w:val="auto"/>
        </w:rPr>
      </w:pPr>
    </w:p>
    <w:p>
      <w:pPr>
        <w:ind w:left="1480"/>
        <w:spacing w:after="0"/>
        <w:tabs>
          <w:tab w:leader="none" w:pos="276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Vesting</w:t>
      </w:r>
      <w:r>
        <w:rPr>
          <w:rFonts w:ascii="Arial" w:cs="Arial" w:eastAsia="Arial" w:hAnsi="Arial"/>
          <w:sz w:val="19"/>
          <w:szCs w:val="19"/>
          <w:color w:val="auto"/>
        </w:rPr>
        <w:t>. The Option shall vest and become exercisable as shown</w:t>
      </w:r>
      <w:r>
        <w:rPr>
          <w:rFonts w:ascii="Arial" w:cs="Arial" w:eastAsia="Arial" w:hAnsi="Arial"/>
          <w:sz w:val="19"/>
          <w:szCs w:val="19"/>
          <w:u w:val="single" w:color="auto"/>
          <w:color w:val="auto"/>
        </w:rPr>
        <w:t xml:space="preserve"> </w:t>
      </w:r>
      <w:r>
        <w:rPr>
          <w:rFonts w:ascii="Arial" w:cs="Arial" w:eastAsia="Arial" w:hAnsi="Arial"/>
          <w:sz w:val="19"/>
          <w:szCs w:val="19"/>
          <w:b w:val="1"/>
          <w:bCs w:val="1"/>
          <w:i w:val="1"/>
          <w:iCs w:val="1"/>
          <w:color w:val="auto"/>
        </w:rPr>
        <w:t>in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Carta</w:t>
      </w:r>
      <w:r>
        <w:rPr>
          <w:rFonts w:ascii="Arial" w:cs="Arial" w:eastAsia="Arial" w:hAnsi="Arial"/>
          <w:sz w:val="22"/>
          <w:szCs w:val="22"/>
          <w:color w:val="auto"/>
        </w:rPr>
        <w:t>.</w:t>
      </w:r>
    </w:p>
    <w:p>
      <w:pPr>
        <w:spacing w:after="0" w:line="296" w:lineRule="exact"/>
        <w:rPr>
          <w:sz w:val="20"/>
          <w:szCs w:val="20"/>
          <w:color w:val="auto"/>
        </w:rPr>
      </w:pPr>
    </w:p>
    <w:p>
      <w:pPr>
        <w:ind w:left="1480"/>
        <w:spacing w:after="0"/>
        <w:tabs>
          <w:tab w:leader="none" w:pos="276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u w:val="single" w:color="auto"/>
          <w:color w:val="auto"/>
        </w:rPr>
        <w:t>Manner of Exercise</w:t>
      </w:r>
      <w:r>
        <w:rPr>
          <w:rFonts w:ascii="Arial" w:cs="Arial" w:eastAsia="Arial" w:hAnsi="Arial"/>
          <w:sz w:val="19"/>
          <w:szCs w:val="19"/>
          <w:color w:val="auto"/>
        </w:rPr>
        <w:t>.</w:t>
      </w:r>
    </w:p>
    <w:p>
      <w:pPr>
        <w:spacing w:after="0" w:line="301" w:lineRule="exact"/>
        <w:rPr>
          <w:sz w:val="20"/>
          <w:szCs w:val="20"/>
          <w:color w:val="auto"/>
        </w:rPr>
      </w:pPr>
    </w:p>
    <w:p>
      <w:pPr>
        <w:ind w:left="2140" w:hanging="650"/>
        <w:spacing w:after="0"/>
        <w:tabs>
          <w:tab w:leader="none" w:pos="21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To exercise the Option, the Grantee shall comply with such procedures for</w:t>
      </w:r>
    </w:p>
    <w:p>
      <w:pPr>
        <w:spacing w:after="0" w:line="21" w:lineRule="exact"/>
        <w:rPr>
          <w:sz w:val="20"/>
          <w:szCs w:val="20"/>
          <w:color w:val="auto"/>
        </w:rPr>
      </w:pPr>
    </w:p>
    <w:p>
      <w:pPr>
        <w:jc w:val="both"/>
        <w:spacing w:after="0" w:line="275" w:lineRule="auto"/>
        <w:rPr>
          <w:sz w:val="20"/>
          <w:szCs w:val="20"/>
          <w:color w:val="auto"/>
        </w:rPr>
      </w:pPr>
      <w:r>
        <w:rPr>
          <w:rFonts w:ascii="Arial" w:cs="Arial" w:eastAsia="Arial" w:hAnsi="Arial"/>
          <w:sz w:val="21"/>
          <w:szCs w:val="21"/>
          <w:color w:val="auto"/>
        </w:rPr>
        <w:t>exercise as the Committee shall have adopted, as may be in effect from time to time. Payment of the exercise price shall be (i) in cash or (ii) through a broker-assisted cashless exercise or (iii) a combination of (i) and (ii), as elected by the Grantee. Any exercise of the Option is conditioned on Grantee’s payment to the Company in full of the aggregate exercise price (as described in the preceding sentence) of the portion of the Option being exercised, plus the amount of the withholding taxes, if any, determined by the Company to be due upon the purchase of such number of Shares.</w:t>
      </w:r>
    </w:p>
    <w:p>
      <w:pPr>
        <w:spacing w:after="0" w:line="205" w:lineRule="exact"/>
        <w:rPr>
          <w:sz w:val="20"/>
          <w:szCs w:val="20"/>
          <w:color w:val="auto"/>
        </w:rPr>
      </w:pPr>
    </w:p>
    <w:p>
      <w:pPr>
        <w:jc w:val="both"/>
        <w:ind w:left="1480" w:firstLine="1712"/>
        <w:spacing w:after="0" w:line="327" w:lineRule="auto"/>
        <w:tabs>
          <w:tab w:leader="none" w:pos="4274"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date on which the Company receives the notice of exercise accompanied by payment in full of the exercise price for the Shares covered by the notice and the applicable withholding taxes, if any, shall be the date as of which the Shares shall be deemed to have been issued.</w:t>
      </w:r>
    </w:p>
    <w:p>
      <w:pPr>
        <w:spacing w:after="0" w:line="186" w:lineRule="exact"/>
        <w:rPr>
          <w:rFonts w:ascii="Arial" w:cs="Arial" w:eastAsia="Arial" w:hAnsi="Arial"/>
          <w:sz w:val="19"/>
          <w:szCs w:val="19"/>
          <w:color w:val="auto"/>
        </w:rPr>
      </w:pPr>
    </w:p>
    <w:p>
      <w:pPr>
        <w:jc w:val="both"/>
        <w:ind w:left="1480" w:firstLine="1712"/>
        <w:spacing w:after="0" w:line="276" w:lineRule="auto"/>
        <w:tabs>
          <w:tab w:leader="none" w:pos="4274" w:val="left"/>
        </w:tabs>
        <w:numPr>
          <w:ilvl w:val="0"/>
          <w:numId w:val="11"/>
        </w:numPr>
        <w:rPr>
          <w:rFonts w:ascii="Arial" w:cs="Arial" w:eastAsia="Arial" w:hAnsi="Arial"/>
          <w:sz w:val="21"/>
          <w:szCs w:val="21"/>
          <w:color w:val="auto"/>
        </w:rPr>
      </w:pPr>
      <w:r>
        <w:rPr>
          <w:rFonts w:ascii="Arial" w:cs="Arial" w:eastAsia="Arial" w:hAnsi="Arial"/>
          <w:sz w:val="21"/>
          <w:szCs w:val="21"/>
          <w:color w:val="auto"/>
        </w:rPr>
        <w:t>To exercise the Option following the Grantee’s death, the Persons who acquire the right to exercise the Option must prove to the Committee’s satisfaction that they have duly acquired the Option and that they have paid (or have provided for payment of) any taxes, such as estate, transfer, inheritance or death taxes, payable with respect to the Option or the Shares to which it relates, in addition to satisfying the other terms and conditions set forth in this Agreement.</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Transferability</w:t>
      </w:r>
      <w:r>
        <w:rPr>
          <w:rFonts w:ascii="Arial" w:cs="Arial" w:eastAsia="Arial" w:hAnsi="Arial"/>
          <w:sz w:val="19"/>
          <w:szCs w:val="19"/>
          <w:color w:val="auto"/>
        </w:rPr>
        <w:t>. The Option may only be transferred in accordance with Section 12 of the Plan.</w:t>
      </w:r>
    </w:p>
    <w:p>
      <w:pPr>
        <w:spacing w:after="0" w:line="335" w:lineRule="exact"/>
        <w:rPr>
          <w:sz w:val="20"/>
          <w:szCs w:val="20"/>
          <w:color w:val="auto"/>
        </w:rPr>
      </w:pPr>
    </w:p>
    <w:p>
      <w:pPr>
        <w:jc w:val="both"/>
        <w:ind w:firstLine="1497"/>
        <w:spacing w:after="0" w:line="266"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Taxes</w:t>
      </w:r>
      <w:r>
        <w:rPr>
          <w:rFonts w:ascii="Arial" w:cs="Arial" w:eastAsia="Arial" w:hAnsi="Arial"/>
          <w:sz w:val="22"/>
          <w:szCs w:val="22"/>
          <w:color w:val="auto"/>
        </w:rPr>
        <w:t>. The Grantee shall be responsible for all tax consequences in connection with the Option (including any applicable withholding taxes). Such responsibility shall extend to all applicable federal, state, local and foreign withholding taxes. The Grantee shall satisfy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186690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402" w:right="459" w:bottom="1440" w:gutter="0" w:footer="0" w:header="0"/>
        </w:sectPr>
      </w:pPr>
    </w:p>
    <w:bookmarkStart w:id="77" w:name="page78"/>
    <w:bookmarkEnd w:id="77"/>
    <w:p>
      <w:pPr>
        <w:jc w:val="both"/>
        <w:ind w:left="8"/>
        <w:spacing w:after="0" w:line="276" w:lineRule="auto"/>
        <w:rPr>
          <w:sz w:val="20"/>
          <w:szCs w:val="20"/>
          <w:color w:val="auto"/>
        </w:rPr>
      </w:pPr>
      <w:r>
        <w:rPr>
          <w:rFonts w:ascii="Arial" w:cs="Arial" w:eastAsia="Arial" w:hAnsi="Arial"/>
          <w:sz w:val="22"/>
          <w:szCs w:val="22"/>
          <w:color w:val="auto"/>
        </w:rPr>
        <w:t>any withholding taxes with respect to the Option in the same manner set forth in Section 4 with respect to the payment of the exercise price of the Option.</w:t>
      </w:r>
    </w:p>
    <w:p>
      <w:pPr>
        <w:spacing w:after="0" w:line="242" w:lineRule="exact"/>
        <w:rPr>
          <w:sz w:val="20"/>
          <w:szCs w:val="20"/>
          <w:color w:val="auto"/>
        </w:rPr>
      </w:pPr>
    </w:p>
    <w:p>
      <w:pPr>
        <w:jc w:val="both"/>
        <w:ind w:left="8" w:firstLine="1498"/>
        <w:spacing w:after="0" w:line="306"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The Plan</w:t>
      </w:r>
      <w:r>
        <w:rPr>
          <w:rFonts w:ascii="Arial" w:cs="Arial" w:eastAsia="Arial" w:hAnsi="Arial"/>
          <w:sz w:val="19"/>
          <w:szCs w:val="19"/>
          <w:color w:val="auto"/>
        </w:rPr>
        <w:t>. The Grantee has received a copy of the Plan, has read the Plan and is familiar with its terms, and hereby accepts the Option subject to all of the terms and provisions of the Plan and this Agreement. The Option is subject to all of the terms and provisions of the Plan, all of which are incorporated by reference. Pursuant to the Plan, the Committee is authorized to interpret the Plan and to adopt rules and regulations not inconsistent with the Plan as it deems appropriate. The Grantee hereby agrees to accept as binding, conclusive and final all decisions and interpretations of the Committee with respect to the Plan, this Agreement, the Option and any agreement relating to the Option. In the event of a conflict between the terms of the Plan and the terms of this Agreement, the terms of the Plan shall control.</w:t>
      </w:r>
    </w:p>
    <w:p>
      <w:pPr>
        <w:spacing w:after="0" w:line="210" w:lineRule="exact"/>
        <w:rPr>
          <w:sz w:val="20"/>
          <w:szCs w:val="20"/>
          <w:color w:val="auto"/>
        </w:rPr>
      </w:pPr>
    </w:p>
    <w:p>
      <w:pPr>
        <w:jc w:val="both"/>
        <w:ind w:left="8" w:firstLine="1498"/>
        <w:spacing w:after="0" w:line="261"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Rights in Shares Before Issuance and Delivery</w:t>
      </w:r>
      <w:r>
        <w:rPr>
          <w:rFonts w:ascii="Arial" w:cs="Arial" w:eastAsia="Arial" w:hAnsi="Arial"/>
          <w:sz w:val="22"/>
          <w:szCs w:val="22"/>
          <w:color w:val="auto"/>
        </w:rPr>
        <w:t>. The Grantee shall not have any rights as a stockholder of the Company with respect to the Shares underlying the Option unless and until the Option has been exercised and such Shares have been issued to the Grantee as fully paid Shares. No adjustment shall be made for dividends, distributions, or other rights for which the record date is prior to the date the Shares are issued, except as provided in Section 8 of the Plan.</w:t>
      </w:r>
    </w:p>
    <w:p>
      <w:pPr>
        <w:spacing w:after="0" w:line="218" w:lineRule="exact"/>
        <w:rPr>
          <w:sz w:val="20"/>
          <w:szCs w:val="20"/>
          <w:color w:val="auto"/>
        </w:rPr>
      </w:pPr>
    </w:p>
    <w:p>
      <w:pPr>
        <w:jc w:val="both"/>
        <w:ind w:left="8" w:firstLine="1498"/>
        <w:spacing w:after="0" w:line="262"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No Promise of Service</w:t>
      </w:r>
      <w:r>
        <w:rPr>
          <w:rFonts w:ascii="Arial" w:cs="Arial" w:eastAsia="Arial" w:hAnsi="Arial"/>
          <w:sz w:val="22"/>
          <w:szCs w:val="22"/>
          <w:color w:val="auto"/>
        </w:rPr>
        <w:t>. Neither the Plan nor the granting, holding, vesting or exercise of the Option will confer upon the Grantee any right to continue in the service of the Company or any Subsidiary in any capacity, or limit, in any respect, the right of the Company or any Subsidiary to terminate the Grantee at any time, for any reason and with or without notice.</w:t>
      </w:r>
    </w:p>
    <w:p>
      <w:pPr>
        <w:spacing w:after="0" w:line="259" w:lineRule="exact"/>
        <w:rPr>
          <w:sz w:val="20"/>
          <w:szCs w:val="20"/>
          <w:color w:val="auto"/>
        </w:rPr>
      </w:pPr>
    </w:p>
    <w:p>
      <w:pPr>
        <w:jc w:val="both"/>
        <w:ind w:left="8" w:firstLine="1498"/>
        <w:spacing w:after="0" w:line="299"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Qualifications to Exercise</w:t>
      </w:r>
      <w:r>
        <w:rPr>
          <w:rFonts w:ascii="Arial" w:cs="Arial" w:eastAsia="Arial" w:hAnsi="Arial"/>
          <w:sz w:val="19"/>
          <w:szCs w:val="19"/>
          <w:color w:val="auto"/>
        </w:rPr>
        <w:t>. Notwithstanding anything in this Agreement or in the Plan to the contrary, in no event may the Option be exercisable if the Company shall, at any time and in its sole discretion, determine that</w:t>
      </w:r>
    </w:p>
    <w:p>
      <w:pPr>
        <w:jc w:val="both"/>
        <w:ind w:left="8" w:hanging="8"/>
        <w:spacing w:after="0" w:line="271" w:lineRule="auto"/>
        <w:tabs>
          <w:tab w:leader="none" w:pos="343"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listing, registration or qualification of any Shares otherwise deliverable upon such exercise is required upon any securities exchange or under any state, federal, or foreign law, or (b) the consent or approval of any regulatory body is necessary or desirable in connection with such exercise. In such event, such exercise shall be held in abeyance and shall not be effective unless and until such listing, registration, qualification or approval shall have been effected or obtained free of any conditions not acceptable to the Company (regardless of any termination of the Option prior to such listing, registration, qualification or approval). The inability of the Company to obtain from any regulatory body having jurisdiction the authority, if any, deemed by the Company’s legal counsel to be necessary to the lawful issuance and sale of any Shares subject to the Option shall relieve the Company of any liability in respect of the failure to issue or sell such Shares as to which such requisite authority shall not have been obtained. The Company shall not be required to issue fractional Shares upon the exercise of the Option.</w:t>
      </w:r>
    </w:p>
    <w:p>
      <w:pPr>
        <w:spacing w:after="0" w:line="252" w:lineRule="exact"/>
        <w:rPr>
          <w:sz w:val="20"/>
          <w:szCs w:val="20"/>
          <w:color w:val="auto"/>
        </w:rPr>
      </w:pPr>
    </w:p>
    <w:p>
      <w:pPr>
        <w:jc w:val="both"/>
        <w:ind w:left="8" w:firstLine="1497"/>
        <w:spacing w:after="0" w:line="321"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Conditions to Transfer</w:t>
      </w:r>
      <w:r>
        <w:rPr>
          <w:rFonts w:ascii="Arial" w:cs="Arial" w:eastAsia="Arial" w:hAnsi="Arial"/>
          <w:sz w:val="19"/>
          <w:szCs w:val="19"/>
          <w:color w:val="auto"/>
        </w:rPr>
        <w:t>. As a condition to the exercise of the Option, the Company may require the Grantee to satisfy any qualifications that may be necessary or appropriate, to evidence compliance with any applicable law or regulation and to make any representation or warranty with respect thereto as may be requested by the Company. The</w:t>
      </w:r>
    </w:p>
    <w:p>
      <w:pPr>
        <w:spacing w:after="0" w:line="1" w:lineRule="exact"/>
        <w:rPr>
          <w:sz w:val="20"/>
          <w:szCs w:val="20"/>
          <w:color w:val="auto"/>
        </w:rPr>
      </w:pPr>
    </w:p>
    <w:p>
      <w:pPr>
        <w:ind w:left="8"/>
        <w:spacing w:after="0"/>
        <w:rPr>
          <w:sz w:val="20"/>
          <w:szCs w:val="20"/>
          <w:color w:val="auto"/>
        </w:rPr>
      </w:pPr>
      <w:r>
        <w:rPr>
          <w:rFonts w:ascii="Arial" w:cs="Arial" w:eastAsia="Arial" w:hAnsi="Arial"/>
          <w:sz w:val="22"/>
          <w:szCs w:val="22"/>
          <w:color w:val="auto"/>
        </w:rPr>
        <w:t>certificate issued to evidence such Shares, if any, may bear appropriate legends summarizing these restrictions.</w:t>
      </w:r>
    </w:p>
    <w:p>
      <w:pPr>
        <w:spacing w:after="0" w:line="260" w:lineRule="exact"/>
        <w:rPr>
          <w:sz w:val="20"/>
          <w:szCs w:val="20"/>
          <w:color w:val="auto"/>
        </w:rPr>
      </w:pPr>
    </w:p>
    <w:p>
      <w:pPr>
        <w:jc w:val="both"/>
        <w:ind w:left="8" w:firstLine="1498"/>
        <w:spacing w:after="0" w:line="276"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Investment Representation</w:t>
      </w:r>
      <w:r>
        <w:rPr>
          <w:rFonts w:ascii="Arial" w:cs="Arial" w:eastAsia="Arial" w:hAnsi="Arial"/>
          <w:sz w:val="22"/>
          <w:szCs w:val="22"/>
          <w:color w:val="auto"/>
        </w:rPr>
        <w:t>. The Grantee hereby represents and warrants to the Company that the Grantee, by reason of the Grantee’s business or financial experience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180340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8"/>
          </w:cols>
          <w:pgMar w:left="452" w:top="402" w:right="459" w:bottom="1440" w:gutter="0" w:footer="0" w:header="0"/>
        </w:sectPr>
      </w:pPr>
    </w:p>
    <w:bookmarkStart w:id="78" w:name="page79"/>
    <w:bookmarkEnd w:id="78"/>
    <w:p>
      <w:pPr>
        <w:jc w:val="both"/>
        <w:ind w:right="20"/>
        <w:spacing w:after="0" w:line="284" w:lineRule="auto"/>
        <w:rPr>
          <w:sz w:val="20"/>
          <w:szCs w:val="20"/>
          <w:color w:val="auto"/>
        </w:rPr>
      </w:pPr>
      <w:r>
        <w:rPr>
          <w:rFonts w:ascii="Arial" w:cs="Arial" w:eastAsia="Arial" w:hAnsi="Arial"/>
          <w:sz w:val="21"/>
          <w:szCs w:val="21"/>
          <w:color w:val="auto"/>
        </w:rPr>
        <w:t>the business or financial experience of the Grantee’s professional advisors who are unaffiliated with and who are not compensated by the Company or any affiliate or selling agent of the Company, directly or indirectly), has the capacity to protect the Grantee’s own interests in connection with the transactions contemplated under this Agreement</w:t>
      </w:r>
    </w:p>
    <w:p>
      <w:pPr>
        <w:spacing w:after="0" w:line="236" w:lineRule="exact"/>
        <w:rPr>
          <w:sz w:val="20"/>
          <w:szCs w:val="20"/>
          <w:color w:val="auto"/>
        </w:rPr>
      </w:pPr>
    </w:p>
    <w:p>
      <w:pPr>
        <w:jc w:val="both"/>
        <w:ind w:right="20" w:firstLine="1498"/>
        <w:spacing w:after="0" w:line="262"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together with the Plan, represents the entire agreement between the parties hereto relating to the subject matter hereof, and merges and supersedes all prior and contemporaneous discussions, agreements and understandings of every nature relating to the award of the Option to the Grantee by the Company.</w:t>
      </w:r>
    </w:p>
    <w:p>
      <w:pPr>
        <w:spacing w:after="0" w:line="245" w:lineRule="exact"/>
        <w:rPr>
          <w:sz w:val="20"/>
          <w:szCs w:val="20"/>
          <w:color w:val="auto"/>
        </w:rPr>
      </w:pPr>
    </w:p>
    <w:p>
      <w:pPr>
        <w:jc w:val="both"/>
        <w:ind w:right="20" w:firstLine="1498"/>
        <w:spacing w:after="0" w:line="308"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u w:val="single" w:color="auto"/>
          <w:color w:val="auto"/>
        </w:rPr>
        <w:t>Administration</w:t>
      </w:r>
      <w:r>
        <w:rPr>
          <w:rFonts w:ascii="Arial" w:cs="Arial" w:eastAsia="Arial" w:hAnsi="Arial"/>
          <w:sz w:val="19"/>
          <w:szCs w:val="19"/>
          <w:color w:val="auto"/>
        </w:rPr>
        <w:t>. All questions of interpretation concerning this Agreement, the Plan, or any other agreement or document employed by the Company in the administration of the Plan or the Option shall be determined by the Committee. All such determinations by the Committee shall be final, binding, and conclusive upon all Persons having an interest in the Option. In addition, all other actions, decisions, and determinations taken or made by the Committee in the exercise of its discretion pursuant to the Plan, this Agreement or the Option or any other agreement or document relating thereto or hereto shall be final, binding and conclusive upon all Persons having an interest in this Agreement or the Option.</w:t>
      </w:r>
    </w:p>
    <w:p>
      <w:pPr>
        <w:spacing w:after="0" w:line="221" w:lineRule="exact"/>
        <w:rPr>
          <w:sz w:val="20"/>
          <w:szCs w:val="20"/>
          <w:color w:val="auto"/>
        </w:rPr>
      </w:pPr>
    </w:p>
    <w:p>
      <w:pPr>
        <w:jc w:val="both"/>
        <w:ind w:right="20" w:firstLine="1498"/>
        <w:spacing w:after="0" w:line="266" w:lineRule="auto"/>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Binding Effect</w:t>
      </w:r>
      <w:r>
        <w:rPr>
          <w:rFonts w:ascii="Arial" w:cs="Arial" w:eastAsia="Arial" w:hAnsi="Arial"/>
          <w:sz w:val="22"/>
          <w:szCs w:val="22"/>
          <w:color w:val="auto"/>
        </w:rPr>
        <w:t>. This Agreement shall be binding upon and inure to the benefit of the Company and its successors and assigns and upon the Grantee and his or her permitted transferees, heirs, executors, administrators and legal representatives.</w:t>
      </w:r>
    </w:p>
    <w:p>
      <w:pPr>
        <w:spacing w:after="0" w:line="252" w:lineRule="exact"/>
        <w:rPr>
          <w:sz w:val="20"/>
          <w:szCs w:val="20"/>
          <w:color w:val="auto"/>
        </w:rPr>
      </w:pPr>
    </w:p>
    <w:p>
      <w:pPr>
        <w:jc w:val="both"/>
        <w:ind w:right="20" w:firstLine="1497"/>
        <w:spacing w:after="0" w:line="301" w:lineRule="auto"/>
        <w:rPr>
          <w:sz w:val="20"/>
          <w:szCs w:val="20"/>
          <w:color w:val="auto"/>
        </w:rPr>
      </w:pPr>
      <w:r>
        <w:rPr>
          <w:rFonts w:ascii="Arial" w:cs="Arial" w:eastAsia="Arial" w:hAnsi="Arial"/>
          <w:sz w:val="21"/>
          <w:szCs w:val="21"/>
          <w:color w:val="auto"/>
        </w:rPr>
        <w:t xml:space="preserve">Section 16. </w:t>
      </w:r>
      <w:r>
        <w:rPr>
          <w:rFonts w:ascii="Arial" w:cs="Arial" w:eastAsia="Arial" w:hAnsi="Arial"/>
          <w:sz w:val="21"/>
          <w:szCs w:val="21"/>
          <w:u w:val="single" w:color="auto"/>
          <w:color w:val="auto"/>
        </w:rPr>
        <w:t>Further Instruments</w:t>
      </w:r>
      <w:r>
        <w:rPr>
          <w:rFonts w:ascii="Arial" w:cs="Arial" w:eastAsia="Arial" w:hAnsi="Arial"/>
          <w:sz w:val="21"/>
          <w:szCs w:val="21"/>
          <w:color w:val="auto"/>
        </w:rPr>
        <w:t>. The parties to this Agreement agree to execute such further instruments and to take such further action as may reasonably be necessary to carry out the intent of this Agreement.</w:t>
      </w:r>
    </w:p>
    <w:p>
      <w:pPr>
        <w:spacing w:after="0" w:line="204" w:lineRule="exact"/>
        <w:rPr>
          <w:sz w:val="20"/>
          <w:szCs w:val="20"/>
          <w:color w:val="auto"/>
        </w:rPr>
      </w:pPr>
    </w:p>
    <w:p>
      <w:pPr>
        <w:jc w:val="both"/>
        <w:ind w:right="20" w:firstLine="1497"/>
        <w:spacing w:after="0" w:line="262" w:lineRule="auto"/>
        <w:rPr>
          <w:sz w:val="20"/>
          <w:szCs w:val="20"/>
          <w:color w:val="auto"/>
        </w:rPr>
      </w:pPr>
      <w:r>
        <w:rPr>
          <w:rFonts w:ascii="Arial" w:cs="Arial" w:eastAsia="Arial" w:hAnsi="Arial"/>
          <w:sz w:val="22"/>
          <w:szCs w:val="22"/>
          <w:color w:val="auto"/>
        </w:rPr>
        <w:t xml:space="preserve">Section 17. </w:t>
      </w:r>
      <w:r>
        <w:rPr>
          <w:rFonts w:ascii="Arial" w:cs="Arial" w:eastAsia="Arial" w:hAnsi="Arial"/>
          <w:sz w:val="22"/>
          <w:szCs w:val="22"/>
          <w:u w:val="single" w:color="auto"/>
          <w:color w:val="auto"/>
        </w:rPr>
        <w:t>Amendment; Termination; Waiver</w:t>
      </w:r>
      <w:r>
        <w:rPr>
          <w:rFonts w:ascii="Arial" w:cs="Arial" w:eastAsia="Arial" w:hAnsi="Arial"/>
          <w:sz w:val="22"/>
          <w:szCs w:val="22"/>
          <w:color w:val="auto"/>
        </w:rPr>
        <w:t>. Except as otherwise provided in the Plan, this Agreement may be amended or terminated, and its terms or covenants waived, only by a written instrument executed on behalf of the Company (as authorized by the Committee) and the Grantee that, in the case of an amendment or waiver, identifies the specific provision of this Agreement being amended or waived.</w:t>
      </w:r>
    </w:p>
    <w:p>
      <w:pPr>
        <w:spacing w:after="0" w:line="259" w:lineRule="exact"/>
        <w:rPr>
          <w:sz w:val="20"/>
          <w:szCs w:val="20"/>
          <w:color w:val="auto"/>
        </w:rPr>
      </w:pPr>
    </w:p>
    <w:p>
      <w:pPr>
        <w:jc w:val="both"/>
        <w:ind w:right="20" w:firstLine="1498"/>
        <w:spacing w:after="0" w:line="260" w:lineRule="auto"/>
        <w:rPr>
          <w:sz w:val="20"/>
          <w:szCs w:val="20"/>
          <w:color w:val="auto"/>
        </w:rPr>
      </w:pPr>
      <w:r>
        <w:rPr>
          <w:rFonts w:ascii="Arial" w:cs="Arial" w:eastAsia="Arial" w:hAnsi="Arial"/>
          <w:sz w:val="22"/>
          <w:szCs w:val="22"/>
          <w:color w:val="auto"/>
        </w:rPr>
        <w:t xml:space="preserve">Section 18. </w:t>
      </w:r>
      <w:r>
        <w:rPr>
          <w:rFonts w:ascii="Arial" w:cs="Arial" w:eastAsia="Arial" w:hAnsi="Arial"/>
          <w:sz w:val="22"/>
          <w:szCs w:val="22"/>
          <w:u w:val="single" w:color="auto"/>
          <w:color w:val="auto"/>
        </w:rPr>
        <w:t>Delivery of Documents and Notices</w:t>
      </w:r>
      <w:r>
        <w:rPr>
          <w:rFonts w:ascii="Arial" w:cs="Arial" w:eastAsia="Arial" w:hAnsi="Arial"/>
          <w:sz w:val="22"/>
          <w:szCs w:val="22"/>
          <w:color w:val="auto"/>
        </w:rPr>
        <w:t>. Unless otherwise specified by the Grantee in writing, all documents relating to the Plan (including, without limitation, the Plan, this Agreement, the Plan prospectus and any reports of the Company provided generally to the Company’s stockholders) may be delivered to the Grantee electronically. Such means of electronic delivery may include the delivery of a link to a Company intranet or the internet site of a third party involved in administering the Plan, the delivery of the document via e-mail or other means of electronic delivery specified by the Company.</w:t>
      </w:r>
    </w:p>
    <w:p>
      <w:pPr>
        <w:spacing w:after="0" w:line="259"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The Grantee acknowledges that the Grantee has read this Section 18 and consents to the electronic delivery of the Plan documents. The Grantee acknowledges that he or she may request</w:t>
      </w:r>
    </w:p>
    <w:p>
      <w:pPr>
        <w:spacing w:after="0" w:line="26" w:lineRule="exact"/>
        <w:rPr>
          <w:sz w:val="20"/>
          <w:szCs w:val="20"/>
          <w:color w:val="auto"/>
        </w:rPr>
      </w:pPr>
    </w:p>
    <w:p>
      <w:pPr>
        <w:jc w:val="both"/>
        <w:ind w:right="20"/>
        <w:spacing w:after="0" w:line="317" w:lineRule="auto"/>
        <w:rPr>
          <w:sz w:val="20"/>
          <w:szCs w:val="20"/>
          <w:color w:val="auto"/>
        </w:rPr>
      </w:pPr>
      <w:r>
        <w:rPr>
          <w:rFonts w:ascii="Arial" w:cs="Arial" w:eastAsia="Arial" w:hAnsi="Arial"/>
          <w:sz w:val="19"/>
          <w:szCs w:val="19"/>
          <w:color w:val="auto"/>
        </w:rPr>
        <w:t>from the Company a paper copy of any documents delivered electronically at no cost to the Grantee by contacting the Company by telephone or in writing. The Grantee further acknowledges that the Grantee will be provided with a paper copy of any documents if the attempted electronic delivery of such documents fails. Similarly, the Grantee understands that the Grantee must provide the Company or any designated third-party administrator with a paper copy of any documents if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159385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60" w:top="483" w:right="439" w:bottom="1440" w:gutter="0" w:footer="0" w:header="0"/>
        </w:sectPr>
      </w:pPr>
    </w:p>
    <w:bookmarkStart w:id="79" w:name="page80"/>
    <w:bookmarkEnd w:id="79"/>
    <w:p>
      <w:pPr>
        <w:jc w:val="both"/>
        <w:ind w:left="140"/>
        <w:spacing w:after="0" w:line="276" w:lineRule="auto"/>
        <w:rPr>
          <w:sz w:val="20"/>
          <w:szCs w:val="20"/>
          <w:color w:val="auto"/>
        </w:rPr>
      </w:pPr>
      <w:r>
        <w:rPr>
          <w:rFonts w:ascii="Arial" w:cs="Arial" w:eastAsia="Arial" w:hAnsi="Arial"/>
          <w:sz w:val="21"/>
          <w:szCs w:val="21"/>
          <w:color w:val="auto"/>
        </w:rPr>
        <w:t>Grantee’s attempted electronic delivery of such documents fails. The Grantee may revoke his or her consent to the electronic delivery of documents described in this Section or may change the electronic mail address to which such documents are to be delivered (if Grantee has provided an electronic mail address) at any time by notifying the Company of such revoked consent or revised e-mail address by postal service or electronic mail. The Grantee understands that he or she is not required to consent to electronic delivery of documents described in this Section 18.</w:t>
      </w:r>
    </w:p>
    <w:p>
      <w:pPr>
        <w:spacing w:after="0" w:line="245" w:lineRule="exact"/>
        <w:rPr>
          <w:sz w:val="20"/>
          <w:szCs w:val="20"/>
          <w:color w:val="auto"/>
        </w:rPr>
      </w:pPr>
    </w:p>
    <w:p>
      <w:pPr>
        <w:jc w:val="both"/>
        <w:ind w:left="140" w:firstLine="1498"/>
        <w:spacing w:after="0" w:line="276" w:lineRule="auto"/>
        <w:rPr>
          <w:sz w:val="20"/>
          <w:szCs w:val="20"/>
          <w:color w:val="auto"/>
        </w:rPr>
      </w:pPr>
      <w:r>
        <w:rPr>
          <w:rFonts w:ascii="Arial" w:cs="Arial" w:eastAsia="Arial" w:hAnsi="Arial"/>
          <w:sz w:val="22"/>
          <w:szCs w:val="22"/>
          <w:color w:val="auto"/>
        </w:rPr>
        <w:t xml:space="preserve">Section 19.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and enforced in accordance with the laws of the State of Delaware, without giving effect to the principles of conflicts of law thereof.</w:t>
      </w:r>
    </w:p>
    <w:p>
      <w:pPr>
        <w:spacing w:after="0" w:line="236" w:lineRule="exact"/>
        <w:rPr>
          <w:sz w:val="20"/>
          <w:szCs w:val="20"/>
          <w:color w:val="auto"/>
        </w:rPr>
      </w:pPr>
    </w:p>
    <w:p>
      <w:pPr>
        <w:jc w:val="both"/>
        <w:ind w:left="140" w:firstLine="1497"/>
        <w:spacing w:after="0" w:line="259" w:lineRule="auto"/>
        <w:rPr>
          <w:sz w:val="20"/>
          <w:szCs w:val="20"/>
          <w:color w:val="auto"/>
        </w:rPr>
      </w:pPr>
      <w:r>
        <w:rPr>
          <w:rFonts w:ascii="Arial" w:cs="Arial" w:eastAsia="Arial" w:hAnsi="Arial"/>
          <w:sz w:val="22"/>
          <w:szCs w:val="22"/>
          <w:color w:val="auto"/>
        </w:rPr>
        <w:t xml:space="preserve">Section 20. </w:t>
      </w:r>
      <w:r>
        <w:rPr>
          <w:rFonts w:ascii="Arial" w:cs="Arial" w:eastAsia="Arial" w:hAnsi="Arial"/>
          <w:sz w:val="22"/>
          <w:szCs w:val="22"/>
          <w:b w:val="1"/>
          <w:bCs w:val="1"/>
          <w:u w:val="single" w:color="auto"/>
          <w:color w:val="auto"/>
        </w:rPr>
        <w:t>JURISDICTION; WAIVER OF JURY TRIAL</w:t>
      </w:r>
      <w:r>
        <w:rPr>
          <w:rFonts w:ascii="Arial" w:cs="Arial" w:eastAsia="Arial" w:hAnsi="Arial"/>
          <w:sz w:val="22"/>
          <w:szCs w:val="22"/>
          <w:b w:val="1"/>
          <w:bCs w:val="1"/>
          <w:color w:val="auto"/>
        </w:rPr>
        <w:t>. BY ENTERING INTO THIS</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 THE COMPANY AND THE GRANTEE IRREVOCABLY SUBMIT TO AND ACCEPT GENERALLY AND UNCONDITIONALLY THE EXCLUSIVE JURISDICTION OF THE FEDERAL COURTS LOCATED IN SAN DIEGO COUNTY (OR IF FEDERAL JURISDICTION DOES NOT EXIST, IN THE STATE COURTS LOCATED THEREIN) WITH RESPECT TO ALL DISPUTES RELATING TO THIS AGREEMENT, THE OPTION OR THE PLAN. THE COMPANY AND THE GRANTEE HEREBY ACCEPT SERVICE OF PROCESS PURSUANT TO THE LAWS OF THE STATE OF CALIFORNIA AND THE RULES OF ITS COURTS, WAIVE ANY DEFENSE OF FORUM NON CONVENIENS AND AGREE TO BE BOUND BY ANY JUDGMENT RENDERED BY SUCH COURTS ARISING OUT OF, RELATED TO, OR IN CONNECTION WITH, THIS AGREEMENT, THE OPTION OR THE PLAN.</w:t>
      </w:r>
    </w:p>
    <w:p>
      <w:pPr>
        <w:spacing w:after="0" w:line="240" w:lineRule="exact"/>
        <w:rPr>
          <w:sz w:val="20"/>
          <w:szCs w:val="20"/>
          <w:color w:val="auto"/>
        </w:rPr>
      </w:pPr>
    </w:p>
    <w:p>
      <w:pPr>
        <w:jc w:val="both"/>
        <w:ind w:left="140" w:firstLine="656"/>
        <w:spacing w:after="0" w:line="269" w:lineRule="auto"/>
        <w:rPr>
          <w:sz w:val="20"/>
          <w:szCs w:val="20"/>
          <w:color w:val="auto"/>
        </w:rPr>
      </w:pPr>
      <w:r>
        <w:rPr>
          <w:rFonts w:ascii="Arial" w:cs="Arial" w:eastAsia="Arial" w:hAnsi="Arial"/>
          <w:sz w:val="22"/>
          <w:szCs w:val="22"/>
          <w:b w:val="1"/>
          <w:bCs w:val="1"/>
          <w:color w:val="auto"/>
        </w:rPr>
        <w:t>THE COMPANY AND THE GRANTEE IRREVOCABLY WAIVE ANY AND ALL RIGHT TO TRIAL BY JURY IN ANY LEGAL PROCEEDING ARISING OUT OF, RELATING TO, OR IN CONNECTION WITH THIS AGREEMENT, THE OPTION OR THE PLAN.</w:t>
      </w:r>
    </w:p>
    <w:p>
      <w:pPr>
        <w:spacing w:after="0" w:line="208" w:lineRule="exact"/>
        <w:rPr>
          <w:sz w:val="20"/>
          <w:szCs w:val="20"/>
          <w:color w:val="auto"/>
        </w:rPr>
      </w:pPr>
    </w:p>
    <w:p>
      <w:pPr>
        <w:jc w:val="both"/>
        <w:ind w:left="140" w:firstLine="1497"/>
        <w:spacing w:after="0" w:line="262" w:lineRule="auto"/>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Severability</w:t>
      </w:r>
      <w:r>
        <w:rPr>
          <w:rFonts w:ascii="Arial" w:cs="Arial" w:eastAsia="Arial" w:hAnsi="Arial"/>
          <w:sz w:val="22"/>
          <w:szCs w:val="22"/>
          <w:color w:val="auto"/>
        </w:rPr>
        <w:t>. All provisions of this Agreement are distinct and severable and if any clause shall be held to be invalid, illegal or against public policy, the validity or the legality of the remainder of this Agreement shall not be affected thereby, and the remainder of this Agreement shall be interpreted to give maximum effect to the original intention of the parties hereto.</w:t>
      </w:r>
    </w:p>
    <w:p>
      <w:pPr>
        <w:spacing w:after="0" w:line="218" w:lineRule="exact"/>
        <w:rPr>
          <w:sz w:val="20"/>
          <w:szCs w:val="20"/>
          <w:color w:val="auto"/>
        </w:rPr>
      </w:pPr>
    </w:p>
    <w:p>
      <w:pPr>
        <w:jc w:val="both"/>
        <w:ind w:left="140" w:firstLine="1497"/>
        <w:spacing w:after="0" w:line="327"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u w:val="single" w:color="auto"/>
          <w:color w:val="auto"/>
        </w:rPr>
        <w:t>Defined Terms/Construction</w:t>
      </w:r>
      <w:r>
        <w:rPr>
          <w:rFonts w:ascii="Arial" w:cs="Arial" w:eastAsia="Arial" w:hAnsi="Arial"/>
          <w:sz w:val="19"/>
          <w:szCs w:val="19"/>
          <w:color w:val="auto"/>
        </w:rPr>
        <w:t>. Capitalized terms used in this Agreement and not otherwise defined in this Agreement have the meanings ascribed to them in the Plan. Captions and titles contained in this Agreement are for convenience only and shall not affect the meaning or interpretation of any provision of this Agreement.</w:t>
      </w:r>
    </w:p>
    <w:p>
      <w:pPr>
        <w:spacing w:after="0" w:line="268"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Authorization to Release and Transfer Necessary Personal Information</w:t>
      </w:r>
      <w:r>
        <w:rPr>
          <w:rFonts w:ascii="Arial" w:cs="Arial" w:eastAsia="Arial" w:hAnsi="Arial"/>
          <w:sz w:val="22"/>
          <w:szCs w:val="22"/>
          <w:color w:val="auto"/>
        </w:rPr>
        <w:t>.</w:t>
      </w:r>
    </w:p>
    <w:p>
      <w:pPr>
        <w:spacing w:after="0" w:line="206" w:lineRule="exact"/>
        <w:rPr>
          <w:sz w:val="20"/>
          <w:szCs w:val="20"/>
          <w:color w:val="auto"/>
        </w:rPr>
      </w:pPr>
    </w:p>
    <w:p>
      <w:pPr>
        <w:ind w:left="2300" w:hanging="645"/>
        <w:spacing w:after="0"/>
        <w:tabs>
          <w:tab w:leader="none" w:pos="23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Grantee hereby explicitly and unambiguously consents to the collection,</w:t>
      </w:r>
    </w:p>
    <w:p>
      <w:pPr>
        <w:spacing w:after="0" w:line="21" w:lineRule="exact"/>
        <w:rPr>
          <w:sz w:val="20"/>
          <w:szCs w:val="20"/>
          <w:color w:val="auto"/>
        </w:rPr>
      </w:pPr>
    </w:p>
    <w:p>
      <w:pPr>
        <w:ind w:right="60"/>
        <w:spacing w:after="0" w:line="264" w:lineRule="auto"/>
        <w:rPr>
          <w:sz w:val="20"/>
          <w:szCs w:val="20"/>
          <w:color w:val="auto"/>
        </w:rPr>
      </w:pPr>
      <w:r>
        <w:rPr>
          <w:rFonts w:ascii="Arial" w:cs="Arial" w:eastAsia="Arial" w:hAnsi="Arial"/>
          <w:sz w:val="22"/>
          <w:szCs w:val="22"/>
          <w:color w:val="auto"/>
        </w:rPr>
        <w:t>use and transfer, in electronic or other form, of Grantee’s personal information as described in this Agreement by and among, as applicable, the Company and its Subsidiaries and affiliates for the exclusive purpose of implementing, administering and managing Grantee’s participation in the Plan.</w:t>
      </w:r>
    </w:p>
    <w:p>
      <w:pPr>
        <w:spacing w:after="0" w:line="52" w:lineRule="exact"/>
        <w:rPr>
          <w:sz w:val="20"/>
          <w:szCs w:val="20"/>
          <w:color w:val="auto"/>
        </w:rPr>
      </w:pPr>
    </w:p>
    <w:p>
      <w:pPr>
        <w:ind w:left="2300" w:hanging="645"/>
        <w:spacing w:after="0"/>
        <w:tabs>
          <w:tab w:leader="none" w:pos="23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Grantee understands that the Company and its Subsidiaries may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69" w:right="459" w:bottom="1440" w:gutter="0" w:footer="0" w:header="0"/>
        </w:sectPr>
      </w:pPr>
    </w:p>
    <w:bookmarkStart w:id="80" w:name="page81"/>
    <w:bookmarkEnd w:id="80"/>
    <w:p>
      <w:pPr>
        <w:ind w:right="100"/>
        <w:spacing w:after="0" w:line="300" w:lineRule="auto"/>
        <w:rPr>
          <w:sz w:val="20"/>
          <w:szCs w:val="20"/>
          <w:color w:val="auto"/>
        </w:rPr>
      </w:pPr>
      <w:r>
        <w:rPr>
          <w:rFonts w:ascii="Arial" w:cs="Arial" w:eastAsia="Arial" w:hAnsi="Arial"/>
          <w:sz w:val="19"/>
          <w:szCs w:val="19"/>
          <w:color w:val="auto"/>
        </w:rPr>
        <w:t>certain personal information about Grantee, including, but not limited to, Grantee’s name, home address and telephone number, date of birth, social security number (or any other social or national identification number), pay, nationality, job title, residency status, any Shares or directorships held in the Company, details of all Options or any other entitlement to Shares awarded, canceled, exercised, vested, unvested or outstanding (the “</w:t>
      </w:r>
      <w:r>
        <w:rPr>
          <w:rFonts w:ascii="Arial" w:cs="Arial" w:eastAsia="Arial" w:hAnsi="Arial"/>
          <w:sz w:val="19"/>
          <w:szCs w:val="19"/>
          <w:b w:val="1"/>
          <w:bCs w:val="1"/>
          <w:i w:val="1"/>
          <w:iCs w:val="1"/>
          <w:color w:val="auto"/>
        </w:rPr>
        <w:t>Data</w:t>
      </w:r>
      <w:r>
        <w:rPr>
          <w:rFonts w:ascii="Arial" w:cs="Arial" w:eastAsia="Arial" w:hAnsi="Arial"/>
          <w:sz w:val="19"/>
          <w:szCs w:val="19"/>
          <w:color w:val="auto"/>
        </w:rPr>
        <w:t>”) for the purpose of implementing, administering and managing Grantee’s participation in the Plan. Grantee understands that the Data may be transferred to the Company or any of its Subsidiaries or affiliates, or to any third parties assisting in the implementation, administration and management of the Plan, that these recipients may be located in Grantee’s country or elsewhere, including outside the European Economic Area, and that the recipient’s country may have different data privacy laws and protections than Grantee’s country. Grantee understands that Grantee may request a list with the names and addresses of any potential recipients of the Data by contacting the Company’s human resources representative. Grantee authorizes the recipients to receive, possess, use, retain and transfer the Data, in electronic or other form, for the sole purposes of implementing, administering and managing Grantee’s participation in the Plan, including any requisite transfer of such Data to a broker or other third party assisting with the administration of the Option under the Plan or with whom Shares acquired pursuant to the Option or cash from the sale of such Shares may be deposited. Furthermore, Grantee acknowledges and understands that the transfer of the Data to the Company or any of its Subsidiaries or affiliates, or to any third parties is necessary for Grantee’s participation in the Plan.</w:t>
      </w:r>
    </w:p>
    <w:p>
      <w:pPr>
        <w:spacing w:after="0" w:line="237" w:lineRule="exact"/>
        <w:rPr>
          <w:sz w:val="20"/>
          <w:szCs w:val="20"/>
          <w:color w:val="auto"/>
        </w:rPr>
      </w:pPr>
    </w:p>
    <w:p>
      <w:pPr>
        <w:ind w:left="2300" w:hanging="645"/>
        <w:spacing w:after="0"/>
        <w:tabs>
          <w:tab w:leader="none" w:pos="23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Grantee understands that the Data will be held only as long as is necessary</w:t>
      </w:r>
    </w:p>
    <w:p>
      <w:pPr>
        <w:spacing w:after="0" w:line="21"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to implement, administer and manage Grantee’s participation in the Plan. Grantee understands that Grantee may, at any time, view the Data, request additional information about the storage and processing of the Data, require any necessary amendments to the Data or refuse or withdraw the consents herein by contacting the Company’s human resources representative in writing. Further, Grantee understands that Grantee is providing the consents herein on a purely voluntary basis. If Grantee does not consent, or if Grantee later seeks to revoke his or her consent, Grantee’s service and career with the Company and its Subsidiaries will not be affected; the only consequence of refusing or withdrawing Grantee’s consent is that the Company would not be able to grant Grantee Options or other equity awards, or administer or maintain such awards. Therefore, Grantee understands that refusing or withdrawing Grantee’s consent may affect Grantee’s ability to vest in or realize benefits from the Option and to participate in the Plan. For more information on the consequences of refusing to consent or withdrawal of consent, Grantee understands that he or she may contact the Company’s human resources representative.</w:t>
      </w:r>
    </w:p>
    <w:p>
      <w:pPr>
        <w:spacing w:after="0" w:line="284"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Section 24. </w:t>
      </w:r>
      <w:r>
        <w:rPr>
          <w:rFonts w:ascii="Arial" w:cs="Arial" w:eastAsia="Arial" w:hAnsi="Arial"/>
          <w:sz w:val="22"/>
          <w:szCs w:val="22"/>
          <w:u w:val="single" w:color="auto"/>
          <w:color w:val="auto"/>
        </w:rPr>
        <w:t>No Entitlement for Claims for Compensation</w:t>
      </w:r>
      <w:r>
        <w:rPr>
          <w:rFonts w:ascii="Arial" w:cs="Arial" w:eastAsia="Arial" w:hAnsi="Arial"/>
          <w:sz w:val="22"/>
          <w:szCs w:val="22"/>
          <w:color w:val="auto"/>
        </w:rPr>
        <w:t>.</w:t>
      </w:r>
    </w:p>
    <w:p>
      <w:pPr>
        <w:spacing w:after="0" w:line="301" w:lineRule="exact"/>
        <w:rPr>
          <w:sz w:val="20"/>
          <w:szCs w:val="20"/>
          <w:color w:val="auto"/>
        </w:rPr>
      </w:pPr>
    </w:p>
    <w:p>
      <w:pPr>
        <w:jc w:val="both"/>
        <w:ind w:left="1620" w:right="120" w:firstLine="1712"/>
        <w:spacing w:after="0" w:line="306" w:lineRule="auto"/>
        <w:tabs>
          <w:tab w:leader="none" w:pos="4414" w:val="left"/>
        </w:tabs>
        <w:numPr>
          <w:ilvl w:val="0"/>
          <w:numId w:val="16"/>
        </w:numPr>
        <w:rPr>
          <w:rFonts w:ascii="Arial" w:cs="Arial" w:eastAsia="Arial" w:hAnsi="Arial"/>
          <w:sz w:val="19"/>
          <w:szCs w:val="19"/>
          <w:color w:val="auto"/>
        </w:rPr>
      </w:pPr>
      <w:r>
        <w:rPr>
          <w:rFonts w:ascii="Arial" w:cs="Arial" w:eastAsia="Arial" w:hAnsi="Arial"/>
          <w:sz w:val="19"/>
          <w:szCs w:val="19"/>
          <w:color w:val="auto"/>
        </w:rPr>
        <w:t>Grantee’s rights, if any, in respect of or in connection with the Option or any other Award are derived solely from the discretionary decision of the Company to permit Grantee to participate in the Plan and to benefit from a discretionary Award. The Plan may be amended, suspended or terminated by the Company at any time, unless otherwise provided in the Plan and this Agreement. By accepting the Option, Grantee expressly acknowledges that there is no obligation on the part of the Company to continue the Plan and/or grant any additional Awards, even if Awards have been granted in the past. All decisions with respect to future grants of Awards, if any, will be at the sole discretion of the Committee.</w:t>
      </w:r>
    </w:p>
    <w:p>
      <w:pPr>
        <w:spacing w:after="0" w:line="210" w:lineRule="exact"/>
        <w:rPr>
          <w:rFonts w:ascii="Arial" w:cs="Arial" w:eastAsia="Arial" w:hAnsi="Arial"/>
          <w:sz w:val="19"/>
          <w:szCs w:val="19"/>
          <w:color w:val="auto"/>
        </w:rPr>
      </w:pPr>
    </w:p>
    <w:p>
      <w:pPr>
        <w:ind w:left="1620" w:right="120" w:firstLine="1712"/>
        <w:spacing w:after="0" w:line="358" w:lineRule="auto"/>
        <w:tabs>
          <w:tab w:leader="none" w:pos="4414"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Option is not intended to replace any pension rights or compensation and is not to be considered compensation or pay of a continuing or recurring nature, or part of Grantee’s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81" w:name="page82"/>
    <w:bookmarkEnd w:id="81"/>
    <w:p>
      <w:pPr>
        <w:jc w:val="both"/>
        <w:ind w:left="1480"/>
        <w:spacing w:after="0" w:line="308" w:lineRule="auto"/>
        <w:rPr>
          <w:sz w:val="20"/>
          <w:szCs w:val="20"/>
          <w:color w:val="auto"/>
        </w:rPr>
      </w:pPr>
      <w:r>
        <w:rPr>
          <w:rFonts w:ascii="Arial" w:cs="Arial" w:eastAsia="Arial" w:hAnsi="Arial"/>
          <w:sz w:val="19"/>
          <w:szCs w:val="19"/>
          <w:color w:val="auto"/>
        </w:rPr>
        <w:t>normal or expected compensation, and in no way represents any portion of Grantee’s compensation or other remuneration for any purpose, including, but not limited to, calculating any severance, pension or other pay or benefit, and in no event should be considered as compensation or pay for, or relating in any way to, past services for the Company or any Subsidiary or affiliate. The value of the Option is an extraordinary item that does not constitute compensation or pay of any kind for services of any kind rendered to the Company or its Subsidiaries or affiliates and which is outside the scope of Grantee’s written service agreement (if any).</w:t>
      </w:r>
    </w:p>
    <w:p>
      <w:pPr>
        <w:spacing w:after="0" w:line="221" w:lineRule="exact"/>
        <w:rPr>
          <w:sz w:val="20"/>
          <w:szCs w:val="20"/>
          <w:color w:val="auto"/>
        </w:rPr>
      </w:pPr>
    </w:p>
    <w:p>
      <w:pPr>
        <w:ind w:left="2140" w:hanging="650"/>
        <w:spacing w:after="0"/>
        <w:tabs>
          <w:tab w:leader="none" w:pos="21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Grantee acknowledges that he or she is voluntarily participating in the Plan.</w:t>
      </w:r>
    </w:p>
    <w:p>
      <w:pPr>
        <w:spacing w:after="0" w:line="287" w:lineRule="exact"/>
        <w:rPr>
          <w:rFonts w:ascii="Arial" w:cs="Arial" w:eastAsia="Arial" w:hAnsi="Arial"/>
          <w:sz w:val="22"/>
          <w:szCs w:val="22"/>
          <w:color w:val="auto"/>
        </w:rPr>
      </w:pPr>
    </w:p>
    <w:p>
      <w:pPr>
        <w:ind w:left="1480" w:right="160" w:firstLine="1712"/>
        <w:spacing w:after="0" w:line="262" w:lineRule="auto"/>
        <w:tabs>
          <w:tab w:leader="none" w:pos="4274" w:val="left"/>
        </w:tabs>
        <w:numPr>
          <w:ilvl w:val="1"/>
          <w:numId w:val="17"/>
        </w:numPr>
        <w:rPr>
          <w:rFonts w:ascii="Arial" w:cs="Arial" w:eastAsia="Arial" w:hAnsi="Arial"/>
          <w:sz w:val="22"/>
          <w:szCs w:val="22"/>
          <w:color w:val="auto"/>
        </w:rPr>
      </w:pPr>
      <w:r>
        <w:rPr>
          <w:rFonts w:ascii="Arial" w:cs="Arial" w:eastAsia="Arial" w:hAnsi="Arial"/>
          <w:sz w:val="22"/>
          <w:szCs w:val="22"/>
          <w:color w:val="auto"/>
        </w:rPr>
        <w:t>Neither the Plan nor the Option or any other Award granted under the Plan shall be deemed to give Grantee a right to remain in the service of the Company or any Subsidiary or Affiliate in any capacity. The Company reserves the right to terminate Grantee’s service at any time, with or without cause, and for any reason.</w:t>
      </w:r>
    </w:p>
    <w:p>
      <w:pPr>
        <w:spacing w:after="0" w:line="258" w:lineRule="exact"/>
        <w:rPr>
          <w:rFonts w:ascii="Arial" w:cs="Arial" w:eastAsia="Arial" w:hAnsi="Arial"/>
          <w:sz w:val="22"/>
          <w:szCs w:val="22"/>
          <w:color w:val="auto"/>
        </w:rPr>
      </w:pPr>
    </w:p>
    <w:p>
      <w:pPr>
        <w:ind w:left="4280" w:hanging="1086"/>
        <w:spacing w:after="0"/>
        <w:tabs>
          <w:tab w:leader="none" w:pos="4280" w:val="left"/>
        </w:tabs>
        <w:numPr>
          <w:ilvl w:val="1"/>
          <w:numId w:val="17"/>
        </w:numPr>
        <w:rPr>
          <w:rFonts w:ascii="Arial" w:cs="Arial" w:eastAsia="Arial" w:hAnsi="Arial"/>
          <w:sz w:val="19"/>
          <w:szCs w:val="19"/>
          <w:color w:val="auto"/>
        </w:rPr>
      </w:pPr>
      <w:r>
        <w:rPr>
          <w:rFonts w:ascii="Arial" w:cs="Arial" w:eastAsia="Arial" w:hAnsi="Arial"/>
          <w:sz w:val="19"/>
          <w:szCs w:val="19"/>
          <w:color w:val="auto"/>
        </w:rPr>
        <w:t>The grant of the Option and Grantee’s participation in the Plan will not be</w:t>
      </w:r>
    </w:p>
    <w:p>
      <w:pPr>
        <w:spacing w:after="0" w:line="55" w:lineRule="exact"/>
        <w:rPr>
          <w:rFonts w:ascii="Arial" w:cs="Arial" w:eastAsia="Arial" w:hAnsi="Arial"/>
          <w:sz w:val="19"/>
          <w:szCs w:val="19"/>
          <w:color w:val="auto"/>
        </w:rPr>
      </w:pPr>
    </w:p>
    <w:p>
      <w:pPr>
        <w:ind w:left="1480"/>
        <w:spacing w:after="0"/>
        <w:rPr>
          <w:rFonts w:ascii="Arial" w:cs="Arial" w:eastAsia="Arial" w:hAnsi="Arial"/>
          <w:sz w:val="19"/>
          <w:szCs w:val="19"/>
          <w:color w:val="auto"/>
        </w:rPr>
      </w:pPr>
      <w:r>
        <w:rPr>
          <w:rFonts w:ascii="Arial" w:cs="Arial" w:eastAsia="Arial" w:hAnsi="Arial"/>
          <w:sz w:val="22"/>
          <w:szCs w:val="22"/>
          <w:color w:val="auto"/>
        </w:rPr>
        <w:t>interpreted to form a service relationship with the Company or any Subsidiary or affiliate.</w:t>
      </w:r>
    </w:p>
    <w:p>
      <w:pPr>
        <w:spacing w:after="0" w:line="296" w:lineRule="exact"/>
        <w:rPr>
          <w:rFonts w:ascii="Arial" w:cs="Arial" w:eastAsia="Arial" w:hAnsi="Arial"/>
          <w:sz w:val="19"/>
          <w:szCs w:val="19"/>
          <w:color w:val="auto"/>
        </w:rPr>
      </w:pPr>
    </w:p>
    <w:p>
      <w:pPr>
        <w:ind w:left="1480" w:right="200" w:firstLine="1714"/>
        <w:spacing w:after="0" w:line="317" w:lineRule="auto"/>
        <w:tabs>
          <w:tab w:leader="none" w:pos="4274" w:val="left"/>
        </w:tabs>
        <w:numPr>
          <w:ilvl w:val="1"/>
          <w:numId w:val="17"/>
        </w:numPr>
        <w:rPr>
          <w:rFonts w:ascii="Arial" w:cs="Arial" w:eastAsia="Arial" w:hAnsi="Arial"/>
          <w:sz w:val="19"/>
          <w:szCs w:val="19"/>
          <w:color w:val="auto"/>
        </w:rPr>
      </w:pPr>
      <w:r>
        <w:rPr>
          <w:rFonts w:ascii="Arial" w:cs="Arial" w:eastAsia="Arial" w:hAnsi="Arial"/>
          <w:sz w:val="19"/>
          <w:szCs w:val="19"/>
          <w:color w:val="auto"/>
        </w:rPr>
        <w:t>The future value of the Shares is unknown, indeterminable and cannot be predicted with certainty and if Grantee vests in the Option and purchases Shares, the value of those Shares may increase or decrease. Grantee also understand that none of the Company or its Subsidiaries or affiliates is responsible for any foreign exchange fluctuation that may affect the value of the Option.</w:t>
      </w:r>
    </w:p>
    <w:p>
      <w:pPr>
        <w:spacing w:after="0" w:line="195" w:lineRule="exact"/>
        <w:rPr>
          <w:rFonts w:ascii="Arial" w:cs="Arial" w:eastAsia="Arial" w:hAnsi="Arial"/>
          <w:sz w:val="19"/>
          <w:szCs w:val="19"/>
          <w:color w:val="auto"/>
        </w:rPr>
      </w:pPr>
    </w:p>
    <w:p>
      <w:pPr>
        <w:ind w:left="1480" w:right="80" w:firstLine="1712"/>
        <w:spacing w:after="0" w:line="272" w:lineRule="auto"/>
        <w:tabs>
          <w:tab w:leader="none" w:pos="4274" w:val="left"/>
        </w:tabs>
        <w:numPr>
          <w:ilvl w:val="1"/>
          <w:numId w:val="17"/>
        </w:numPr>
        <w:rPr>
          <w:rFonts w:ascii="Arial" w:cs="Arial" w:eastAsia="Arial" w:hAnsi="Arial"/>
          <w:sz w:val="21"/>
          <w:szCs w:val="21"/>
          <w:color w:val="auto"/>
        </w:rPr>
      </w:pPr>
      <w:r>
        <w:rPr>
          <w:rFonts w:ascii="Arial" w:cs="Arial" w:eastAsia="Arial" w:hAnsi="Arial"/>
          <w:sz w:val="21"/>
          <w:szCs w:val="21"/>
          <w:color w:val="auto"/>
        </w:rPr>
        <w:t>No claim or entitlement to compensation or damages shall arise from forfeiture of the Option resulting from the termination of Grantee’s service by the Company (for any reason whatsoever and whether or not later found to be invalid or in breach of the laws in the jurisdiction where Grantee is providing service, or the terms of Grantee’s service agreement, if any) and, in consideration of the grant of the Award to which Grantee is not otherwise entitled, Grantee irrevocably agree never to institute any claim against the Company or its Subsidiaries or affiliates, waives Grantee’s ability, if any, to bring any such claim, and releases the Company and its Subsidiaries and affiliates from any such claim; if notwithstanding the foregoing, any such claim is allowed by a court of competent jurisdiction, then, by accepting the Award,</w:t>
      </w:r>
    </w:p>
    <w:p>
      <w:pPr>
        <w:spacing w:after="0" w:line="48" w:lineRule="exact"/>
        <w:rPr>
          <w:sz w:val="20"/>
          <w:szCs w:val="20"/>
          <w:color w:val="auto"/>
        </w:rPr>
      </w:pPr>
    </w:p>
    <w:p>
      <w:pPr>
        <w:ind w:right="1520"/>
        <w:spacing w:after="0" w:line="276" w:lineRule="auto"/>
        <w:rPr>
          <w:sz w:val="20"/>
          <w:szCs w:val="20"/>
          <w:color w:val="auto"/>
        </w:rPr>
      </w:pPr>
      <w:r>
        <w:rPr>
          <w:rFonts w:ascii="Arial" w:cs="Arial" w:eastAsia="Arial" w:hAnsi="Arial"/>
          <w:sz w:val="22"/>
          <w:szCs w:val="22"/>
          <w:color w:val="auto"/>
        </w:rPr>
        <w:t>Grantee shall be deemed irrevocably to have agreed to not pursue such claim and agree to execute any and all documents necessary to request the withdrawal of such claim.</w:t>
      </w:r>
    </w:p>
    <w:p>
      <w:pPr>
        <w:spacing w:after="0" w:line="228" w:lineRule="exact"/>
        <w:rPr>
          <w:sz w:val="20"/>
          <w:szCs w:val="20"/>
          <w:color w:val="auto"/>
        </w:rPr>
      </w:pPr>
    </w:p>
    <w:p>
      <w:pPr>
        <w:ind w:left="1480" w:right="300" w:firstLine="1714"/>
        <w:spacing w:after="0" w:line="276" w:lineRule="auto"/>
        <w:tabs>
          <w:tab w:leader="none" w:pos="4274" w:val="left"/>
        </w:tabs>
        <w:numPr>
          <w:ilvl w:val="0"/>
          <w:numId w:val="18"/>
        </w:numPr>
        <w:rPr>
          <w:rFonts w:ascii="Arial" w:cs="Arial" w:eastAsia="Arial" w:hAnsi="Arial"/>
          <w:sz w:val="22"/>
          <w:szCs w:val="22"/>
          <w:color w:val="auto"/>
        </w:rPr>
      </w:pPr>
      <w:r>
        <w:rPr>
          <w:rFonts w:ascii="Arial" w:cs="Arial" w:eastAsia="Arial" w:hAnsi="Arial"/>
          <w:sz w:val="22"/>
          <w:szCs w:val="22"/>
          <w:color w:val="auto"/>
        </w:rPr>
        <w:t>Grantee agrees that the Company may require Shares received pursuant to the Option to be held by a broker designated by the Company.</w:t>
      </w:r>
    </w:p>
    <w:p>
      <w:pPr>
        <w:spacing w:after="0" w:line="241" w:lineRule="exact"/>
        <w:rPr>
          <w:rFonts w:ascii="Arial" w:cs="Arial" w:eastAsia="Arial" w:hAnsi="Arial"/>
          <w:sz w:val="22"/>
          <w:szCs w:val="22"/>
          <w:color w:val="auto"/>
        </w:rPr>
      </w:pPr>
    </w:p>
    <w:p>
      <w:pPr>
        <w:ind w:left="1480" w:right="380" w:firstLine="1716"/>
        <w:spacing w:after="0" w:line="276" w:lineRule="auto"/>
        <w:tabs>
          <w:tab w:leader="none" w:pos="4274" w:val="left"/>
        </w:tabs>
        <w:numPr>
          <w:ilvl w:val="0"/>
          <w:numId w:val="18"/>
        </w:numPr>
        <w:rPr>
          <w:rFonts w:ascii="Arial" w:cs="Arial" w:eastAsia="Arial" w:hAnsi="Arial"/>
          <w:sz w:val="22"/>
          <w:szCs w:val="22"/>
          <w:color w:val="auto"/>
        </w:rPr>
      </w:pPr>
      <w:r>
        <w:rPr>
          <w:rFonts w:ascii="Arial" w:cs="Arial" w:eastAsia="Arial" w:hAnsi="Arial"/>
          <w:sz w:val="22"/>
          <w:szCs w:val="22"/>
          <w:color w:val="auto"/>
        </w:rPr>
        <w:t>Grantee agrees that Grantee’s rights hereunder (if any) shall be subject to set-off by the Company for any valid debts Grantee owes the Company.</w:t>
      </w:r>
    </w:p>
    <w:p>
      <w:pPr>
        <w:spacing w:after="0" w:line="241" w:lineRule="exact"/>
        <w:rPr>
          <w:rFonts w:ascii="Arial" w:cs="Arial" w:eastAsia="Arial" w:hAnsi="Arial"/>
          <w:sz w:val="22"/>
          <w:szCs w:val="22"/>
          <w:color w:val="auto"/>
        </w:rPr>
      </w:pPr>
    </w:p>
    <w:p>
      <w:pPr>
        <w:ind w:left="1480" w:right="40" w:firstLine="1712"/>
        <w:spacing w:after="0" w:line="279" w:lineRule="auto"/>
        <w:tabs>
          <w:tab w:leader="none" w:pos="4274" w:val="left"/>
        </w:tabs>
        <w:numPr>
          <w:ilvl w:val="0"/>
          <w:numId w:val="18"/>
        </w:numPr>
        <w:rPr>
          <w:rFonts w:ascii="Arial" w:cs="Arial" w:eastAsia="Arial" w:hAnsi="Arial"/>
          <w:sz w:val="21"/>
          <w:szCs w:val="21"/>
          <w:color w:val="auto"/>
        </w:rPr>
      </w:pPr>
      <w:r>
        <w:rPr>
          <w:rFonts w:ascii="Arial" w:cs="Arial" w:eastAsia="Arial" w:hAnsi="Arial"/>
          <w:sz w:val="21"/>
          <w:szCs w:val="21"/>
          <w:color w:val="auto"/>
        </w:rPr>
        <w:t>Unless otherwise provided in the Plan or this Agreement, or by the Company in its discretion, the Option and the benefits evidenced by this Agreement do not create any entitlement to have the Option transferred to, or assumed by, another company, nor to be exchanged, cashed out or substituted for in connection with any transaction affecting the Shares.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363220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402" w:right="459" w:bottom="1440" w:gutter="0" w:footer="0" w:header="0"/>
        </w:sectPr>
      </w:pPr>
    </w:p>
    <w:bookmarkStart w:id="82" w:name="page83"/>
    <w:bookmarkEnd w:id="82"/>
    <w:p>
      <w:pPr>
        <w:ind w:left="7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9"/>
          <w:szCs w:val="19"/>
          <w:color w:val="auto"/>
        </w:rPr>
        <w:t>the parties hereto have executed this Agreement as of the date first set forth above.</w:t>
      </w: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22"/>
          <w:szCs w:val="22"/>
          <w:color w:val="auto"/>
        </w:rPr>
        <w:t>BIOATLA,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By:____________________</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22"/>
          <w:szCs w:val="22"/>
          <w:color w:val="auto"/>
        </w:rPr>
        <w:t>GRANTEE</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214630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60"/>
          </w:cols>
          <w:pgMar w:left="440" w:top="1185" w:right="1399"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b w:val="1"/>
          <w:bCs w:val="1"/>
          <w:color w:val="auto"/>
        </w:rPr>
        <w:t>Exhibit 10.2</w:t>
      </w:r>
    </w:p>
    <w:p>
      <w:pPr>
        <w:spacing w:after="0" w:line="355" w:lineRule="exact"/>
        <w:rPr>
          <w:sz w:val="20"/>
          <w:szCs w:val="20"/>
          <w:color w:val="auto"/>
        </w:rPr>
      </w:pPr>
    </w:p>
    <w:p>
      <w:pPr>
        <w:ind w:left="8460"/>
        <w:spacing w:after="0"/>
        <w:rPr>
          <w:sz w:val="20"/>
          <w:szCs w:val="20"/>
          <w:color w:val="auto"/>
        </w:rPr>
      </w:pPr>
      <w:r>
        <w:rPr>
          <w:rFonts w:ascii="Arial" w:cs="Arial" w:eastAsia="Arial" w:hAnsi="Arial"/>
          <w:sz w:val="19"/>
          <w:szCs w:val="19"/>
          <w:b w:val="1"/>
          <w:bCs w:val="1"/>
          <w:color w:val="auto"/>
        </w:rPr>
        <w:t xml:space="preserve">Stock Option No: </w:t>
      </w:r>
      <w:r>
        <w:rPr>
          <w:rFonts w:ascii="Arial" w:cs="Arial" w:eastAsia="Arial" w:hAnsi="Arial"/>
          <w:sz w:val="19"/>
          <w:szCs w:val="19"/>
          <w:b w:val="1"/>
          <w:bCs w:val="1"/>
          <w:i w:val="1"/>
          <w:iCs w:val="1"/>
          <w:u w:val="single" w:color="auto"/>
          <w:color w:val="auto"/>
        </w:rPr>
        <w:t>See Carta</w:t>
      </w:r>
    </w:p>
    <w:p>
      <w:pPr>
        <w:spacing w:after="0" w:line="295"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STOCK OPTION AGREEMENT UNDER THE</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BIOATLA, INC.</w:t>
      </w:r>
    </w:p>
    <w:p>
      <w:pPr>
        <w:spacing w:after="0" w:line="17"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2020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120" w:firstLine="1496"/>
        <w:spacing w:after="0" w:line="282" w:lineRule="auto"/>
        <w:rPr>
          <w:sz w:val="20"/>
          <w:szCs w:val="20"/>
          <w:color w:val="auto"/>
        </w:rPr>
      </w:pPr>
      <w:r>
        <w:rPr>
          <w:rFonts w:ascii="Arial" w:cs="Arial" w:eastAsia="Arial" w:hAnsi="Arial"/>
          <w:sz w:val="22"/>
          <w:szCs w:val="22"/>
          <w:b w:val="1"/>
          <w:bCs w:val="1"/>
          <w:color w:val="auto"/>
        </w:rPr>
        <w:t xml:space="preserve">THIS STOCK OPTION AGREEMENT </w:t>
      </w:r>
      <w:r>
        <w:rPr>
          <w:rFonts w:ascii="Arial" w:cs="Arial" w:eastAsia="Arial" w:hAnsi="Arial"/>
          <w:sz w:val="22"/>
          <w:szCs w:val="22"/>
          <w:color w:val="auto"/>
        </w:rPr>
        <w:t>(this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between BioAtla, Inc., a Delaware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xml:space="preserve">”), and </w:t>
      </w:r>
      <w:r>
        <w:rPr>
          <w:rFonts w:ascii="Arial" w:cs="Arial" w:eastAsia="Arial" w:hAnsi="Arial"/>
          <w:sz w:val="22"/>
          <w:szCs w:val="22"/>
          <w:b w:val="1"/>
          <w:bCs w:val="1"/>
          <w:i w:val="1"/>
          <w:iCs w:val="1"/>
          <w:color w:val="auto"/>
        </w:rPr>
        <w:t>See Carta</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w:t>
      </w:r>
    </w:p>
    <w:p>
      <w:pPr>
        <w:spacing w:after="0" w:line="229"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u w:val="single" w:color="auto"/>
          <w:color w:val="auto"/>
        </w:rPr>
        <w:t>RECITALS</w:t>
      </w:r>
    </w:p>
    <w:p>
      <w:pPr>
        <w:spacing w:after="0" w:line="287" w:lineRule="exact"/>
        <w:rPr>
          <w:sz w:val="20"/>
          <w:szCs w:val="20"/>
          <w:color w:val="auto"/>
        </w:rPr>
      </w:pPr>
    </w:p>
    <w:p>
      <w:pPr>
        <w:jc w:val="both"/>
        <w:ind w:right="120" w:firstLine="1496"/>
        <w:spacing w:after="0" w:line="282"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Company maintains the BioAtla, Inc. 2020 Equity Incentive Plan (as it may be amended</w:t>
      </w:r>
      <w:r>
        <w:rPr>
          <w:rFonts w:ascii="Arial" w:cs="Arial" w:eastAsia="Arial" w:hAnsi="Arial"/>
          <w:sz w:val="22"/>
          <w:szCs w:val="22"/>
          <w:b w:val="1"/>
          <w:bCs w:val="1"/>
          <w:color w:val="auto"/>
        </w:rPr>
        <w:t xml:space="preserve"> </w:t>
      </w:r>
      <w:r>
        <w:rPr>
          <w:rFonts w:ascii="Arial" w:cs="Arial" w:eastAsia="Arial" w:hAnsi="Arial"/>
          <w:sz w:val="22"/>
          <w:szCs w:val="22"/>
          <w:color w:val="auto"/>
        </w:rPr>
        <w:t>and/or restated from time to time,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229" w:lineRule="exact"/>
        <w:rPr>
          <w:sz w:val="20"/>
          <w:szCs w:val="20"/>
          <w:color w:val="auto"/>
        </w:rPr>
      </w:pPr>
    </w:p>
    <w:p>
      <w:pPr>
        <w:jc w:val="both"/>
        <w:ind w:right="120" w:firstLine="1496"/>
        <w:spacing w:after="0" w:line="282"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Plan permits the Company to award options to purchase shares of the Company’s common</w:t>
      </w:r>
      <w:r>
        <w:rPr>
          <w:rFonts w:ascii="Arial" w:cs="Arial" w:eastAsia="Arial" w:hAnsi="Arial"/>
          <w:sz w:val="22"/>
          <w:szCs w:val="22"/>
          <w:b w:val="1"/>
          <w:bCs w:val="1"/>
          <w:color w:val="auto"/>
        </w:rPr>
        <w:t xml:space="preserve"> </w:t>
      </w:r>
      <w:r>
        <w:rPr>
          <w:rFonts w:ascii="Arial" w:cs="Arial" w:eastAsia="Arial" w:hAnsi="Arial"/>
          <w:sz w:val="22"/>
          <w:szCs w:val="22"/>
          <w:color w:val="auto"/>
        </w:rPr>
        <w:t>stock, $0.0001 par value per share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subject to the terms of the Plan; and</w:t>
      </w:r>
    </w:p>
    <w:p>
      <w:pPr>
        <w:spacing w:after="0" w:line="189" w:lineRule="exact"/>
        <w:rPr>
          <w:sz w:val="20"/>
          <w:szCs w:val="20"/>
          <w:color w:val="auto"/>
        </w:rPr>
      </w:pPr>
    </w:p>
    <w:p>
      <w:pPr>
        <w:jc w:val="both"/>
        <w:ind w:right="120" w:firstLine="1496"/>
        <w:spacing w:after="0" w:line="28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to grant an option to purchase Shares to the Grantee in accordance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terms of this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w:t>
      </w:r>
    </w:p>
    <w:p>
      <w:pPr>
        <w:spacing w:after="0" w:line="229" w:lineRule="exact"/>
        <w:rPr>
          <w:sz w:val="20"/>
          <w:szCs w:val="20"/>
          <w:color w:val="auto"/>
        </w:rPr>
      </w:pPr>
    </w:p>
    <w:p>
      <w:pPr>
        <w:jc w:val="both"/>
        <w:ind w:right="120" w:firstLine="1496"/>
        <w:spacing w:after="0" w:line="282"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foregoing and the agreements set forth herein,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intending to be legally bound hereby, agree as follows:</w:t>
      </w:r>
    </w:p>
    <w:p>
      <w:pPr>
        <w:spacing w:after="0" w:line="222" w:lineRule="exact"/>
        <w:rPr>
          <w:sz w:val="20"/>
          <w:szCs w:val="20"/>
          <w:color w:val="auto"/>
        </w:rPr>
      </w:pPr>
    </w:p>
    <w:p>
      <w:pPr>
        <w:jc w:val="both"/>
        <w:ind w:right="120" w:firstLine="1496"/>
        <w:spacing w:after="0" w:line="262"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Grant of Option</w:t>
      </w:r>
      <w:r>
        <w:rPr>
          <w:rFonts w:ascii="Arial" w:cs="Arial" w:eastAsia="Arial" w:hAnsi="Arial"/>
          <w:sz w:val="22"/>
          <w:szCs w:val="22"/>
          <w:color w:val="auto"/>
        </w:rPr>
        <w:t xml:space="preserve">. Effective as of </w:t>
      </w:r>
      <w:r>
        <w:rPr>
          <w:rFonts w:ascii="Arial" w:cs="Arial" w:eastAsia="Arial" w:hAnsi="Arial"/>
          <w:sz w:val="22"/>
          <w:szCs w:val="22"/>
          <w:b w:val="1"/>
          <w:bCs w:val="1"/>
          <w:i w:val="1"/>
          <w:iCs w:val="1"/>
          <w:color w:val="auto"/>
        </w:rPr>
        <w:t>See Carta</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Date of Grant</w:t>
      </w:r>
      <w:r>
        <w:rPr>
          <w:rFonts w:ascii="Arial" w:cs="Arial" w:eastAsia="Arial" w:hAnsi="Arial"/>
          <w:sz w:val="22"/>
          <w:szCs w:val="22"/>
          <w:color w:val="auto"/>
        </w:rPr>
        <w:t xml:space="preserve">”), the Company grants to the Grantee, pursuant to the Plan and the terms and conditions of this Agreement, an option to purchase </w:t>
      </w:r>
      <w:r>
        <w:rPr>
          <w:rFonts w:ascii="Arial" w:cs="Arial" w:eastAsia="Arial" w:hAnsi="Arial"/>
          <w:sz w:val="22"/>
          <w:szCs w:val="22"/>
          <w:b w:val="1"/>
          <w:bCs w:val="1"/>
          <w:i w:val="1"/>
          <w:iCs w:val="1"/>
          <w:color w:val="auto"/>
        </w:rPr>
        <w:t>See Carta</w:t>
      </w:r>
      <w:r>
        <w:rPr>
          <w:rFonts w:ascii="Arial" w:cs="Arial" w:eastAsia="Arial" w:hAnsi="Arial"/>
          <w:sz w:val="22"/>
          <w:szCs w:val="22"/>
          <w:color w:val="auto"/>
        </w:rPr>
        <w:t xml:space="preserve"> Shares at an exercise price per Share equal to </w:t>
      </w:r>
      <w:r>
        <w:rPr>
          <w:rFonts w:ascii="Arial" w:cs="Arial" w:eastAsia="Arial" w:hAnsi="Arial"/>
          <w:sz w:val="22"/>
          <w:szCs w:val="22"/>
          <w:b w:val="1"/>
          <w:bCs w:val="1"/>
          <w:i w:val="1"/>
          <w:iCs w:val="1"/>
          <w:color w:val="auto"/>
        </w:rPr>
        <w:t>See Carta</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The Option is not, and is not intended to be, an Incentive Stock Option under Section 422 of the Code.</w:t>
      </w:r>
    </w:p>
    <w:p>
      <w:pPr>
        <w:spacing w:after="0" w:line="259" w:lineRule="exact"/>
        <w:rPr>
          <w:sz w:val="20"/>
          <w:szCs w:val="20"/>
          <w:color w:val="auto"/>
        </w:rPr>
      </w:pPr>
    </w:p>
    <w:p>
      <w:pPr>
        <w:jc w:val="both"/>
        <w:ind w:right="120" w:firstLine="1496"/>
        <w:spacing w:after="0" w:line="236"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Term of Option</w:t>
      </w:r>
      <w:r>
        <w:rPr>
          <w:rFonts w:ascii="Arial" w:cs="Arial" w:eastAsia="Arial" w:hAnsi="Arial"/>
          <w:sz w:val="22"/>
          <w:szCs w:val="22"/>
          <w:color w:val="auto"/>
        </w:rPr>
        <w:t>. Unless earlier terminated pursuant to the Plan or the other provisions of this Agreement, the Option shall terminate at 5 p.m. Pacific time on the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anniversary of the Date of Grant (the “</w:t>
      </w:r>
      <w:r>
        <w:rPr>
          <w:rFonts w:ascii="Arial" w:cs="Arial" w:eastAsia="Arial" w:hAnsi="Arial"/>
          <w:sz w:val="22"/>
          <w:szCs w:val="22"/>
          <w:b w:val="1"/>
          <w:bCs w:val="1"/>
          <w:i w:val="1"/>
          <w:iCs w:val="1"/>
          <w:color w:val="auto"/>
        </w:rPr>
        <w:t>Expiration</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Date</w:t>
      </w:r>
      <w:r>
        <w:rPr>
          <w:rFonts w:ascii="Arial" w:cs="Arial" w:eastAsia="Arial" w:hAnsi="Arial"/>
          <w:sz w:val="22"/>
          <w:szCs w:val="22"/>
          <w:color w:val="auto"/>
        </w:rPr>
        <w:t>”).</w:t>
      </w:r>
    </w:p>
    <w:p>
      <w:pPr>
        <w:spacing w:after="0" w:line="279" w:lineRule="exact"/>
        <w:rPr>
          <w:sz w:val="20"/>
          <w:szCs w:val="20"/>
          <w:color w:val="auto"/>
        </w:rPr>
      </w:pPr>
    </w:p>
    <w:p>
      <w:pPr>
        <w:jc w:val="both"/>
        <w:ind w:left="1480" w:right="120" w:firstLine="1707"/>
        <w:spacing w:after="0" w:line="261" w:lineRule="auto"/>
        <w:tabs>
          <w:tab w:leader="none" w:pos="4271"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Except as otherwise provided in Section 7.2 of the Plan or as provided </w:t>
      </w:r>
      <w:r>
        <w:rPr>
          <w:rFonts w:ascii="Arial" w:cs="Arial" w:eastAsia="Arial" w:hAnsi="Arial"/>
          <w:sz w:val="22"/>
          <w:szCs w:val="22"/>
          <w:b w:val="1"/>
          <w:bCs w:val="1"/>
          <w:i w:val="1"/>
          <w:iCs w:val="1"/>
          <w:color w:val="auto"/>
        </w:rPr>
        <w:t>in</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Carta</w:t>
      </w:r>
      <w:r>
        <w:rPr>
          <w:rFonts w:ascii="Arial" w:cs="Arial" w:eastAsia="Arial" w:hAnsi="Arial"/>
          <w:sz w:val="22"/>
          <w:szCs w:val="22"/>
          <w:color w:val="auto"/>
        </w:rPr>
        <w:t>, upon the Grantee’s termination of employment with the Company and its Subsidiaries for any reason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whatsoever, the Option shall terminate as to that number of Shares as to which the Option is not vested at the time of such termination of employment, without any compensation or other payment due to the Grantee or any other Person.</w:t>
      </w:r>
    </w:p>
    <w:p>
      <w:pPr>
        <w:spacing w:after="0" w:line="244" w:lineRule="exact"/>
        <w:rPr>
          <w:rFonts w:ascii="Arial" w:cs="Arial" w:eastAsia="Arial" w:hAnsi="Arial"/>
          <w:sz w:val="22"/>
          <w:szCs w:val="22"/>
          <w:color w:val="auto"/>
        </w:rPr>
      </w:pPr>
    </w:p>
    <w:p>
      <w:pPr>
        <w:jc w:val="both"/>
        <w:ind w:left="1480" w:right="120" w:firstLine="1707"/>
        <w:spacing w:after="0" w:line="262" w:lineRule="auto"/>
        <w:tabs>
          <w:tab w:leader="none" w:pos="4271" w:val="left"/>
        </w:tabs>
        <w:numPr>
          <w:ilvl w:val="0"/>
          <w:numId w:val="19"/>
        </w:numPr>
        <w:rPr>
          <w:rFonts w:ascii="Arial" w:cs="Arial" w:eastAsia="Arial" w:hAnsi="Arial"/>
          <w:sz w:val="22"/>
          <w:szCs w:val="22"/>
          <w:color w:val="auto"/>
        </w:rPr>
      </w:pPr>
      <w:r>
        <w:rPr>
          <w:rFonts w:ascii="Arial" w:cs="Arial" w:eastAsia="Arial" w:hAnsi="Arial"/>
          <w:sz w:val="22"/>
          <w:szCs w:val="22"/>
          <w:color w:val="auto"/>
        </w:rPr>
        <w:t>If the Grantee’s employment with the Company or any of its Subsidiaries is terminated for Cause, then the unexercised portion of the Option (whether or not vested) will terminate immediately upon such termination of employment, without any compensation or other payment due to the Grantee or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336550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355" w:right="339" w:bottom="1440" w:gutter="0" w:footer="0" w:header="0"/>
        </w:sectPr>
      </w:pPr>
    </w:p>
    <w:bookmarkStart w:id="84" w:name="page85"/>
    <w:bookmarkEnd w:id="84"/>
    <w:p>
      <w:pPr>
        <w:jc w:val="both"/>
        <w:ind w:left="1600" w:right="120" w:firstLine="1707"/>
        <w:spacing w:after="0" w:line="271" w:lineRule="auto"/>
        <w:tabs>
          <w:tab w:leader="none" w:pos="4391" w:val="left"/>
        </w:tabs>
        <w:numPr>
          <w:ilvl w:val="0"/>
          <w:numId w:val="20"/>
        </w:numPr>
        <w:rPr>
          <w:rFonts w:ascii="Arial" w:cs="Arial" w:eastAsia="Arial" w:hAnsi="Arial"/>
          <w:sz w:val="21"/>
          <w:szCs w:val="21"/>
          <w:color w:val="auto"/>
        </w:rPr>
      </w:pPr>
      <w:r>
        <w:rPr>
          <w:rFonts w:ascii="Arial" w:cs="Arial" w:eastAsia="Arial" w:hAnsi="Arial"/>
          <w:sz w:val="21"/>
          <w:szCs w:val="21"/>
          <w:color w:val="auto"/>
        </w:rPr>
        <w:t>Except as otherwise provided in Section 7.2 of the Plan, if the Grantee’s employment with the Company and its Subsidiaries terminates for any reason other than Cause, death or Disability, then the Option may be exercised to the extent vested at the time of such termination of employment at any time prior to the earlier of the Expiration Date and 90 days after such termination of employment, and any part of the Option which is not exercised within such period shall terminate at the end of such period without any compensation or other payment due to the Grantee or any other Person. Except as otherwise provided in Section 7.2 of the Plan, if the Grantee’s employment with the Company and its Subsidiaries terminates by reason of his or her death or Disability, then the Option may be exercised, as to the number of whole Shares with respect to which the Option is vested and exercisable at the time of such death or Disability, at any time prior to the earlier of the Expiration Date and twelve (12) months after such termination of employment, and any part of the Option which is not exercised within such period shall terminate at the end of such period without any compensation or other payment due to the Grantee or any other Person.</w:t>
      </w:r>
    </w:p>
    <w:p>
      <w:pPr>
        <w:spacing w:after="0" w:line="208" w:lineRule="exact"/>
        <w:rPr>
          <w:rFonts w:ascii="Arial" w:cs="Arial" w:eastAsia="Arial" w:hAnsi="Arial"/>
          <w:sz w:val="21"/>
          <w:szCs w:val="21"/>
          <w:color w:val="auto"/>
        </w:rPr>
      </w:pPr>
    </w:p>
    <w:p>
      <w:pPr>
        <w:jc w:val="both"/>
        <w:ind w:left="1600" w:right="120" w:firstLine="1707"/>
        <w:spacing w:after="0" w:line="266" w:lineRule="auto"/>
        <w:tabs>
          <w:tab w:leader="none" w:pos="4391"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Committee, in its absolute discretion, shall determine the effect of all matters and questions relating to termination of employment, including, but not by way of limitation, the question of whether a termination of employment resulted from Cause.</w:t>
      </w:r>
    </w:p>
    <w:p>
      <w:pPr>
        <w:spacing w:after="0" w:line="252" w:lineRule="exact"/>
        <w:rPr>
          <w:sz w:val="20"/>
          <w:szCs w:val="20"/>
          <w:color w:val="auto"/>
        </w:rPr>
      </w:pPr>
    </w:p>
    <w:p>
      <w:pPr>
        <w:ind w:left="1600"/>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Vesting</w:t>
      </w:r>
      <w:r>
        <w:rPr>
          <w:rFonts w:ascii="Arial" w:cs="Arial" w:eastAsia="Arial" w:hAnsi="Arial"/>
          <w:sz w:val="22"/>
          <w:szCs w:val="22"/>
          <w:color w:val="auto"/>
        </w:rPr>
        <w:t xml:space="preserve">. The Option shall vest and become exercisable as shown </w:t>
      </w:r>
      <w:r>
        <w:rPr>
          <w:rFonts w:ascii="Arial" w:cs="Arial" w:eastAsia="Arial" w:hAnsi="Arial"/>
          <w:sz w:val="22"/>
          <w:szCs w:val="22"/>
          <w:b w:val="1"/>
          <w:bCs w:val="1"/>
          <w:i w:val="1"/>
          <w:iCs w:val="1"/>
          <w:color w:val="auto"/>
        </w:rPr>
        <w:t>in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Carta</w:t>
      </w:r>
      <w:r>
        <w:rPr>
          <w:rFonts w:ascii="Arial" w:cs="Arial" w:eastAsia="Arial" w:hAnsi="Arial"/>
          <w:sz w:val="22"/>
          <w:szCs w:val="22"/>
          <w:color w:val="auto"/>
        </w:rPr>
        <w:t>.</w:t>
      </w:r>
    </w:p>
    <w:p>
      <w:pPr>
        <w:spacing w:after="0" w:line="21"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296" w:lineRule="exact"/>
        <w:rPr>
          <w:sz w:val="20"/>
          <w:szCs w:val="20"/>
          <w:color w:val="auto"/>
        </w:rPr>
      </w:pPr>
    </w:p>
    <w:p>
      <w:pPr>
        <w:ind w:left="1540"/>
        <w:spacing w:after="0"/>
        <w:tabs>
          <w:tab w:leader="none" w:pos="19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To exercise the Option, the Grantee shall comply with such procedures for</w:t>
      </w:r>
    </w:p>
    <w:p>
      <w:pPr>
        <w:spacing w:after="0" w:line="21" w:lineRule="exact"/>
        <w:rPr>
          <w:sz w:val="20"/>
          <w:szCs w:val="20"/>
          <w:color w:val="auto"/>
        </w:rPr>
      </w:pPr>
    </w:p>
    <w:p>
      <w:pPr>
        <w:jc w:val="both"/>
        <w:ind w:right="120"/>
        <w:spacing w:after="0" w:line="310" w:lineRule="auto"/>
        <w:rPr>
          <w:sz w:val="20"/>
          <w:szCs w:val="20"/>
          <w:color w:val="auto"/>
        </w:rPr>
      </w:pPr>
      <w:r>
        <w:rPr>
          <w:rFonts w:ascii="Arial" w:cs="Arial" w:eastAsia="Arial" w:hAnsi="Arial"/>
          <w:sz w:val="19"/>
          <w:szCs w:val="19"/>
          <w:color w:val="auto"/>
        </w:rPr>
        <w:t>exercise as the Committee shall have adopted, as may be in effect from time to time. Payment of the exercise price and all applicable withholding taxes shall be (i) in cash or (ii) through a broker- assisted cashless exercise or (iii) a combination of (i) and (ii), as elected by the Grantee. Any exercise of the Option is conditioned on Grantee’s payment to the Company in full of the aggregate exercise price (as described in the preceding sentence) of the portion of the Option being exercised, plus the amount of the withholding taxes determined by the Company to be due upon the purchase of such number of Shares.</w:t>
      </w:r>
    </w:p>
    <w:p>
      <w:pPr>
        <w:spacing w:after="0" w:line="204" w:lineRule="exact"/>
        <w:rPr>
          <w:sz w:val="20"/>
          <w:szCs w:val="20"/>
          <w:color w:val="auto"/>
        </w:rPr>
      </w:pPr>
    </w:p>
    <w:p>
      <w:pPr>
        <w:ind w:left="1540"/>
        <w:spacing w:after="0"/>
        <w:tabs>
          <w:tab w:leader="none" w:pos="19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The date on which the Company receives the notice of exercise accompanied</w:t>
      </w:r>
    </w:p>
    <w:p>
      <w:pPr>
        <w:spacing w:after="0" w:line="21"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by payment in full of the exercise price for the Shares covered by the notice and the applicable withholding taxes shall be the date as of which the Shares shall be deemed to have been issued.</w:t>
      </w:r>
    </w:p>
    <w:p>
      <w:pPr>
        <w:spacing w:after="0" w:line="205" w:lineRule="exact"/>
        <w:rPr>
          <w:sz w:val="20"/>
          <w:szCs w:val="20"/>
          <w:color w:val="auto"/>
        </w:rPr>
      </w:pPr>
    </w:p>
    <w:p>
      <w:pPr>
        <w:ind w:left="1540"/>
        <w:spacing w:after="0"/>
        <w:tabs>
          <w:tab w:leader="none" w:pos="19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To exercise the Option following the Grantee’s death, the Persons who acquire</w:t>
      </w:r>
    </w:p>
    <w:p>
      <w:pPr>
        <w:spacing w:after="0" w:line="98" w:lineRule="exact"/>
        <w:rPr>
          <w:sz w:val="20"/>
          <w:szCs w:val="20"/>
          <w:color w:val="auto"/>
        </w:rPr>
      </w:pPr>
    </w:p>
    <w:p>
      <w:pPr>
        <w:jc w:val="both"/>
        <w:spacing w:after="0" w:line="327" w:lineRule="auto"/>
        <w:rPr>
          <w:sz w:val="20"/>
          <w:szCs w:val="20"/>
          <w:color w:val="auto"/>
        </w:rPr>
      </w:pPr>
      <w:r>
        <w:rPr>
          <w:rFonts w:ascii="Arial" w:cs="Arial" w:eastAsia="Arial" w:hAnsi="Arial"/>
          <w:sz w:val="19"/>
          <w:szCs w:val="19"/>
          <w:color w:val="auto"/>
        </w:rPr>
        <w:t>the right to exercise the Option must prove to the Committee’s satisfaction that they have duly acquired the Option and that they have paid (or have provided for payment of) any taxes, such as estate, transfer, inheritance or death taxes, payable with respect to the Option or the Shares to which it relates, in addition to satisfying the other terms and conditions set forth in this Agreement.</w:t>
      </w:r>
    </w:p>
    <w:p>
      <w:pPr>
        <w:spacing w:after="0" w:line="200"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Transferability</w:t>
      </w:r>
      <w:r>
        <w:rPr>
          <w:rFonts w:ascii="Arial" w:cs="Arial" w:eastAsia="Arial" w:hAnsi="Arial"/>
          <w:sz w:val="19"/>
          <w:szCs w:val="19"/>
          <w:color w:val="auto"/>
        </w:rPr>
        <w:t>. The Option may only be transferred in accordance with Section 12 of the Plan.</w:t>
      </w:r>
    </w:p>
    <w:p>
      <w:pPr>
        <w:spacing w:after="0" w:line="119" w:lineRule="exact"/>
        <w:rPr>
          <w:sz w:val="20"/>
          <w:szCs w:val="20"/>
          <w:color w:val="auto"/>
        </w:rPr>
      </w:pPr>
    </w:p>
    <w:p>
      <w:pPr>
        <w:jc w:val="both"/>
        <w:ind w:left="120" w:right="120" w:firstLine="1496"/>
        <w:spacing w:after="0" w:line="266"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Withholding Taxes</w:t>
      </w:r>
      <w:r>
        <w:rPr>
          <w:rFonts w:ascii="Arial" w:cs="Arial" w:eastAsia="Arial" w:hAnsi="Arial"/>
          <w:sz w:val="22"/>
          <w:szCs w:val="22"/>
          <w:color w:val="auto"/>
        </w:rPr>
        <w:t>. The Grantee shall be responsible for making appropriate provision for all taxes required to be withheld in connection with the Option (including the exercise thereof). Such responsibility shall extend to all applicable federal, state, local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85" w:name="page86"/>
    <w:bookmarkEnd w:id="85"/>
    <w:p>
      <w:pPr>
        <w:jc w:val="both"/>
        <w:ind w:left="9" w:right="20"/>
        <w:spacing w:after="0" w:line="317" w:lineRule="auto"/>
        <w:rPr>
          <w:sz w:val="20"/>
          <w:szCs w:val="20"/>
          <w:color w:val="auto"/>
        </w:rPr>
      </w:pPr>
      <w:r>
        <w:rPr>
          <w:rFonts w:ascii="Arial" w:cs="Arial" w:eastAsia="Arial" w:hAnsi="Arial"/>
          <w:sz w:val="19"/>
          <w:szCs w:val="19"/>
          <w:color w:val="auto"/>
        </w:rPr>
        <w:t>foreign withholding taxes. The Company or its Subsidiaries, in their sole discretion, shall have the right to retain from the Shares otherwise deliverable on exercise of the Option the number of shares whose Fair Market Value equals the amount to be withheld in satisfaction of the applicable withholding taxes (or to withhold from any payroll or other amounts otherwise due to the Grantee the amount of withholding taxes due in connection with the Option (including the exercise thereof)).</w:t>
      </w:r>
    </w:p>
    <w:p>
      <w:pPr>
        <w:spacing w:after="0" w:line="169" w:lineRule="exact"/>
        <w:rPr>
          <w:sz w:val="20"/>
          <w:szCs w:val="20"/>
          <w:color w:val="auto"/>
        </w:rPr>
      </w:pPr>
    </w:p>
    <w:p>
      <w:pPr>
        <w:jc w:val="both"/>
        <w:ind w:left="9" w:right="20" w:firstLine="1496"/>
        <w:spacing w:after="0" w:line="306"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The Plan</w:t>
      </w:r>
      <w:r>
        <w:rPr>
          <w:rFonts w:ascii="Arial" w:cs="Arial" w:eastAsia="Arial" w:hAnsi="Arial"/>
          <w:sz w:val="19"/>
          <w:szCs w:val="19"/>
          <w:color w:val="auto"/>
        </w:rPr>
        <w:t>. The Grantee has received a copy of the Plan, has read the Plan and is familiar with its terms, and hereby accepts the Option subject to all of the terms and provisions of the Plan and this Agreement. The Option is subject to all of the terms and provisions of the Plan, all of which are incorporated by reference. Pursuant to the Plan, the Committee is authorized to interpret the Plan and to adopt rules and regulations not inconsistent with the Plan as it deems appropriate. The Grantee hereby agrees to accept as binding, conclusive and final all decisions and interpretations of the Committee with respect to the Plan, this Agreement, the Option and any agreement relating to the Option. In the event of a conflict between the terms of the Plan and the terms of this Agreement, the terms of the Plan shall control.</w:t>
      </w:r>
    </w:p>
    <w:p>
      <w:pPr>
        <w:spacing w:after="0" w:line="224" w:lineRule="exact"/>
        <w:rPr>
          <w:sz w:val="20"/>
          <w:szCs w:val="20"/>
          <w:color w:val="auto"/>
        </w:rPr>
      </w:pPr>
    </w:p>
    <w:p>
      <w:pPr>
        <w:jc w:val="both"/>
        <w:ind w:left="9" w:right="20" w:firstLine="1496"/>
        <w:spacing w:after="0" w:line="317"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Rights in Shares Before Issuance and Delivery</w:t>
      </w:r>
      <w:r>
        <w:rPr>
          <w:rFonts w:ascii="Arial" w:cs="Arial" w:eastAsia="Arial" w:hAnsi="Arial"/>
          <w:sz w:val="19"/>
          <w:szCs w:val="19"/>
          <w:color w:val="auto"/>
        </w:rPr>
        <w:t>. The Grantee shall not have any rights as a stockholder of the Company with respect to the Shares underlying the Option unless and until the Option has been exercised and such Shares have been issued to the Grantee as fully paid Shares. No adjustment shall be made for dividends, distributions, or other rights for which the record date is prior to the date the Shares are issued, except as provided in Section 8 of the Plan.</w:t>
      </w:r>
    </w:p>
    <w:p>
      <w:pPr>
        <w:spacing w:after="0" w:line="169" w:lineRule="exact"/>
        <w:rPr>
          <w:sz w:val="20"/>
          <w:szCs w:val="20"/>
          <w:color w:val="auto"/>
        </w:rPr>
      </w:pPr>
    </w:p>
    <w:p>
      <w:pPr>
        <w:jc w:val="both"/>
        <w:ind w:left="9" w:right="20" w:firstLine="1496"/>
        <w:spacing w:after="0" w:line="262"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No Promise of Employment or Other Service</w:t>
      </w:r>
      <w:r>
        <w:rPr>
          <w:rFonts w:ascii="Arial" w:cs="Arial" w:eastAsia="Arial" w:hAnsi="Arial"/>
          <w:sz w:val="22"/>
          <w:szCs w:val="22"/>
          <w:color w:val="auto"/>
        </w:rPr>
        <w:t>. Neither the Plan nor the granting, holding, vesting or exercise of the Option will confer upon the Grantee any right to continue in the employ or other service of the Company or any Subsidiary, or limit, in any respect, the right of the Company or any Subsidiary to terminate the Grantee at any time, for any reason and with or without notice.</w:t>
      </w:r>
    </w:p>
    <w:p>
      <w:pPr>
        <w:spacing w:after="0" w:line="259" w:lineRule="exact"/>
        <w:rPr>
          <w:sz w:val="20"/>
          <w:szCs w:val="20"/>
          <w:color w:val="auto"/>
        </w:rPr>
      </w:pPr>
    </w:p>
    <w:p>
      <w:pPr>
        <w:jc w:val="both"/>
        <w:ind w:left="9" w:right="20" w:firstLine="1496"/>
        <w:spacing w:after="0" w:line="299"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Qualifications to Exercise</w:t>
      </w:r>
      <w:r>
        <w:rPr>
          <w:rFonts w:ascii="Arial" w:cs="Arial" w:eastAsia="Arial" w:hAnsi="Arial"/>
          <w:sz w:val="19"/>
          <w:szCs w:val="19"/>
          <w:color w:val="auto"/>
        </w:rPr>
        <w:t>. Notwithstanding anything in this Agreement or in the Plan to the contrary, in no event may the Option be exercisable if the Company shall, at any time and in its sole discretion, determine that</w:t>
      </w:r>
    </w:p>
    <w:p>
      <w:pPr>
        <w:jc w:val="both"/>
        <w:ind w:left="9" w:right="20" w:hanging="9"/>
        <w:spacing w:after="0" w:line="304" w:lineRule="auto"/>
        <w:tabs>
          <w:tab w:leader="none" w:pos="345"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listing, registration or qualification of any Shares otherwise deliverable upon such exercise is required upon any securities exchange or under any state, federal, or foreign law, or (b) the consent or approval of any regulatory body is necessary or desirable in connection with such exercise. In such event, such exercise shall be held in abeyance and shall not be effective unless and until such listing, registration, qualification or approval shall have been effected or obtained free of any conditions not acceptable to the Company (regardless of any termination of the Option prior to such listing, registration, qualification or approval). The inability of the Company to obtain from any regulatory body having jurisdiction the authority, if any, deemed by the Company’s legal counsel to be necessary to the lawful issuance and sale of any Shares subject to the Option shall relieve the Company of any liability in respect of the failure to issue or sell such Shares as to which such</w:t>
      </w:r>
    </w:p>
    <w:p>
      <w:pPr>
        <w:spacing w:after="0" w:line="9" w:lineRule="exact"/>
        <w:rPr>
          <w:sz w:val="20"/>
          <w:szCs w:val="20"/>
          <w:color w:val="auto"/>
        </w:rPr>
      </w:pPr>
    </w:p>
    <w:p>
      <w:pPr>
        <w:ind w:left="9"/>
        <w:spacing w:after="0" w:line="276" w:lineRule="auto"/>
        <w:rPr>
          <w:sz w:val="20"/>
          <w:szCs w:val="20"/>
          <w:color w:val="auto"/>
        </w:rPr>
      </w:pPr>
      <w:r>
        <w:rPr>
          <w:rFonts w:ascii="Arial" w:cs="Arial" w:eastAsia="Arial" w:hAnsi="Arial"/>
          <w:sz w:val="22"/>
          <w:szCs w:val="22"/>
          <w:color w:val="auto"/>
        </w:rPr>
        <w:t>requisite authority shall not have been obtained. The Company shall not be required to issue fractional Shares upon the exercise of the Option.</w:t>
      </w:r>
    </w:p>
    <w:p>
      <w:pPr>
        <w:spacing w:after="0" w:line="242" w:lineRule="exact"/>
        <w:rPr>
          <w:sz w:val="20"/>
          <w:szCs w:val="20"/>
          <w:color w:val="auto"/>
        </w:rPr>
      </w:pPr>
    </w:p>
    <w:p>
      <w:pPr>
        <w:ind w:left="9" w:right="20" w:firstLine="1496"/>
        <w:spacing w:after="0" w:line="276"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Conditions to Transfer</w:t>
      </w:r>
      <w:r>
        <w:rPr>
          <w:rFonts w:ascii="Arial" w:cs="Arial" w:eastAsia="Arial" w:hAnsi="Arial"/>
          <w:sz w:val="22"/>
          <w:szCs w:val="22"/>
          <w:color w:val="auto"/>
        </w:rPr>
        <w:t>. As a condition to the exercise of the Option, the Company may require the Grantee to satisfy any qualifications that may be necessary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180340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9"/>
          </w:cols>
          <w:pgMar w:left="431" w:top="429" w:right="439" w:bottom="1440" w:gutter="0" w:footer="0" w:header="0"/>
        </w:sectPr>
      </w:pPr>
    </w:p>
    <w:bookmarkStart w:id="86" w:name="page87"/>
    <w:bookmarkEnd w:id="86"/>
    <w:p>
      <w:pPr>
        <w:jc w:val="both"/>
        <w:spacing w:after="0" w:line="266" w:lineRule="auto"/>
        <w:rPr>
          <w:sz w:val="20"/>
          <w:szCs w:val="20"/>
          <w:color w:val="auto"/>
        </w:rPr>
      </w:pPr>
      <w:r>
        <w:rPr>
          <w:rFonts w:ascii="Arial" w:cs="Arial" w:eastAsia="Arial" w:hAnsi="Arial"/>
          <w:sz w:val="22"/>
          <w:szCs w:val="22"/>
          <w:color w:val="auto"/>
        </w:rPr>
        <w:t>appropriate, to evidence compliance with any applicable law or regulation and to make any representation or warranty with respect thereto as may be requested by the Company. The certificate issued to evidence such Shares, if any, may bear appropriate legends summarizing these restrictions.</w:t>
      </w:r>
    </w:p>
    <w:p>
      <w:pPr>
        <w:spacing w:after="0" w:line="212" w:lineRule="exact"/>
        <w:rPr>
          <w:sz w:val="20"/>
          <w:szCs w:val="20"/>
          <w:color w:val="auto"/>
        </w:rPr>
      </w:pPr>
    </w:p>
    <w:p>
      <w:pPr>
        <w:jc w:val="both"/>
        <w:ind w:firstLine="1496"/>
        <w:spacing w:after="0" w:line="276"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u w:val="single" w:color="auto"/>
          <w:color w:val="auto"/>
        </w:rPr>
        <w:t>Investment Representation</w:t>
      </w:r>
      <w:r>
        <w:rPr>
          <w:rFonts w:ascii="Arial" w:cs="Arial" w:eastAsia="Arial" w:hAnsi="Arial"/>
          <w:sz w:val="21"/>
          <w:szCs w:val="21"/>
          <w:color w:val="auto"/>
        </w:rPr>
        <w:t>. The Grantee hereby represents and warrants to the Company that the Grantee, by reason of the Grantee’s business or financial experience (or the business or financial experience of the Grantee’s professional advisors who are unaffiliated with and who are not compensated by the Company or any affiliate or selling agent of the Company, directly or indirectly), has the capacity to protect the Grantee’s own interests in connection with the transactions contemplated under this Agreement</w:t>
      </w:r>
    </w:p>
    <w:p>
      <w:pPr>
        <w:spacing w:after="0" w:line="245" w:lineRule="exact"/>
        <w:rPr>
          <w:sz w:val="20"/>
          <w:szCs w:val="20"/>
          <w:color w:val="auto"/>
        </w:rPr>
      </w:pPr>
    </w:p>
    <w:p>
      <w:pPr>
        <w:jc w:val="both"/>
        <w:ind w:firstLine="1496"/>
        <w:spacing w:after="0" w:line="327"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together with the Plan, represents the entire agreement between the parties hereto relating to the subject matter hereof, and merges and supersedes all prior and contemporaneous discussions, agreements and understandings of every nature relating to the award of the Option to the Grantee by the Company.</w:t>
      </w:r>
    </w:p>
    <w:p>
      <w:pPr>
        <w:spacing w:after="0" w:line="187" w:lineRule="exact"/>
        <w:rPr>
          <w:sz w:val="20"/>
          <w:szCs w:val="20"/>
          <w:color w:val="auto"/>
        </w:rPr>
      </w:pPr>
    </w:p>
    <w:p>
      <w:pPr>
        <w:jc w:val="both"/>
        <w:ind w:firstLine="1496"/>
        <w:spacing w:after="0" w:line="308"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u w:val="single" w:color="auto"/>
          <w:color w:val="auto"/>
        </w:rPr>
        <w:t>Administration</w:t>
      </w:r>
      <w:r>
        <w:rPr>
          <w:rFonts w:ascii="Arial" w:cs="Arial" w:eastAsia="Arial" w:hAnsi="Arial"/>
          <w:sz w:val="19"/>
          <w:szCs w:val="19"/>
          <w:color w:val="auto"/>
        </w:rPr>
        <w:t>. All questions of interpretation concerning this Agreement, the Plan, or any other agreement or document employed by the Company in the administration of the Plan or the Option shall be determined by the Committee. All such determinations by the Committee shall be final, binding, and conclusive upon all Persons having an interest in the Option. In addition, all other actions, decisions, and determinations taken or made by the Committee in the exercise of its discretion pursuant to the Plan, this Agreement or the Option or any other agreement or document relating thereto or hereto shall be final, binding and conclusive upon all Persons having an interest in this Agreement or the Option.</w:t>
      </w:r>
    </w:p>
    <w:p>
      <w:pPr>
        <w:spacing w:after="0" w:line="221" w:lineRule="exact"/>
        <w:rPr>
          <w:sz w:val="20"/>
          <w:szCs w:val="20"/>
          <w:color w:val="auto"/>
        </w:rPr>
      </w:pPr>
    </w:p>
    <w:p>
      <w:pPr>
        <w:jc w:val="both"/>
        <w:ind w:firstLine="1496"/>
        <w:spacing w:after="0" w:line="266" w:lineRule="auto"/>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Binding Effect</w:t>
      </w:r>
      <w:r>
        <w:rPr>
          <w:rFonts w:ascii="Arial" w:cs="Arial" w:eastAsia="Arial" w:hAnsi="Arial"/>
          <w:sz w:val="22"/>
          <w:szCs w:val="22"/>
          <w:color w:val="auto"/>
        </w:rPr>
        <w:t>. This Agreement shall be binding upon and inure to the benefit of the Company and its successors and assigns and upon the Grantee and his or her permitted transferees, heirs, executors, administrators and legal representatives.</w:t>
      </w:r>
    </w:p>
    <w:p>
      <w:pPr>
        <w:spacing w:after="0" w:line="252" w:lineRule="exact"/>
        <w:rPr>
          <w:sz w:val="20"/>
          <w:szCs w:val="20"/>
          <w:color w:val="auto"/>
        </w:rPr>
      </w:pPr>
    </w:p>
    <w:p>
      <w:pPr>
        <w:jc w:val="both"/>
        <w:ind w:firstLine="1496"/>
        <w:spacing w:after="0" w:line="301" w:lineRule="auto"/>
        <w:rPr>
          <w:sz w:val="20"/>
          <w:szCs w:val="20"/>
          <w:color w:val="auto"/>
        </w:rPr>
      </w:pPr>
      <w:r>
        <w:rPr>
          <w:rFonts w:ascii="Arial" w:cs="Arial" w:eastAsia="Arial" w:hAnsi="Arial"/>
          <w:sz w:val="21"/>
          <w:szCs w:val="21"/>
          <w:color w:val="auto"/>
        </w:rPr>
        <w:t xml:space="preserve">Section 16. </w:t>
      </w:r>
      <w:r>
        <w:rPr>
          <w:rFonts w:ascii="Arial" w:cs="Arial" w:eastAsia="Arial" w:hAnsi="Arial"/>
          <w:sz w:val="21"/>
          <w:szCs w:val="21"/>
          <w:u w:val="single" w:color="auto"/>
          <w:color w:val="auto"/>
        </w:rPr>
        <w:t>Further Instruments</w:t>
      </w:r>
      <w:r>
        <w:rPr>
          <w:rFonts w:ascii="Arial" w:cs="Arial" w:eastAsia="Arial" w:hAnsi="Arial"/>
          <w:sz w:val="21"/>
          <w:szCs w:val="21"/>
          <w:color w:val="auto"/>
        </w:rPr>
        <w:t>. The parties to this Agreement agree to execute such further instruments and to take such further action as may reasonably be necessary to carry out the intent of this Agreement.</w:t>
      </w:r>
    </w:p>
    <w:p>
      <w:pPr>
        <w:spacing w:after="0" w:line="204" w:lineRule="exact"/>
        <w:rPr>
          <w:sz w:val="20"/>
          <w:szCs w:val="20"/>
          <w:color w:val="auto"/>
        </w:rPr>
      </w:pPr>
    </w:p>
    <w:p>
      <w:pPr>
        <w:jc w:val="both"/>
        <w:ind w:firstLine="1496"/>
        <w:spacing w:after="0" w:line="262" w:lineRule="auto"/>
        <w:rPr>
          <w:sz w:val="20"/>
          <w:szCs w:val="20"/>
          <w:color w:val="auto"/>
        </w:rPr>
      </w:pPr>
      <w:r>
        <w:rPr>
          <w:rFonts w:ascii="Arial" w:cs="Arial" w:eastAsia="Arial" w:hAnsi="Arial"/>
          <w:sz w:val="22"/>
          <w:szCs w:val="22"/>
          <w:color w:val="auto"/>
        </w:rPr>
        <w:t xml:space="preserve">Section 17. </w:t>
      </w:r>
      <w:r>
        <w:rPr>
          <w:rFonts w:ascii="Arial" w:cs="Arial" w:eastAsia="Arial" w:hAnsi="Arial"/>
          <w:sz w:val="22"/>
          <w:szCs w:val="22"/>
          <w:u w:val="single" w:color="auto"/>
          <w:color w:val="auto"/>
        </w:rPr>
        <w:t>Amendment; Termination; Waiver</w:t>
      </w:r>
      <w:r>
        <w:rPr>
          <w:rFonts w:ascii="Arial" w:cs="Arial" w:eastAsia="Arial" w:hAnsi="Arial"/>
          <w:sz w:val="22"/>
          <w:szCs w:val="22"/>
          <w:color w:val="auto"/>
        </w:rPr>
        <w:t>. Except as otherwise provided in the Plan, this Agreement may be amended or terminated, and its terms or covenants waived, only by a written instrument executed on behalf of the Company (as authorized by the Committee) and the Grantee that, in the case of an amendment or waiver, identifies the specific provision of this Agreement being amended or waived.</w:t>
      </w:r>
    </w:p>
    <w:p>
      <w:pPr>
        <w:spacing w:after="0" w:line="259" w:lineRule="exact"/>
        <w:rPr>
          <w:sz w:val="20"/>
          <w:szCs w:val="20"/>
          <w:color w:val="auto"/>
        </w:rPr>
      </w:pPr>
    </w:p>
    <w:p>
      <w:pPr>
        <w:jc w:val="both"/>
        <w:ind w:firstLine="1496"/>
        <w:spacing w:after="0" w:line="266" w:lineRule="auto"/>
        <w:rPr>
          <w:sz w:val="20"/>
          <w:szCs w:val="20"/>
          <w:color w:val="auto"/>
        </w:rPr>
      </w:pPr>
      <w:r>
        <w:rPr>
          <w:rFonts w:ascii="Arial" w:cs="Arial" w:eastAsia="Arial" w:hAnsi="Arial"/>
          <w:sz w:val="22"/>
          <w:szCs w:val="22"/>
          <w:color w:val="auto"/>
        </w:rPr>
        <w:t xml:space="preserve">Section 18. </w:t>
      </w:r>
      <w:r>
        <w:rPr>
          <w:rFonts w:ascii="Arial" w:cs="Arial" w:eastAsia="Arial" w:hAnsi="Arial"/>
          <w:sz w:val="22"/>
          <w:szCs w:val="22"/>
          <w:u w:val="single" w:color="auto"/>
          <w:color w:val="auto"/>
        </w:rPr>
        <w:t>Delivery of Documents and Notices</w:t>
      </w:r>
      <w:r>
        <w:rPr>
          <w:rFonts w:ascii="Arial" w:cs="Arial" w:eastAsia="Arial" w:hAnsi="Arial"/>
          <w:sz w:val="22"/>
          <w:szCs w:val="22"/>
          <w:color w:val="auto"/>
        </w:rPr>
        <w:t>. Unless otherwise specified by the Grantee in writing, all documents relating to the Plan (including, without limitation, the Plan, this Agreement, the Plan prospectus and any reports of the Company provided generally to the</w:t>
      </w:r>
    </w:p>
    <w:p>
      <w:pPr>
        <w:spacing w:after="0" w:line="36"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Company’s stockholders) may be delivered to the Grantee electronically. Such means of electronic delivery may include the delivery of a link to a Company intranet or the internet site of a third party involved in administering the Plan, the delivery of the document via e-mail or other means of electronic delivery specified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340995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361" w:right="459" w:bottom="1440" w:gutter="0" w:footer="0" w:header="0"/>
        </w:sectPr>
      </w:pPr>
    </w:p>
    <w:bookmarkStart w:id="87" w:name="page88"/>
    <w:bookmarkEnd w:id="87"/>
    <w:p>
      <w:pPr>
        <w:jc w:val="both"/>
        <w:ind w:firstLine="747"/>
        <w:spacing w:after="0" w:line="303" w:lineRule="auto"/>
        <w:rPr>
          <w:sz w:val="20"/>
          <w:szCs w:val="20"/>
          <w:color w:val="auto"/>
        </w:rPr>
      </w:pPr>
      <w:r>
        <w:rPr>
          <w:rFonts w:ascii="Arial" w:cs="Arial" w:eastAsia="Arial" w:hAnsi="Arial"/>
          <w:sz w:val="19"/>
          <w:szCs w:val="19"/>
          <w:color w:val="auto"/>
        </w:rPr>
        <w:t>The Grantee acknowledges that the Grantee has read this Section 18 and consents to the electronic delivery of the Plan documents. The Grantee acknowledges that he or she may request from the Company a paper copy of any documents delivered electronically at no cost to the Grantee by contacting the Company by telephone or in writing. The Grantee further acknowledges that the Grantee will be provided with a paper copy of any documents if the attempted electronic delivery of such documents fails. Similarly, the Grantee understands that the Grantee must provide the Company or any designated third party administrator with a paper copy of any documents if the Grantee’s attempted electronic delivery of such documents fails. The Grantee may revoke his or her consent to the electronic delivery of documents described in this Section or may change the electronic mail address to which such documents are to be delivered (if Grantee has provided an electronic mail address) at any time by notifying the Company of such revoked consent or revised e-mail address by postal service or electronic mail. The Grantee understands that he or she is not required to consent to electronic delivery of documents described in this Section 18.</w:t>
      </w:r>
    </w:p>
    <w:p>
      <w:pPr>
        <w:spacing w:after="0" w:line="198" w:lineRule="exact"/>
        <w:rPr>
          <w:sz w:val="20"/>
          <w:szCs w:val="20"/>
          <w:color w:val="auto"/>
        </w:rPr>
      </w:pPr>
    </w:p>
    <w:p>
      <w:pPr>
        <w:jc w:val="both"/>
        <w:ind w:firstLine="1496"/>
        <w:spacing w:after="0" w:line="276" w:lineRule="auto"/>
        <w:rPr>
          <w:sz w:val="20"/>
          <w:szCs w:val="20"/>
          <w:color w:val="auto"/>
        </w:rPr>
      </w:pPr>
      <w:r>
        <w:rPr>
          <w:rFonts w:ascii="Arial" w:cs="Arial" w:eastAsia="Arial" w:hAnsi="Arial"/>
          <w:sz w:val="22"/>
          <w:szCs w:val="22"/>
          <w:color w:val="auto"/>
        </w:rPr>
        <w:t xml:space="preserve">Section 19.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and enforced in accordance with the laws of the State of Delaware, without giving effect to the principles of conflicts of law thereof.</w:t>
      </w:r>
    </w:p>
    <w:p>
      <w:pPr>
        <w:spacing w:after="0" w:line="236" w:lineRule="exact"/>
        <w:rPr>
          <w:sz w:val="20"/>
          <w:szCs w:val="20"/>
          <w:color w:val="auto"/>
        </w:rPr>
      </w:pPr>
    </w:p>
    <w:p>
      <w:pPr>
        <w:jc w:val="both"/>
        <w:ind w:firstLine="1496"/>
        <w:spacing w:after="0" w:line="259" w:lineRule="auto"/>
        <w:rPr>
          <w:sz w:val="20"/>
          <w:szCs w:val="20"/>
          <w:color w:val="auto"/>
        </w:rPr>
      </w:pPr>
      <w:r>
        <w:rPr>
          <w:rFonts w:ascii="Arial" w:cs="Arial" w:eastAsia="Arial" w:hAnsi="Arial"/>
          <w:sz w:val="22"/>
          <w:szCs w:val="22"/>
          <w:color w:val="auto"/>
        </w:rPr>
        <w:t xml:space="preserve">Section 20. </w:t>
      </w:r>
      <w:r>
        <w:rPr>
          <w:rFonts w:ascii="Arial" w:cs="Arial" w:eastAsia="Arial" w:hAnsi="Arial"/>
          <w:sz w:val="22"/>
          <w:szCs w:val="22"/>
          <w:b w:val="1"/>
          <w:bCs w:val="1"/>
          <w:u w:val="single" w:color="auto"/>
          <w:color w:val="auto"/>
        </w:rPr>
        <w:t>JURISDICTION; WAIVER OF JURY TRIAL</w:t>
      </w:r>
      <w:r>
        <w:rPr>
          <w:rFonts w:ascii="Arial" w:cs="Arial" w:eastAsia="Arial" w:hAnsi="Arial"/>
          <w:sz w:val="22"/>
          <w:szCs w:val="22"/>
          <w:b w:val="1"/>
          <w:bCs w:val="1"/>
          <w:color w:val="auto"/>
        </w:rPr>
        <w:t>. BY ENTERING INTO THIS</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 THE COMPANY AND THE GRANTEE IRREVOCABLY SUBMIT TO AND ACCEPT GENERALLY AND UNCONDITIONALLY THE EXCLUSIVE JURISDICTION OF THE FEDERAL COURTS LOCATED IN SAN DIEGO COUNTY (OR IF FEDERAL JURISDICTION DOES NOT EXIST, IN THE STATE COURTS LOCATED THEREIN) WITH RESPECT TO ALL DISPUTES RELATING TO THIS AGREEMENT, THE OPTION OR THE PLAN. THE COMPANY AND THE GRANTEE HEREBY ACCEPT SERVICE OF PROCESS PURSUANT TO THE LAWS OF THE STATE OF CALIFORNIA AND THE RULES OF ITS COURTS, WAIVE ANY DEFENSE OF FORUM NON CONVENIENS AND AGREE TO BE BOUND BY ANY JUDGMENT RENDERED BY SUCH COURTS ARISING OUT OF, RELATED TO, OR IN CONNECTION WITH, THIS AGREEMENT, THE OPTION OR THE PLAN.</w:t>
      </w:r>
    </w:p>
    <w:p>
      <w:pPr>
        <w:spacing w:after="0" w:line="240" w:lineRule="exact"/>
        <w:rPr>
          <w:sz w:val="20"/>
          <w:szCs w:val="20"/>
          <w:color w:val="auto"/>
        </w:rPr>
      </w:pPr>
    </w:p>
    <w:p>
      <w:pPr>
        <w:jc w:val="both"/>
        <w:ind w:firstLine="656"/>
        <w:spacing w:after="0" w:line="269" w:lineRule="auto"/>
        <w:rPr>
          <w:sz w:val="20"/>
          <w:szCs w:val="20"/>
          <w:color w:val="auto"/>
        </w:rPr>
      </w:pPr>
      <w:r>
        <w:rPr>
          <w:rFonts w:ascii="Arial" w:cs="Arial" w:eastAsia="Arial" w:hAnsi="Arial"/>
          <w:sz w:val="22"/>
          <w:szCs w:val="22"/>
          <w:b w:val="1"/>
          <w:bCs w:val="1"/>
          <w:color w:val="auto"/>
        </w:rPr>
        <w:t>THE COMPANY AND THE GRANTEE IRREVOCABLY WAIVE ANY AND ALL RIGHT TO TRIAL BY JURY IN ANY LEGAL PROCEEDING ARISING OUT OF, RELATING TO, OR IN CONNECTION WITH THIS AGREEMENT, THE OPTION OR THE PLAN.</w:t>
      </w:r>
    </w:p>
    <w:p>
      <w:pPr>
        <w:spacing w:after="0" w:line="208" w:lineRule="exact"/>
        <w:rPr>
          <w:sz w:val="20"/>
          <w:szCs w:val="20"/>
          <w:color w:val="auto"/>
        </w:rPr>
      </w:pPr>
    </w:p>
    <w:p>
      <w:pPr>
        <w:jc w:val="both"/>
        <w:ind w:firstLine="1496"/>
        <w:spacing w:after="0" w:line="262" w:lineRule="auto"/>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Severability</w:t>
      </w:r>
      <w:r>
        <w:rPr>
          <w:rFonts w:ascii="Arial" w:cs="Arial" w:eastAsia="Arial" w:hAnsi="Arial"/>
          <w:sz w:val="22"/>
          <w:szCs w:val="22"/>
          <w:color w:val="auto"/>
        </w:rPr>
        <w:t>. All provisions of this Agreement are distinct and severable and if any clause shall be held to be invalid, illegal or against public policy, the validity or the legality of the remainder of this Agreement shall not be affected thereby, and the remainder of this Agreement shall be interpreted to give maximum effect to the original intention of the parties hereto.</w:t>
      </w:r>
    </w:p>
    <w:p>
      <w:pPr>
        <w:spacing w:after="0" w:line="56" w:lineRule="exact"/>
        <w:rPr>
          <w:sz w:val="20"/>
          <w:szCs w:val="20"/>
          <w:color w:val="auto"/>
        </w:rPr>
      </w:pPr>
    </w:p>
    <w:p>
      <w:pPr>
        <w:jc w:val="both"/>
        <w:ind w:firstLine="1496"/>
        <w:spacing w:after="0" w:line="327"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u w:val="single" w:color="auto"/>
          <w:color w:val="auto"/>
        </w:rPr>
        <w:t>Defined Terms/Construction</w:t>
      </w:r>
      <w:r>
        <w:rPr>
          <w:rFonts w:ascii="Arial" w:cs="Arial" w:eastAsia="Arial" w:hAnsi="Arial"/>
          <w:sz w:val="19"/>
          <w:szCs w:val="19"/>
          <w:color w:val="auto"/>
        </w:rPr>
        <w:t>. Capitalized terms used in this Agreement and not otherwise defined in this Agreement have the meanings ascribed to them in the Plan. Captions and titles contained in this Agreement are for convenience only and shall not affect the meaning or interpretation of any provision of this Agreement.</w:t>
      </w:r>
    </w:p>
    <w:p>
      <w:pPr>
        <w:spacing w:after="0" w:line="187"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Authorization to Release and Transfer Necessary Personal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363220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361" w:right="459" w:bottom="1440" w:gutter="0" w:footer="0" w:header="0"/>
        </w:sectPr>
      </w:pPr>
    </w:p>
    <w:bookmarkStart w:id="88" w:name="page89"/>
    <w:bookmarkEnd w:id="88"/>
    <w:p>
      <w:pPr>
        <w:jc w:val="both"/>
        <w:ind w:left="480" w:firstLine="1707"/>
        <w:spacing w:after="0" w:line="279" w:lineRule="auto"/>
        <w:tabs>
          <w:tab w:leader="none" w:pos="3271" w:val="left"/>
        </w:tabs>
        <w:numPr>
          <w:ilvl w:val="0"/>
          <w:numId w:val="22"/>
        </w:numPr>
        <w:rPr>
          <w:rFonts w:ascii="Arial" w:cs="Arial" w:eastAsia="Arial" w:hAnsi="Arial"/>
          <w:sz w:val="21"/>
          <w:szCs w:val="21"/>
          <w:color w:val="auto"/>
        </w:rPr>
      </w:pPr>
      <w:r>
        <w:rPr>
          <w:rFonts w:ascii="Arial" w:cs="Arial" w:eastAsia="Arial" w:hAnsi="Arial"/>
          <w:sz w:val="21"/>
          <w:szCs w:val="21"/>
          <w:color w:val="auto"/>
        </w:rPr>
        <w:t>Grantee hereby explicitly and unambiguously consents to the collection, use and transfer, in electronic or other form, of Grantee’s personal information as described in this Agreement by and among, as applicable, the Company and its Subsidiaries and affiliates for the exclusive purpose of implementing, administering and managing Grantee’s participation in the Plan.</w:t>
      </w:r>
    </w:p>
    <w:p>
      <w:pPr>
        <w:spacing w:after="0" w:line="200" w:lineRule="exact"/>
        <w:rPr>
          <w:rFonts w:ascii="Arial" w:cs="Arial" w:eastAsia="Arial" w:hAnsi="Arial"/>
          <w:sz w:val="21"/>
          <w:szCs w:val="21"/>
          <w:color w:val="auto"/>
        </w:rPr>
      </w:pPr>
    </w:p>
    <w:p>
      <w:pPr>
        <w:jc w:val="both"/>
        <w:ind w:left="480" w:firstLine="1707"/>
        <w:spacing w:after="0" w:line="300" w:lineRule="auto"/>
        <w:tabs>
          <w:tab w:leader="none" w:pos="3271" w:val="left"/>
        </w:tabs>
        <w:numPr>
          <w:ilvl w:val="0"/>
          <w:numId w:val="22"/>
        </w:numPr>
        <w:rPr>
          <w:rFonts w:ascii="Arial" w:cs="Arial" w:eastAsia="Arial" w:hAnsi="Arial"/>
          <w:sz w:val="19"/>
          <w:szCs w:val="19"/>
          <w:color w:val="auto"/>
        </w:rPr>
      </w:pPr>
      <w:r>
        <w:rPr>
          <w:rFonts w:ascii="Arial" w:cs="Arial" w:eastAsia="Arial" w:hAnsi="Arial"/>
          <w:sz w:val="19"/>
          <w:szCs w:val="19"/>
          <w:color w:val="auto"/>
        </w:rPr>
        <w:t>Grantee understands that the Company and its Subsidiaries may hold certain personal information about Grantee, including, but not limited to, Grantee’s name, home address and telephone number, date of birth, social security number (or any other social or national identification number), pay, nationality, job title, residency status, any Shares or directorships held in the Company, details of all Options or any other entitlement to Shares awarded, canceled, exercised, vested, unvested or outstanding (the “</w:t>
      </w:r>
      <w:r>
        <w:rPr>
          <w:rFonts w:ascii="Arial" w:cs="Arial" w:eastAsia="Arial" w:hAnsi="Arial"/>
          <w:sz w:val="19"/>
          <w:szCs w:val="19"/>
          <w:b w:val="1"/>
          <w:bCs w:val="1"/>
          <w:i w:val="1"/>
          <w:iCs w:val="1"/>
          <w:color w:val="auto"/>
        </w:rPr>
        <w:t>Data</w:t>
      </w:r>
      <w:r>
        <w:rPr>
          <w:rFonts w:ascii="Arial" w:cs="Arial" w:eastAsia="Arial" w:hAnsi="Arial"/>
          <w:sz w:val="19"/>
          <w:szCs w:val="19"/>
          <w:color w:val="auto"/>
        </w:rPr>
        <w:t>”) for the purpose of implementing, administering and managing Grantee’s participation in the Plan. Grantee understands that the Data may be transferred to the Company or any of its Subsidiaries or affiliates, or to any third parties assisting in the implementation, administration and management of the Plan, that these recipients may be located in Grantee’s country or elsewhere, including outside the European Economic Area, and that the recipient’s country may have different data privacy laws and protections than Grantee’s country. Grantee understands that Grantee may request a list with the names and addresses of any potential recipients of the Data by contacting the Company’s human resources representative. Grantee authorizes the recipients to receive, possess, use, retain and transfer the Data, in electronic or other form, for the sole purposes of implementing, administering and managing Grantee’s participation in the Plan, including any requisite transfer of such Data to a broker or other third party assisting with the administration of the Option under the Plan or with whom Shares acquired pursuant to the Option or cash from the sale of such Shares may be deposited. Furthermore, Grantee acknowledges and understands that the transfer of the Data to the Company or any of its Subsidiaries or affiliates, or to any third parties is necessary for Grantee’s participation in the Plan.</w:t>
      </w:r>
    </w:p>
    <w:p>
      <w:pPr>
        <w:spacing w:after="0" w:line="200" w:lineRule="exact"/>
        <w:rPr>
          <w:rFonts w:ascii="Arial" w:cs="Arial" w:eastAsia="Arial" w:hAnsi="Arial"/>
          <w:sz w:val="19"/>
          <w:szCs w:val="19"/>
          <w:color w:val="auto"/>
        </w:rPr>
      </w:pPr>
    </w:p>
    <w:p>
      <w:pPr>
        <w:spacing w:after="0" w:line="297" w:lineRule="exact"/>
        <w:rPr>
          <w:rFonts w:ascii="Arial" w:cs="Arial" w:eastAsia="Arial" w:hAnsi="Arial"/>
          <w:sz w:val="19"/>
          <w:szCs w:val="19"/>
          <w:color w:val="auto"/>
        </w:rPr>
      </w:pPr>
    </w:p>
    <w:p>
      <w:pPr>
        <w:jc w:val="both"/>
        <w:ind w:left="480" w:firstLine="1707"/>
        <w:spacing w:after="0" w:line="301" w:lineRule="auto"/>
        <w:tabs>
          <w:tab w:leader="none" w:pos="3271" w:val="left"/>
        </w:tabs>
        <w:numPr>
          <w:ilvl w:val="0"/>
          <w:numId w:val="22"/>
        </w:numPr>
        <w:rPr>
          <w:rFonts w:ascii="Arial" w:cs="Arial" w:eastAsia="Arial" w:hAnsi="Arial"/>
          <w:sz w:val="19"/>
          <w:szCs w:val="19"/>
          <w:color w:val="auto"/>
        </w:rPr>
      </w:pPr>
      <w:r>
        <w:rPr>
          <w:rFonts w:ascii="Arial" w:cs="Arial" w:eastAsia="Arial" w:hAnsi="Arial"/>
          <w:sz w:val="19"/>
          <w:szCs w:val="19"/>
          <w:color w:val="auto"/>
        </w:rPr>
        <w:t>Grantee understands that the Data will be held only as long as is necessary to implement, administer and manage Grantee’s participation in the Plan. Grantee understands that Grantee may, at any time, view the Data, request additional information about the storage and processing of the Data, require any necessary amendments to the Data or refuse or withdraw the consents herein by contacting the Company’s human resources representative in writing. Further, Grantee understands that Grantee is providing the consents herein on a purely voluntary basis. If Grantee does not consent, or if Grantee later seeks to revoke his or her consent, Grantee’s employment and career with the Company and its Subsidiaries will not be affected; the only consequence of refusing or withdrawing Grantee’s consent is that the Company would not be able to grant Grantee Options or other equity awards, or administer or maintain such awards. Therefore, Grantee understands that refusing or withdrawing Grantee’s consent may affect Grantee’s ability to vest in or realize benefits from the Option and to participate in the Plan. For more information on the consequences of refusing to consent or withdrawal of consent, Grantee understands that he or she may contact the Company’s human resources representative.</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2"/>
          <w:szCs w:val="22"/>
          <w:color w:val="auto"/>
        </w:rPr>
        <w:t xml:space="preserve">Section 24. </w:t>
      </w:r>
      <w:r>
        <w:rPr>
          <w:rFonts w:ascii="Arial" w:cs="Arial" w:eastAsia="Arial" w:hAnsi="Arial"/>
          <w:sz w:val="22"/>
          <w:szCs w:val="22"/>
          <w:u w:val="single" w:color="auto"/>
          <w:color w:val="auto"/>
        </w:rPr>
        <w:t>No Entitlement for Claims for Compensation</w:t>
      </w:r>
      <w:r>
        <w:rPr>
          <w:rFonts w:ascii="Arial" w:cs="Arial" w:eastAsia="Arial" w:hAnsi="Arial"/>
          <w:sz w:val="22"/>
          <w:szCs w:val="22"/>
          <w:color w:val="auto"/>
        </w:rPr>
        <w:t>.</w:t>
      </w:r>
    </w:p>
    <w:p>
      <w:pPr>
        <w:spacing w:after="0" w:line="287" w:lineRule="exact"/>
        <w:rPr>
          <w:sz w:val="20"/>
          <w:szCs w:val="20"/>
          <w:color w:val="auto"/>
        </w:rPr>
      </w:pPr>
    </w:p>
    <w:p>
      <w:pPr>
        <w:jc w:val="both"/>
        <w:ind w:left="480" w:firstLine="1707"/>
        <w:spacing w:after="0" w:line="279" w:lineRule="auto"/>
        <w:tabs>
          <w:tab w:leader="none" w:pos="3271" w:val="left"/>
        </w:tabs>
        <w:numPr>
          <w:ilvl w:val="0"/>
          <w:numId w:val="23"/>
        </w:numPr>
        <w:rPr>
          <w:rFonts w:ascii="Arial" w:cs="Arial" w:eastAsia="Arial" w:hAnsi="Arial"/>
          <w:sz w:val="21"/>
          <w:szCs w:val="21"/>
          <w:color w:val="auto"/>
        </w:rPr>
      </w:pPr>
      <w:r>
        <w:rPr>
          <w:rFonts w:ascii="Arial" w:cs="Arial" w:eastAsia="Arial" w:hAnsi="Arial"/>
          <w:sz w:val="21"/>
          <w:szCs w:val="21"/>
          <w:color w:val="auto"/>
        </w:rPr>
        <w:t>Grantee’s rights, if any, in respect of or in connection with the Option or any other Award are derived solely from the discretionary decision of the Company to permit Grantee to participate in the Plan and to benefit from a discretionary Award. The Plan may be amended, suspended or terminated by the Company at any time, unless otherwise provided in the Plan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179705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440" w:top="429" w:right="459" w:bottom="1440" w:gutter="0" w:footer="0" w:header="0"/>
        </w:sectPr>
      </w:pPr>
    </w:p>
    <w:bookmarkStart w:id="89" w:name="page90"/>
    <w:bookmarkEnd w:id="89"/>
    <w:p>
      <w:pPr>
        <w:jc w:val="both"/>
        <w:ind w:left="1480"/>
        <w:spacing w:after="0" w:line="262" w:lineRule="auto"/>
        <w:rPr>
          <w:sz w:val="20"/>
          <w:szCs w:val="20"/>
          <w:color w:val="auto"/>
        </w:rPr>
      </w:pPr>
      <w:r>
        <w:rPr>
          <w:rFonts w:ascii="Arial" w:cs="Arial" w:eastAsia="Arial" w:hAnsi="Arial"/>
          <w:sz w:val="22"/>
          <w:szCs w:val="22"/>
          <w:color w:val="auto"/>
        </w:rPr>
        <w:t>this Agreement. By accepting the Option, Grantee expressly acknowledges that there is no obligation on the part of the Company to continue the Plan and/or grant any additional Awards, even if Awards have been granted in the past. All decisions with respect to future grants of Awards, if any, will be at the sole discretion of the Committee.</w:t>
      </w:r>
    </w:p>
    <w:p>
      <w:pPr>
        <w:spacing w:after="0" w:line="259" w:lineRule="exact"/>
        <w:rPr>
          <w:sz w:val="20"/>
          <w:szCs w:val="20"/>
          <w:color w:val="auto"/>
        </w:rPr>
      </w:pPr>
    </w:p>
    <w:p>
      <w:pPr>
        <w:jc w:val="both"/>
        <w:ind w:left="1480" w:firstLine="1707"/>
        <w:spacing w:after="0" w:line="304" w:lineRule="auto"/>
        <w:tabs>
          <w:tab w:leader="none" w:pos="4271" w:val="left"/>
        </w:tabs>
        <w:numPr>
          <w:ilvl w:val="1"/>
          <w:numId w:val="24"/>
        </w:numPr>
        <w:rPr>
          <w:rFonts w:ascii="Arial" w:cs="Arial" w:eastAsia="Arial" w:hAnsi="Arial"/>
          <w:sz w:val="19"/>
          <w:szCs w:val="19"/>
          <w:color w:val="auto"/>
        </w:rPr>
      </w:pPr>
      <w:r>
        <w:rPr>
          <w:rFonts w:ascii="Arial" w:cs="Arial" w:eastAsia="Arial" w:hAnsi="Arial"/>
          <w:sz w:val="19"/>
          <w:szCs w:val="19"/>
          <w:color w:val="auto"/>
        </w:rPr>
        <w:t>The Option is not intended to replace any pension rights or compensation and is not to be considered compensation or pay of a continuing or recurring nature, or part of Grantee’s normal or expected compensation, and in no way represents any portion of Grantee’s compensation or other remuneration for any purpose, including, but not limited to, calculating any severance, pension or other pay or benefit, and in no event should be considered as compensation or pay for, or relating in any way to, past employment or other services for the Company or any Subsidiary or affiliate. The value of the Option is an extraordinary item that does not constitute compensation or pay of any kind for employment or other services of any kind rendered to the Company or its Subsidiaries or affiliates and which is outside the scope of Grantee’s written employment agreement (if any).</w:t>
      </w:r>
    </w:p>
    <w:p>
      <w:pPr>
        <w:spacing w:after="0" w:line="209" w:lineRule="exact"/>
        <w:rPr>
          <w:rFonts w:ascii="Arial" w:cs="Arial" w:eastAsia="Arial" w:hAnsi="Arial"/>
          <w:sz w:val="19"/>
          <w:szCs w:val="19"/>
          <w:color w:val="auto"/>
        </w:rPr>
      </w:pPr>
    </w:p>
    <w:p>
      <w:pPr>
        <w:ind w:left="2140" w:hanging="653"/>
        <w:spacing w:after="0"/>
        <w:tabs>
          <w:tab w:leader="none" w:pos="21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Grantee acknowledges that he or she is voluntarily participating in the Plan.</w:t>
      </w:r>
    </w:p>
    <w:p>
      <w:pPr>
        <w:spacing w:after="0" w:line="300" w:lineRule="exact"/>
        <w:rPr>
          <w:rFonts w:ascii="Arial" w:cs="Arial" w:eastAsia="Arial" w:hAnsi="Arial"/>
          <w:sz w:val="22"/>
          <w:szCs w:val="22"/>
          <w:color w:val="auto"/>
        </w:rPr>
      </w:pPr>
    </w:p>
    <w:p>
      <w:pPr>
        <w:jc w:val="both"/>
        <w:ind w:left="1480" w:right="280" w:firstLine="1707"/>
        <w:spacing w:after="0" w:line="262" w:lineRule="auto"/>
        <w:tabs>
          <w:tab w:leader="none" w:pos="4271" w:val="left"/>
        </w:tabs>
        <w:numPr>
          <w:ilvl w:val="1"/>
          <w:numId w:val="25"/>
        </w:numPr>
        <w:rPr>
          <w:rFonts w:ascii="Arial" w:cs="Arial" w:eastAsia="Arial" w:hAnsi="Arial"/>
          <w:sz w:val="22"/>
          <w:szCs w:val="22"/>
          <w:color w:val="auto"/>
        </w:rPr>
      </w:pPr>
      <w:r>
        <w:rPr>
          <w:rFonts w:ascii="Arial" w:cs="Arial" w:eastAsia="Arial" w:hAnsi="Arial"/>
          <w:sz w:val="22"/>
          <w:szCs w:val="22"/>
          <w:color w:val="auto"/>
        </w:rPr>
        <w:t>Neither the Plan nor the Option or any other Award granted under the Plan shall be deemed to give Grantee a right to remain in the employment of the Company or any Subsidiary or Affiliate in any capacity. The Company reserves the right to terminate Grantee’s employment at any time, with or without cause, and for any reason.</w:t>
      </w:r>
    </w:p>
    <w:p>
      <w:pPr>
        <w:spacing w:after="0" w:line="258" w:lineRule="exact"/>
        <w:rPr>
          <w:rFonts w:ascii="Arial" w:cs="Arial" w:eastAsia="Arial" w:hAnsi="Arial"/>
          <w:sz w:val="22"/>
          <w:szCs w:val="22"/>
          <w:color w:val="auto"/>
        </w:rPr>
      </w:pPr>
    </w:p>
    <w:p>
      <w:pPr>
        <w:ind w:left="1480" w:right="340" w:firstLine="1709"/>
        <w:spacing w:after="0" w:line="358" w:lineRule="auto"/>
        <w:tabs>
          <w:tab w:leader="none" w:pos="4271" w:val="left"/>
        </w:tabs>
        <w:numPr>
          <w:ilvl w:val="1"/>
          <w:numId w:val="25"/>
        </w:numPr>
        <w:rPr>
          <w:rFonts w:ascii="Arial" w:cs="Arial" w:eastAsia="Arial" w:hAnsi="Arial"/>
          <w:sz w:val="19"/>
          <w:szCs w:val="19"/>
          <w:color w:val="auto"/>
        </w:rPr>
      </w:pPr>
      <w:r>
        <w:rPr>
          <w:rFonts w:ascii="Arial" w:cs="Arial" w:eastAsia="Arial" w:hAnsi="Arial"/>
          <w:sz w:val="19"/>
          <w:szCs w:val="19"/>
          <w:color w:val="auto"/>
        </w:rPr>
        <w:t>The grant of the Option and Grantee’s participation in the Plan will not be interpreted to form an employment relationship with the Company or any Subsidiary or affiliate.</w:t>
      </w:r>
    </w:p>
    <w:p>
      <w:pPr>
        <w:spacing w:after="0" w:line="158" w:lineRule="exact"/>
        <w:rPr>
          <w:rFonts w:ascii="Arial" w:cs="Arial" w:eastAsia="Arial" w:hAnsi="Arial"/>
          <w:sz w:val="19"/>
          <w:szCs w:val="19"/>
          <w:color w:val="auto"/>
        </w:rPr>
      </w:pPr>
    </w:p>
    <w:p>
      <w:pPr>
        <w:ind w:left="1480" w:right="220" w:firstLine="1709"/>
        <w:spacing w:after="0" w:line="317" w:lineRule="auto"/>
        <w:tabs>
          <w:tab w:leader="none" w:pos="4271" w:val="left"/>
        </w:tabs>
        <w:numPr>
          <w:ilvl w:val="1"/>
          <w:numId w:val="25"/>
        </w:numPr>
        <w:rPr>
          <w:rFonts w:ascii="Arial" w:cs="Arial" w:eastAsia="Arial" w:hAnsi="Arial"/>
          <w:sz w:val="19"/>
          <w:szCs w:val="19"/>
          <w:color w:val="auto"/>
        </w:rPr>
      </w:pPr>
      <w:r>
        <w:rPr>
          <w:rFonts w:ascii="Arial" w:cs="Arial" w:eastAsia="Arial" w:hAnsi="Arial"/>
          <w:sz w:val="19"/>
          <w:szCs w:val="19"/>
          <w:color w:val="auto"/>
        </w:rPr>
        <w:t>The future value of the Shares is unknown, indeterminable and cannot be predicted with certainty and if Grantee vests in the Option and purchases Shares, the value of those Shares may increase or decrease. Grantee also understand that none of the Company or its Subsidiaries or affiliates is responsible for any foreign exchange fluctuation that may affect the value of the Option.</w:t>
      </w:r>
    </w:p>
    <w:p>
      <w:pPr>
        <w:spacing w:after="0" w:line="209" w:lineRule="exact"/>
        <w:rPr>
          <w:rFonts w:ascii="Arial" w:cs="Arial" w:eastAsia="Arial" w:hAnsi="Arial"/>
          <w:sz w:val="19"/>
          <w:szCs w:val="19"/>
          <w:color w:val="auto"/>
        </w:rPr>
      </w:pPr>
    </w:p>
    <w:p>
      <w:pPr>
        <w:ind w:left="1480" w:right="20" w:firstLine="1707"/>
        <w:spacing w:after="0" w:line="260" w:lineRule="auto"/>
        <w:tabs>
          <w:tab w:leader="none" w:pos="4271" w:val="left"/>
        </w:tabs>
        <w:numPr>
          <w:ilvl w:val="1"/>
          <w:numId w:val="25"/>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Option resulting from the termination of Grantee’s employment by the Company (for any reason whatsoever and whether or not later found to be invalid or in breach of the laws in the jurisdiction where Grantee is employed, or the terms of Grantee’s employment agreement, if any) and, in consideration of the grant of the Award to which Grantee is not otherwise entitled, Grantee irrevocably agree never to institute any claim against the Company or its Subsidiaries or</w:t>
      </w:r>
    </w:p>
    <w:p>
      <w:pPr>
        <w:spacing w:after="0" w:line="43" w:lineRule="exact"/>
        <w:rPr>
          <w:sz w:val="20"/>
          <w:szCs w:val="20"/>
          <w:color w:val="auto"/>
        </w:rPr>
      </w:pPr>
    </w:p>
    <w:p>
      <w:pPr>
        <w:ind w:right="640"/>
        <w:spacing w:after="0" w:line="317" w:lineRule="auto"/>
        <w:rPr>
          <w:sz w:val="20"/>
          <w:szCs w:val="20"/>
          <w:color w:val="auto"/>
        </w:rPr>
      </w:pPr>
      <w:r>
        <w:rPr>
          <w:rFonts w:ascii="Arial" w:cs="Arial" w:eastAsia="Arial" w:hAnsi="Arial"/>
          <w:sz w:val="19"/>
          <w:szCs w:val="19"/>
          <w:color w:val="auto"/>
        </w:rPr>
        <w:t>affiliates, waives Grantee’s ability, if any, to bring any such claim, and releases the Company and its Subsidiaries and affiliates from any such claim; if notwithstanding the foregoing, any such claim is allowed by a court of competent jurisdiction, then, by accepting the Award, Grantee shall be deemed irrevocably to have agreed to not pursue such claim and agree to execute any and all documents necessary to request the withdrawal of such claim.</w:t>
      </w:r>
    </w:p>
    <w:p>
      <w:pPr>
        <w:spacing w:after="0" w:line="209" w:lineRule="exact"/>
        <w:rPr>
          <w:sz w:val="20"/>
          <w:szCs w:val="20"/>
          <w:color w:val="auto"/>
        </w:rPr>
      </w:pPr>
    </w:p>
    <w:p>
      <w:pPr>
        <w:ind w:left="1480" w:right="320" w:firstLine="1709"/>
        <w:spacing w:after="0" w:line="276" w:lineRule="auto"/>
        <w:tabs>
          <w:tab w:leader="none" w:pos="4271" w:val="left"/>
        </w:tabs>
        <w:numPr>
          <w:ilvl w:val="0"/>
          <w:numId w:val="26"/>
        </w:numPr>
        <w:rPr>
          <w:rFonts w:ascii="Arial" w:cs="Arial" w:eastAsia="Arial" w:hAnsi="Arial"/>
          <w:sz w:val="22"/>
          <w:szCs w:val="22"/>
          <w:color w:val="auto"/>
        </w:rPr>
      </w:pPr>
      <w:r>
        <w:rPr>
          <w:rFonts w:ascii="Arial" w:cs="Arial" w:eastAsia="Arial" w:hAnsi="Arial"/>
          <w:sz w:val="22"/>
          <w:szCs w:val="22"/>
          <w:color w:val="auto"/>
        </w:rPr>
        <w:t>Grantee agrees that the Company may require Shares received pursuant to the Option to be held by a broker designated by the Company.</w:t>
      </w:r>
    </w:p>
    <w:p>
      <w:pPr>
        <w:spacing w:after="0" w:line="241" w:lineRule="exact"/>
        <w:rPr>
          <w:rFonts w:ascii="Arial" w:cs="Arial" w:eastAsia="Arial" w:hAnsi="Arial"/>
          <w:sz w:val="22"/>
          <w:szCs w:val="22"/>
          <w:color w:val="auto"/>
        </w:rPr>
      </w:pPr>
    </w:p>
    <w:p>
      <w:pPr>
        <w:ind w:left="4280" w:hanging="1089"/>
        <w:spacing w:after="0"/>
        <w:tabs>
          <w:tab w:leader="none" w:pos="4280" w:val="left"/>
        </w:tabs>
        <w:numPr>
          <w:ilvl w:val="0"/>
          <w:numId w:val="26"/>
        </w:numPr>
        <w:rPr>
          <w:rFonts w:ascii="Arial" w:cs="Arial" w:eastAsia="Arial" w:hAnsi="Arial"/>
          <w:sz w:val="19"/>
          <w:szCs w:val="19"/>
          <w:color w:val="auto"/>
        </w:rPr>
      </w:pPr>
      <w:r>
        <w:rPr>
          <w:rFonts w:ascii="Arial" w:cs="Arial" w:eastAsia="Arial" w:hAnsi="Arial"/>
          <w:sz w:val="19"/>
          <w:szCs w:val="19"/>
          <w:color w:val="auto"/>
        </w:rPr>
        <w:t>Grantee agrees that Grantee’s rights hereunder (if any) shall be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239395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361" w:right="459" w:bottom="1440" w:gutter="0" w:footer="0" w:header="0"/>
        </w:sectPr>
      </w:pPr>
    </w:p>
    <w:bookmarkStart w:id="90" w:name="page91"/>
    <w:bookmarkEnd w:id="90"/>
    <w:p>
      <w:pPr>
        <w:ind w:left="480"/>
        <w:spacing w:after="0"/>
        <w:rPr>
          <w:sz w:val="20"/>
          <w:szCs w:val="20"/>
          <w:color w:val="auto"/>
        </w:rPr>
      </w:pPr>
      <w:r>
        <w:rPr>
          <w:rFonts w:ascii="Arial" w:cs="Arial" w:eastAsia="Arial" w:hAnsi="Arial"/>
          <w:sz w:val="22"/>
          <w:szCs w:val="22"/>
          <w:color w:val="auto"/>
        </w:rPr>
        <w:t>set-off by the Company for any valid debts Grantee owes the Company.</w:t>
      </w:r>
    </w:p>
    <w:p>
      <w:pPr>
        <w:spacing w:after="0" w:line="301" w:lineRule="exact"/>
        <w:rPr>
          <w:sz w:val="20"/>
          <w:szCs w:val="20"/>
          <w:color w:val="auto"/>
        </w:rPr>
      </w:pPr>
    </w:p>
    <w:p>
      <w:pPr>
        <w:ind w:left="480" w:firstLine="1707"/>
        <w:spacing w:after="0" w:line="279" w:lineRule="auto"/>
        <w:tabs>
          <w:tab w:leader="none" w:pos="3271" w:val="left"/>
        </w:tabs>
        <w:numPr>
          <w:ilvl w:val="0"/>
          <w:numId w:val="27"/>
        </w:numPr>
        <w:rPr>
          <w:rFonts w:ascii="Arial" w:cs="Arial" w:eastAsia="Arial" w:hAnsi="Arial"/>
          <w:sz w:val="21"/>
          <w:szCs w:val="21"/>
          <w:color w:val="auto"/>
        </w:rPr>
      </w:pPr>
      <w:r>
        <w:rPr>
          <w:rFonts w:ascii="Arial" w:cs="Arial" w:eastAsia="Arial" w:hAnsi="Arial"/>
          <w:sz w:val="21"/>
          <w:szCs w:val="21"/>
          <w:color w:val="auto"/>
        </w:rPr>
        <w:t>Unless otherwise provided in the Plan or this Agreement, or by the Company in its discretion, the Option and the benefits evidenced by this Agreement do not create any entitlement to have the Option transferred to, or assumed by, another company, nor to be exchanged, cashed out or substituted for in connection with any transaction affecting the Shares.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363220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40"/>
          </w:cols>
          <w:pgMar w:left="1440" w:top="361" w:right="519" w:bottom="1440" w:gutter="0" w:footer="0" w:header="0"/>
        </w:sectPr>
      </w:pPr>
    </w:p>
    <w:bookmarkStart w:id="91" w:name="page92"/>
    <w:bookmarkEnd w:id="91"/>
    <w:p>
      <w:pPr>
        <w:ind w:left="7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9"/>
          <w:szCs w:val="19"/>
          <w:color w:val="auto"/>
        </w:rPr>
        <w:t>the parties hereto have executed this Agreement as of the date first set forth above.</w:t>
      </w: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Arial" w:cs="Arial" w:eastAsia="Arial" w:hAnsi="Arial"/>
          <w:sz w:val="22"/>
          <w:szCs w:val="22"/>
          <w:color w:val="auto"/>
        </w:rPr>
        <w:t>BIOATLA, INC.</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By:____________________</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22"/>
          <w:szCs w:val="22"/>
          <w:color w:val="auto"/>
        </w:rPr>
        <w:t>GRANTEE</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214630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60"/>
          </w:cols>
          <w:pgMar w:left="440" w:top="429" w:right="139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Jay M. Short, Ph.D., certify that:</w:t>
      </w:r>
    </w:p>
    <w:p>
      <w:pPr>
        <w:spacing w:after="0" w:line="239" w:lineRule="exact"/>
        <w:rPr>
          <w:sz w:val="20"/>
          <w:szCs w:val="20"/>
          <w:color w:val="auto"/>
        </w:rPr>
      </w:pPr>
    </w:p>
    <w:p>
      <w:pPr>
        <w:ind w:left="440" w:hanging="432"/>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BioAtla,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440" w:right="340" w:hanging="432"/>
        <w:spacing w:after="0" w:line="293" w:lineRule="auto"/>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1020" w:right="80" w:hanging="479"/>
        <w:spacing w:after="0" w:line="279" w:lineRule="auto"/>
        <w:tabs>
          <w:tab w:leader="none" w:pos="89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480" w:hanging="479"/>
        <w:spacing w:after="0" w:line="359" w:lineRule="auto"/>
        <w:tabs>
          <w:tab w:leader="none" w:pos="895"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60" w:hanging="479"/>
        <w:spacing w:after="0" w:line="279" w:lineRule="auto"/>
        <w:tabs>
          <w:tab w:leader="none" w:pos="89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2" w:lineRule="exact"/>
        <w:rPr>
          <w:rFonts w:ascii="Arial" w:cs="Arial" w:eastAsia="Arial" w:hAnsi="Arial"/>
          <w:sz w:val="18"/>
          <w:szCs w:val="18"/>
          <w:color w:val="auto"/>
        </w:rPr>
      </w:pPr>
    </w:p>
    <w:p>
      <w:pPr>
        <w:ind w:left="440" w:right="40" w:hanging="432"/>
        <w:spacing w:after="0" w:line="324" w:lineRule="auto"/>
        <w:tabs>
          <w:tab w:leader="none" w:pos="4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40" w:hanging="479"/>
        <w:spacing w:after="0" w:line="324" w:lineRule="auto"/>
        <w:tabs>
          <w:tab w:leader="none" w:pos="895"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hanging="479"/>
        <w:spacing w:after="0" w:line="293" w:lineRule="auto"/>
        <w:tabs>
          <w:tab w:leader="none" w:pos="89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Date: November 15, 2021</w:t>
            </w:r>
          </w:p>
        </w:tc>
        <w:tc>
          <w:tcPr>
            <w:tcW w:w="2220" w:type="dxa"/>
            <w:vAlign w:val="bottom"/>
          </w:tcPr>
          <w:p>
            <w:pPr>
              <w:ind w:left="190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Jay M. Short, Ph.D.</w:t>
            </w:r>
          </w:p>
        </w:tc>
      </w:tr>
      <w:tr>
        <w:trPr>
          <w:trHeight w:val="224"/>
        </w:trPr>
        <w:tc>
          <w:tcPr>
            <w:tcW w:w="38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0"/>
              </w:rPr>
              <w:t>Jay M. Short, Ph.D.</w:t>
            </w:r>
          </w:p>
        </w:tc>
      </w:tr>
      <w:tr>
        <w:trPr>
          <w:trHeight w:val="242"/>
        </w:trPr>
        <w:tc>
          <w:tcPr>
            <w:tcW w:w="38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r>
      <w:tr>
        <w:trPr>
          <w:trHeight w:val="803"/>
        </w:trPr>
        <w:tc>
          <w:tcPr>
            <w:tcW w:w="38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I, Richard A. Waldron, certify that:</w:t>
      </w:r>
    </w:p>
    <w:p>
      <w:pPr>
        <w:spacing w:after="0" w:line="239" w:lineRule="exact"/>
        <w:rPr>
          <w:sz w:val="20"/>
          <w:szCs w:val="20"/>
          <w:color w:val="auto"/>
        </w:rPr>
      </w:pPr>
    </w:p>
    <w:p>
      <w:pPr>
        <w:ind w:left="440" w:hanging="432"/>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BioAtla,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440" w:right="340" w:hanging="432"/>
        <w:spacing w:after="0" w:line="293" w:lineRule="auto"/>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1020" w:right="80" w:hanging="479"/>
        <w:spacing w:after="0" w:line="279" w:lineRule="auto"/>
        <w:tabs>
          <w:tab w:leader="none" w:pos="89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480" w:hanging="479"/>
        <w:spacing w:after="0" w:line="359" w:lineRule="auto"/>
        <w:tabs>
          <w:tab w:leader="none" w:pos="895"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60" w:hanging="479"/>
        <w:spacing w:after="0" w:line="279" w:lineRule="auto"/>
        <w:tabs>
          <w:tab w:leader="none" w:pos="89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2" w:lineRule="exact"/>
        <w:rPr>
          <w:rFonts w:ascii="Arial" w:cs="Arial" w:eastAsia="Arial" w:hAnsi="Arial"/>
          <w:sz w:val="18"/>
          <w:szCs w:val="18"/>
          <w:color w:val="auto"/>
        </w:rPr>
      </w:pPr>
    </w:p>
    <w:p>
      <w:pPr>
        <w:ind w:left="440" w:right="40" w:hanging="432"/>
        <w:spacing w:after="0" w:line="324" w:lineRule="auto"/>
        <w:tabs>
          <w:tab w:leader="none" w:pos="4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40" w:hanging="479"/>
        <w:spacing w:after="0" w:line="324" w:lineRule="auto"/>
        <w:tabs>
          <w:tab w:leader="none" w:pos="895"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hanging="479"/>
        <w:spacing w:after="0" w:line="293" w:lineRule="auto"/>
        <w:tabs>
          <w:tab w:leader="none" w:pos="89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Date: November 15, 2021</w:t>
            </w:r>
          </w:p>
        </w:tc>
        <w:tc>
          <w:tcPr>
            <w:tcW w:w="2220" w:type="dxa"/>
            <w:vAlign w:val="bottom"/>
          </w:tcPr>
          <w:p>
            <w:pPr>
              <w:ind w:left="190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Richard A. Waldron</w:t>
            </w:r>
          </w:p>
        </w:tc>
      </w:tr>
      <w:tr>
        <w:trPr>
          <w:trHeight w:val="224"/>
        </w:trPr>
        <w:tc>
          <w:tcPr>
            <w:tcW w:w="38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2"/>
              </w:rPr>
              <w:t>Richard A. Waldron</w:t>
            </w:r>
          </w:p>
        </w:tc>
      </w:tr>
      <w:tr>
        <w:trPr>
          <w:trHeight w:val="241"/>
        </w:trPr>
        <w:tc>
          <w:tcPr>
            <w:tcW w:w="38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8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r>
        <w:trPr>
          <w:trHeight w:val="803"/>
        </w:trPr>
        <w:tc>
          <w:tcPr>
            <w:tcW w:w="38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60" w:firstLine="509"/>
        <w:spacing w:after="0" w:line="279" w:lineRule="auto"/>
        <w:rPr>
          <w:sz w:val="20"/>
          <w:szCs w:val="20"/>
          <w:color w:val="auto"/>
        </w:rPr>
      </w:pPr>
      <w:r>
        <w:rPr>
          <w:rFonts w:ascii="Arial" w:cs="Arial" w:eastAsia="Arial" w:hAnsi="Arial"/>
          <w:sz w:val="18"/>
          <w:szCs w:val="18"/>
          <w:color w:val="auto"/>
        </w:rPr>
        <w:t>In connection with the Quarterly Report of BioAtla, Inc. (the “Company”) on Form 10-Q for the period ending September 30, 2021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900" w:hanging="359"/>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1020" w:right="740" w:hanging="479"/>
        <w:spacing w:after="0" w:line="293" w:lineRule="auto"/>
        <w:tabs>
          <w:tab w:leader="none" w:pos="8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November 15, 2021</w:t>
            </w:r>
          </w:p>
        </w:tc>
        <w:tc>
          <w:tcPr>
            <w:tcW w:w="2220" w:type="dxa"/>
            <w:vAlign w:val="bottom"/>
          </w:tcPr>
          <w:p>
            <w:pPr>
              <w:ind w:left="190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Jay M. Short, Ph.D.</w:t>
            </w:r>
          </w:p>
        </w:tc>
      </w:tr>
      <w:tr>
        <w:trPr>
          <w:trHeight w:val="224"/>
        </w:trPr>
        <w:tc>
          <w:tcPr>
            <w:tcW w:w="37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0"/>
              </w:rPr>
              <w:t>Jay M. Short, Ph.D.</w:t>
            </w:r>
          </w:p>
        </w:tc>
      </w:tr>
      <w:tr>
        <w:trPr>
          <w:trHeight w:val="241"/>
        </w:trPr>
        <w:tc>
          <w:tcPr>
            <w:tcW w:w="37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20" w:type="dxa"/>
            <w:vAlign w:val="bottom"/>
          </w:tcPr>
          <w:p>
            <w:pPr>
              <w:ind w:left="1780"/>
              <w:spacing w:after="0"/>
              <w:rPr>
                <w:sz w:val="20"/>
                <w:szCs w:val="20"/>
                <w:color w:val="auto"/>
              </w:rPr>
            </w:pPr>
            <w:r>
              <w:rPr>
                <w:rFonts w:ascii="Arial" w:cs="Arial" w:eastAsia="Arial" w:hAnsi="Arial"/>
                <w:sz w:val="18"/>
                <w:szCs w:val="18"/>
                <w:color w:val="auto"/>
              </w:rPr>
              <w:t>Chief Executive Officer</w:t>
            </w:r>
          </w:p>
        </w:tc>
      </w:tr>
      <w:tr>
        <w:trPr>
          <w:trHeight w:val="230"/>
        </w:trPr>
        <w:tc>
          <w:tcPr>
            <w:tcW w:w="37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72"/>
        </w:trPr>
        <w:tc>
          <w:tcPr>
            <w:tcW w:w="3780" w:type="dxa"/>
            <w:vAlign w:val="bottom"/>
          </w:tcPr>
          <w:p>
            <w:pPr>
              <w:spacing w:after="0"/>
              <w:rPr>
                <w:sz w:val="20"/>
                <w:szCs w:val="20"/>
                <w:color w:val="auto"/>
              </w:rPr>
            </w:pPr>
            <w:r>
              <w:rPr>
                <w:rFonts w:ascii="Arial" w:cs="Arial" w:eastAsia="Arial" w:hAnsi="Arial"/>
                <w:sz w:val="18"/>
                <w:szCs w:val="18"/>
                <w:color w:val="auto"/>
              </w:rPr>
              <w:t>Date: November 15, 2021</w:t>
            </w:r>
          </w:p>
        </w:tc>
        <w:tc>
          <w:tcPr>
            <w:tcW w:w="2220" w:type="dxa"/>
            <w:vAlign w:val="bottom"/>
          </w:tcPr>
          <w:p>
            <w:pPr>
              <w:ind w:left="190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Richard A. Waldron</w:t>
            </w:r>
          </w:p>
        </w:tc>
      </w:tr>
      <w:tr>
        <w:trPr>
          <w:trHeight w:val="224"/>
        </w:trPr>
        <w:tc>
          <w:tcPr>
            <w:tcW w:w="37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2"/>
              </w:rPr>
              <w:t>Richard A. Waldron</w:t>
            </w:r>
          </w:p>
        </w:tc>
      </w:tr>
      <w:tr>
        <w:trPr>
          <w:trHeight w:val="241"/>
        </w:trPr>
        <w:tc>
          <w:tcPr>
            <w:tcW w:w="37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7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00" w:firstLine="509"/>
        <w:spacing w:after="0" w:line="272"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5" w:name="page96"/>
    <w:bookmarkEnd w:id="9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lowerRoman"/>
      <w:start w:val="4"/>
    </w:lvl>
  </w:abstractNum>
  <w:abstractNum w:abstractNumId="4">
    <w:nsid w:val="519B500D"/>
    <w:multiLevelType w:val="hybridMultilevel"/>
    <w:lvl w:ilvl="0">
      <w:lvlJc w:val="left"/>
      <w:lvlText w:val="(%1)"/>
      <w:numFmt w:val="lowerRoman"/>
      <w:start w:val="1"/>
    </w:lvl>
  </w:abstractNum>
  <w:abstractNum w:abstractNumId="5">
    <w:nsid w:val="431BD7B7"/>
    <w:multiLevelType w:val="hybridMultilevel"/>
    <w:lvl w:ilvl="0">
      <w:lvlJc w:val="left"/>
      <w:lvlText w:val="%1"/>
      <w:numFmt w:val="upperLetter"/>
      <w:start w:val="68"/>
    </w:lvl>
  </w:abstractNum>
  <w:abstractNum w:abstractNumId="6">
    <w:nsid w:val="3F2DBA31"/>
    <w:multiLevelType w:val="hybridMultilevel"/>
    <w:lvl w:ilvl="0">
      <w:lvlJc w:val="left"/>
      <w:lvlText w:val="%1"/>
      <w:numFmt w:val="upperLetter"/>
      <w:start w:val="68"/>
    </w:lvl>
  </w:abstractNum>
  <w:abstractNum w:abstractNumId="7">
    <w:nsid w:val="7C83E458"/>
    <w:multiLevelType w:val="hybridMultilevel"/>
    <w:lvl w:ilvl="0">
      <w:lvlJc w:val="left"/>
      <w:lvlText w:val="(%1)"/>
      <w:numFmt w:val="lowerLetter"/>
      <w:start w:val="1"/>
    </w:lvl>
  </w:abstractNum>
  <w:abstractNum w:abstractNumId="8">
    <w:nsid w:val="257130A3"/>
    <w:multiLevelType w:val="hybridMultilevel"/>
    <w:lvl w:ilvl="0">
      <w:lvlJc w:val="left"/>
      <w:lvlText w:val="(%1)"/>
      <w:numFmt w:val="lowerLetter"/>
      <w:start w:val="3"/>
    </w:lvl>
  </w:abstractNum>
  <w:abstractNum w:abstractNumId="9">
    <w:nsid w:val="62BBD95A"/>
    <w:multiLevelType w:val="hybridMultilevel"/>
    <w:lvl w:ilvl="0">
      <w:lvlJc w:val="left"/>
      <w:lvlText w:val="(%1)"/>
      <w:numFmt w:val="lowerLetter"/>
      <w:start w:val="1"/>
    </w:lvl>
  </w:abstractNum>
  <w:abstractNum w:abstractNumId="10">
    <w:nsid w:val="436C6125"/>
    <w:multiLevelType w:val="hybridMultilevel"/>
    <w:lvl w:ilvl="0">
      <w:lvlJc w:val="left"/>
      <w:lvlText w:val="(%1)"/>
      <w:numFmt w:val="lowerLetter"/>
      <w:start w:val="2"/>
    </w:lvl>
  </w:abstractNum>
  <w:abstractNum w:abstractNumId="11">
    <w:nsid w:val="628C895D"/>
    <w:multiLevelType w:val="hybridMultilevel"/>
    <w:lvl w:ilvl="0">
      <w:lvlJc w:val="left"/>
      <w:lvlText w:val="(%1)"/>
      <w:numFmt w:val="lowerLetter"/>
      <w:start w:val="1"/>
    </w:lvl>
  </w:abstractNum>
  <w:abstractNum w:abstractNumId="12">
    <w:nsid w:val="333AB105"/>
    <w:multiLevelType w:val="hybridMultilevel"/>
    <w:lvl w:ilvl="0">
      <w:lvlJc w:val="left"/>
      <w:lvlText w:val="(%1)"/>
      <w:numFmt w:val="lowerLetter"/>
      <w:start w:val="1"/>
    </w:lvl>
  </w:abstractNum>
  <w:abstractNum w:abstractNumId="13">
    <w:nsid w:val="721DA317"/>
    <w:multiLevelType w:val="hybridMultilevel"/>
    <w:lvl w:ilvl="0">
      <w:lvlJc w:val="left"/>
      <w:lvlText w:val="(%1)"/>
      <w:numFmt w:val="lowerLetter"/>
      <w:start w:val="2"/>
    </w:lvl>
  </w:abstractNum>
  <w:abstractNum w:abstractNumId="14">
    <w:nsid w:val="2443A858"/>
    <w:multiLevelType w:val="hybridMultilevel"/>
    <w:lvl w:ilvl="0">
      <w:lvlJc w:val="left"/>
      <w:lvlText w:val="(%1)"/>
      <w:numFmt w:val="lowerLetter"/>
      <w:start w:val="3"/>
    </w:lvl>
  </w:abstractNum>
  <w:abstractNum w:abstractNumId="15">
    <w:nsid w:val="2D1D5AE9"/>
    <w:multiLevelType w:val="hybridMultilevel"/>
    <w:lvl w:ilvl="0">
      <w:lvlJc w:val="left"/>
      <w:lvlText w:val="(%1)"/>
      <w:numFmt w:val="lowerLetter"/>
      <w:start w:val="1"/>
    </w:lvl>
  </w:abstractNum>
  <w:abstractNum w:abstractNumId="16">
    <w:nsid w:val="6763845E"/>
    <w:multiLevelType w:val="hybridMultilevel"/>
    <w:lvl w:ilvl="0">
      <w:lvlJc w:val="left"/>
      <w:lvlText w:val="(%1)"/>
      <w:numFmt w:val="lowerLetter"/>
      <w:start w:val="3"/>
    </w:lvl>
    <w:lvl w:ilvl="1">
      <w:lvlJc w:val="left"/>
      <w:lvlText w:val="(%2)"/>
      <w:numFmt w:val="lowerLetter"/>
      <w:start w:val="4"/>
    </w:lvl>
  </w:abstractNum>
  <w:abstractNum w:abstractNumId="17">
    <w:nsid w:val="75A2A8D4"/>
    <w:multiLevelType w:val="hybridMultilevel"/>
    <w:lvl w:ilvl="0">
      <w:lvlJc w:val="left"/>
      <w:lvlText w:val="(%1)"/>
      <w:numFmt w:val="lowerLetter"/>
      <w:start w:val="8"/>
    </w:lvl>
  </w:abstractNum>
  <w:abstractNum w:abstractNumId="18">
    <w:nsid w:val="8EDBDAB"/>
    <w:multiLevelType w:val="hybridMultilevel"/>
    <w:lvl w:ilvl="0">
      <w:lvlJc w:val="left"/>
      <w:lvlText w:val="(%1)"/>
      <w:numFmt w:val="lowerLetter"/>
      <w:start w:val="1"/>
    </w:lvl>
  </w:abstractNum>
  <w:abstractNum w:abstractNumId="19">
    <w:nsid w:val="79838CB2"/>
    <w:multiLevelType w:val="hybridMultilevel"/>
    <w:lvl w:ilvl="0">
      <w:lvlJc w:val="left"/>
      <w:lvlText w:val="(%1)"/>
      <w:numFmt w:val="lowerLetter"/>
      <w:start w:val="3"/>
    </w:lvl>
  </w:abstractNum>
  <w:abstractNum w:abstractNumId="20">
    <w:nsid w:val="4353D0CD"/>
    <w:multiLevelType w:val="hybridMultilevel"/>
    <w:lvl w:ilvl="0">
      <w:lvlJc w:val="left"/>
      <w:lvlText w:val="(%1)"/>
      <w:numFmt w:val="lowerLetter"/>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lowerLetter"/>
      <w:start w:val="1"/>
    </w:lvl>
    <w:lvl w:ilvl="1">
      <w:lvlJc w:val="left"/>
      <w:lvlText w:val="(%2)"/>
      <w:numFmt w:val="lowerLetter"/>
      <w:start w:val="2"/>
    </w:lvl>
  </w:abstractNum>
  <w:abstractNum w:abstractNumId="24">
    <w:nsid w:val="71F32454"/>
    <w:multiLevelType w:val="hybridMultilevel"/>
    <w:lvl w:ilvl="0">
      <w:lvlJc w:val="left"/>
      <w:lvlText w:val="(%1)"/>
      <w:numFmt w:val="lowerLetter"/>
      <w:start w:val="3"/>
    </w:lvl>
    <w:lvl w:ilvl="1">
      <w:lvlJc w:val="left"/>
      <w:lvlText w:val="(%2)"/>
      <w:numFmt w:val="lowerLetter"/>
      <w:start w:val="4"/>
    </w:lvl>
  </w:abstractNum>
  <w:abstractNum w:abstractNumId="25">
    <w:nsid w:val="2CA88611"/>
    <w:multiLevelType w:val="hybridMultilevel"/>
    <w:lvl w:ilvl="0">
      <w:lvlJc w:val="left"/>
      <w:lvlText w:val="(%1)"/>
      <w:numFmt w:val="lowerLetter"/>
      <w:start w:val="8"/>
    </w:lvl>
  </w:abstractNum>
  <w:abstractNum w:abstractNumId="26">
    <w:nsid w:val="836C40E"/>
    <w:multiLevelType w:val="hybridMultilevel"/>
    <w:lvl w:ilvl="0">
      <w:lvlJc w:val="left"/>
      <w:lvlText w:val="(%1)"/>
      <w:numFmt w:val="lowerLetter"/>
      <w:start w:val="10"/>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2021-11-15T16:35:20Z</dcterms:created>
  <dcterms:modified xsi:type="dcterms:W3CDTF">2021-11-15T16:35:20Z</dcterms:modified>
</cp:coreProperties>
</file>