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100965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820" w:right="1620" w:hanging="3799"/>
        <w:spacing w:after="0" w:line="376" w:lineRule="auto"/>
        <w:tabs>
          <w:tab w:leader="none" w:pos="48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27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8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04"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001-39787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3"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BIOATLA,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8" w:lineRule="exact"/>
        <w:rPr>
          <w:sz w:val="24"/>
          <w:szCs w:val="24"/>
          <w:color w:val="auto"/>
        </w:rPr>
      </w:pPr>
    </w:p>
    <w:tbl>
      <w:tblPr>
        <w:tblLayout w:type="fixed"/>
        <w:tblInd w:w="1240" w:type="dxa"/>
        <w:tblCellMar>
          <w:top w:w="0" w:type="dxa"/>
          <w:left w:w="0" w:type="dxa"/>
          <w:bottom w:w="0" w:type="dxa"/>
          <w:right w:w="0" w:type="dxa"/>
        </w:tblCellMar>
      </w:tblPr>
      <w:tr>
        <w:trPr>
          <w:trHeight w:val="207"/>
        </w:trPr>
        <w:tc>
          <w:tcPr>
            <w:tcW w:w="4920" w:type="dxa"/>
            <w:vAlign w:val="bottom"/>
          </w:tcPr>
          <w:p>
            <w:pPr>
              <w:jc w:val="center"/>
              <w:ind w:right="1688"/>
              <w:spacing w:after="0"/>
              <w:rPr>
                <w:sz w:val="20"/>
                <w:szCs w:val="20"/>
                <w:color w:val="auto"/>
              </w:rPr>
            </w:pPr>
            <w:r>
              <w:rPr>
                <w:rFonts w:ascii="Arial" w:cs="Arial" w:eastAsia="Arial" w:hAnsi="Arial"/>
                <w:sz w:val="18"/>
                <w:szCs w:val="18"/>
                <w:b w:val="1"/>
                <w:bCs w:val="1"/>
                <w:color w:val="auto"/>
                <w:w w:val="91"/>
              </w:rPr>
              <w:t>Delaware</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85-1922320</w:t>
            </w:r>
          </w:p>
        </w:tc>
      </w:tr>
      <w:tr>
        <w:trPr>
          <w:trHeight w:val="140"/>
        </w:trPr>
        <w:tc>
          <w:tcPr>
            <w:tcW w:w="4920" w:type="dxa"/>
            <w:vAlign w:val="bottom"/>
          </w:tcPr>
          <w:p>
            <w:pPr>
              <w:jc w:val="center"/>
              <w:ind w:right="1688"/>
              <w:spacing w:after="0" w:line="140" w:lineRule="exact"/>
              <w:rPr>
                <w:sz w:val="20"/>
                <w:szCs w:val="20"/>
                <w:color w:val="auto"/>
              </w:rPr>
            </w:pPr>
            <w:r>
              <w:rPr>
                <w:rFonts w:ascii="Arial" w:cs="Arial" w:eastAsia="Arial" w:hAnsi="Arial"/>
                <w:sz w:val="13"/>
                <w:szCs w:val="13"/>
                <w:b w:val="1"/>
                <w:bCs w:val="1"/>
                <w:color w:val="auto"/>
                <w:w w:val="87"/>
              </w:rPr>
              <w:t>( State or other jurisdiction of</w:t>
            </w:r>
          </w:p>
        </w:tc>
        <w:tc>
          <w:tcPr>
            <w:tcW w:w="2760" w:type="dxa"/>
            <w:vAlign w:val="bottom"/>
          </w:tcPr>
          <w:p>
            <w:pPr>
              <w:jc w:val="center"/>
              <w:ind w:left="1706"/>
              <w:spacing w:after="0" w:line="140" w:lineRule="exact"/>
              <w:rPr>
                <w:sz w:val="20"/>
                <w:szCs w:val="20"/>
                <w:color w:val="auto"/>
              </w:rPr>
            </w:pPr>
            <w:r>
              <w:rPr>
                <w:rFonts w:ascii="Arial" w:cs="Arial" w:eastAsia="Arial" w:hAnsi="Arial"/>
                <w:sz w:val="13"/>
                <w:szCs w:val="13"/>
                <w:b w:val="1"/>
                <w:bCs w:val="1"/>
                <w:color w:val="auto"/>
                <w:w w:val="90"/>
              </w:rPr>
              <w:t>(I.R.S. Employer</w:t>
            </w:r>
          </w:p>
        </w:tc>
      </w:tr>
      <w:tr>
        <w:trPr>
          <w:trHeight w:val="144"/>
        </w:trPr>
        <w:tc>
          <w:tcPr>
            <w:tcW w:w="4920" w:type="dxa"/>
            <w:vAlign w:val="bottom"/>
          </w:tcPr>
          <w:p>
            <w:pPr>
              <w:jc w:val="center"/>
              <w:ind w:right="1688"/>
              <w:spacing w:after="0" w:line="144" w:lineRule="exact"/>
              <w:rPr>
                <w:sz w:val="20"/>
                <w:szCs w:val="20"/>
                <w:color w:val="auto"/>
              </w:rPr>
            </w:pPr>
            <w:r>
              <w:rPr>
                <w:rFonts w:ascii="Arial" w:cs="Arial" w:eastAsia="Arial" w:hAnsi="Arial"/>
                <w:sz w:val="13"/>
                <w:szCs w:val="13"/>
                <w:b w:val="1"/>
                <w:bCs w:val="1"/>
                <w:color w:val="auto"/>
                <w:w w:val="88"/>
              </w:rPr>
              <w:t>incorporation or organization)</w:t>
            </w:r>
          </w:p>
        </w:tc>
        <w:tc>
          <w:tcPr>
            <w:tcW w:w="2760" w:type="dxa"/>
            <w:vAlign w:val="bottom"/>
          </w:tcPr>
          <w:p>
            <w:pPr>
              <w:jc w:val="center"/>
              <w:ind w:left="1706"/>
              <w:spacing w:after="0" w:line="144" w:lineRule="exact"/>
              <w:rPr>
                <w:sz w:val="20"/>
                <w:szCs w:val="20"/>
                <w:color w:val="auto"/>
              </w:rPr>
            </w:pPr>
            <w:r>
              <w:rPr>
                <w:rFonts w:ascii="Arial" w:cs="Arial" w:eastAsia="Arial" w:hAnsi="Arial"/>
                <w:sz w:val="13"/>
                <w:szCs w:val="13"/>
                <w:b w:val="1"/>
                <w:bCs w:val="1"/>
                <w:color w:val="auto"/>
                <w:w w:val="89"/>
              </w:rPr>
              <w:t>Identification No.)</w:t>
            </w:r>
          </w:p>
        </w:tc>
      </w:tr>
      <w:tr>
        <w:trPr>
          <w:trHeight w:val="203"/>
        </w:trPr>
        <w:tc>
          <w:tcPr>
            <w:tcW w:w="4920" w:type="dxa"/>
            <w:vAlign w:val="bottom"/>
          </w:tcPr>
          <w:p>
            <w:pPr>
              <w:jc w:val="center"/>
              <w:ind w:right="1708"/>
              <w:spacing w:after="0"/>
              <w:rPr>
                <w:sz w:val="20"/>
                <w:szCs w:val="20"/>
                <w:color w:val="auto"/>
              </w:rPr>
            </w:pPr>
            <w:r>
              <w:rPr>
                <w:rFonts w:ascii="Arial" w:cs="Arial" w:eastAsia="Arial" w:hAnsi="Arial"/>
                <w:sz w:val="16"/>
                <w:szCs w:val="16"/>
                <w:b w:val="1"/>
                <w:bCs w:val="1"/>
                <w:color w:val="auto"/>
                <w:w w:val="92"/>
              </w:rPr>
              <w:t>11085 Torreyana Road, San Diego, California</w:t>
            </w:r>
          </w:p>
        </w:tc>
        <w:tc>
          <w:tcPr>
            <w:tcW w:w="2760" w:type="dxa"/>
            <w:vAlign w:val="bottom"/>
          </w:tcPr>
          <w:p>
            <w:pPr>
              <w:jc w:val="right"/>
              <w:ind w:right="186"/>
              <w:spacing w:after="0" w:line="202" w:lineRule="exact"/>
              <w:rPr>
                <w:sz w:val="20"/>
                <w:szCs w:val="20"/>
                <w:color w:val="auto"/>
              </w:rPr>
            </w:pPr>
            <w:r>
              <w:rPr>
                <w:rFonts w:ascii="Arial" w:cs="Arial" w:eastAsia="Arial" w:hAnsi="Arial"/>
                <w:sz w:val="18"/>
                <w:szCs w:val="18"/>
                <w:b w:val="1"/>
                <w:bCs w:val="1"/>
                <w:color w:val="auto"/>
              </w:rPr>
              <w:t>92121</w:t>
            </w:r>
          </w:p>
        </w:tc>
      </w:tr>
      <w:tr>
        <w:trPr>
          <w:trHeight w:val="164"/>
        </w:trPr>
        <w:tc>
          <w:tcPr>
            <w:tcW w:w="4920" w:type="dxa"/>
            <w:vAlign w:val="bottom"/>
          </w:tcPr>
          <w:p>
            <w:pPr>
              <w:jc w:val="center"/>
              <w:ind w:right="168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60" w:type="dxa"/>
            <w:vAlign w:val="bottom"/>
          </w:tcPr>
          <w:p>
            <w:pPr>
              <w:jc w:val="center"/>
              <w:ind w:left="1706"/>
              <w:spacing w:after="0"/>
              <w:rPr>
                <w:sz w:val="20"/>
                <w:szCs w:val="20"/>
                <w:color w:val="auto"/>
              </w:rPr>
            </w:pPr>
            <w:r>
              <w:rPr>
                <w:rFonts w:ascii="Arial" w:cs="Arial" w:eastAsia="Arial" w:hAnsi="Arial"/>
                <w:sz w:val="13"/>
                <w:szCs w:val="13"/>
                <w:b w:val="1"/>
                <w:bCs w:val="1"/>
                <w:color w:val="auto"/>
                <w:w w:val="90"/>
              </w:rPr>
              <w:t>(Zip Code)</w:t>
            </w:r>
          </w:p>
        </w:tc>
      </w:tr>
    </w:tbl>
    <w:p>
      <w:pPr>
        <w:spacing w:after="0" w:line="65"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(858) 558-0708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3"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80" w:type="dxa"/>
            <w:vAlign w:val="bottom"/>
          </w:tcPr>
          <w:p>
            <w:pPr>
              <w:jc w:val="center"/>
              <w:spacing w:after="0"/>
              <w:rPr>
                <w:sz w:val="20"/>
                <w:szCs w:val="20"/>
                <w:color w:val="auto"/>
              </w:rPr>
            </w:pPr>
            <w:r>
              <w:rPr>
                <w:rFonts w:ascii="Arial" w:cs="Arial" w:eastAsia="Arial" w:hAnsi="Arial"/>
                <w:sz w:val="16"/>
                <w:szCs w:val="16"/>
                <w:color w:val="auto"/>
                <w:w w:val="91"/>
              </w:rPr>
              <w:t>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BCAB</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ind w:firstLine="599"/>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 w:lineRule="exact"/>
        <w:rPr>
          <w:sz w:val="24"/>
          <w:szCs w:val="24"/>
          <w:color w:val="auto"/>
        </w:rPr>
      </w:pPr>
    </w:p>
    <w:p>
      <w:pPr>
        <w:ind w:right="100" w:firstLine="599"/>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2" w:lineRule="exact"/>
        <w:rPr>
          <w:sz w:val="24"/>
          <w:szCs w:val="24"/>
          <w:color w:val="auto"/>
        </w:rPr>
      </w:pPr>
    </w:p>
    <w:p>
      <w:pPr>
        <w:jc w:val="both"/>
        <w:ind w:right="260" w:firstLine="599"/>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00" w:lineRule="exact"/>
        <w:rPr>
          <w:sz w:val="24"/>
          <w:szCs w:val="24"/>
          <w:color w:val="auto"/>
        </w:rPr>
      </w:pPr>
    </w:p>
    <w:p>
      <w:pPr>
        <w:ind w:right="500" w:firstLine="59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spacing w:after="0" w:line="184" w:lineRule="exact"/>
        <w:tabs>
          <w:tab w:leader="none" w:pos="8140" w:val="left"/>
          <w:tab w:leader="none" w:pos="87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1" w:lineRule="exact"/>
        <w:rPr>
          <w:sz w:val="24"/>
          <w:szCs w:val="24"/>
          <w:color w:val="auto"/>
        </w:rPr>
      </w:pPr>
    </w:p>
    <w:p>
      <w:pPr>
        <w:ind w:right="580" w:firstLine="599"/>
        <w:spacing w:after="0" w:line="258" w:lineRule="auto"/>
        <w:rPr>
          <w:sz w:val="20"/>
          <w:szCs w:val="20"/>
          <w:color w:val="auto"/>
        </w:rPr>
      </w:pPr>
      <w:r>
        <w:rPr>
          <w:rFonts w:ascii="Arial" w:cs="Arial" w:eastAsia="Arial" w:hAnsi="Arial"/>
          <w:sz w:val="16"/>
          <w:szCs w:val="16"/>
          <w:color w:val="auto"/>
        </w:rPr>
        <w:t>As of May 2, 2022, the number of shares of the registrant’s common stock outstanding was 35,921,865 and the number of shares of the registrant’s Class B common stock outstanding was 1,492,059.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BIOATLA,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PART I.</w:t>
            </w:r>
          </w:p>
        </w:tc>
        <w:tc>
          <w:tcPr>
            <w:tcW w:w="9760" w:type="dxa"/>
            <w:vAlign w:val="bottom"/>
            <w:gridSpan w:val="25"/>
            <w:vMerge w:val="restart"/>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INFORMATION</w:t>
              </w:r>
            </w:hyperlink>
          </w:p>
        </w:tc>
        <w:tc>
          <w:tcPr>
            <w:tcW w:w="6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2"/>
        </w:trPr>
        <w:tc>
          <w:tcPr>
            <w:tcW w:w="820" w:type="dxa"/>
            <w:vAlign w:val="bottom"/>
            <w:gridSpan w:val="2"/>
            <w:vMerge w:val="continue"/>
          </w:tcPr>
          <w:p>
            <w:pPr>
              <w:spacing w:after="0"/>
              <w:rPr>
                <w:sz w:val="12"/>
                <w:szCs w:val="12"/>
                <w:color w:val="auto"/>
              </w:rPr>
            </w:pPr>
          </w:p>
        </w:tc>
        <w:tc>
          <w:tcPr>
            <w:tcW w:w="9760" w:type="dxa"/>
            <w:vAlign w:val="bottom"/>
            <w:gridSpan w:val="25"/>
            <w:vMerge w:val="continue"/>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82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Item 1.</w:t>
            </w:r>
          </w:p>
        </w:tc>
        <w:tc>
          <w:tcPr>
            <w:tcW w:w="1400" w:type="dxa"/>
            <w:vAlign w:val="bottom"/>
            <w:tcBorders>
              <w:top w:val="single" w:sz="8" w:color="0000FF"/>
              <w:bottom w:val="single" w:sz="8" w:color="0000FF"/>
            </w:tcBorders>
            <w:gridSpan w:val="9"/>
          </w:tcPr>
          <w:p>
            <w:pPr>
              <w:spacing w:after="0" w:line="155" w:lineRule="exact"/>
              <w:rPr>
                <w:rFonts w:ascii="Arial" w:cs="Arial" w:eastAsia="Arial" w:hAnsi="Arial"/>
                <w:sz w:val="16"/>
                <w:szCs w:val="16"/>
                <w:color w:val="0000FF"/>
                <w:w w:val="89"/>
              </w:rPr>
            </w:pPr>
            <w:hyperlink w:anchor="page3">
              <w:r>
                <w:rPr>
                  <w:rFonts w:ascii="Arial" w:cs="Arial" w:eastAsia="Arial" w:hAnsi="Arial"/>
                  <w:sz w:val="16"/>
                  <w:szCs w:val="16"/>
                  <w:color w:val="0000FF"/>
                  <w:w w:val="89"/>
                </w:rPr>
                <w:t>Financial Statements:</w:t>
              </w:r>
            </w:hyperlink>
          </w:p>
        </w:tc>
        <w:tc>
          <w:tcPr>
            <w:tcW w:w="20" w:type="dxa"/>
            <w:vAlign w:val="bottom"/>
            <w:tcBorders>
              <w:top w:val="single" w:sz="8" w:color="0000FF"/>
              <w:bottom w:val="single" w:sz="8" w:color="0000EE"/>
            </w:tcBorders>
          </w:tcPr>
          <w:p>
            <w:pPr>
              <w:spacing w:after="0"/>
              <w:rPr>
                <w:sz w:val="14"/>
                <w:szCs w:val="14"/>
                <w:color w:val="auto"/>
              </w:rPr>
            </w:pPr>
          </w:p>
        </w:tc>
        <w:tc>
          <w:tcPr>
            <w:tcW w:w="600" w:type="dxa"/>
            <w:vAlign w:val="bottom"/>
            <w:tcBorders>
              <w:top w:val="single" w:sz="8" w:color="0000FF"/>
            </w:tcBorders>
            <w:gridSpan w:val="4"/>
          </w:tcPr>
          <w:p>
            <w:pPr>
              <w:spacing w:after="0"/>
              <w:rPr>
                <w:sz w:val="14"/>
                <w:szCs w:val="14"/>
                <w:color w:val="auto"/>
              </w:rPr>
            </w:pPr>
          </w:p>
        </w:tc>
        <w:tc>
          <w:tcPr>
            <w:tcW w:w="7740" w:type="dxa"/>
            <w:vAlign w:val="bottom"/>
            <w:gridSpan w:val="11"/>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80" w:type="dxa"/>
            <w:vAlign w:val="bottom"/>
            <w:gridSpan w:val="22"/>
          </w:tcPr>
          <w:p>
            <w:pPr>
              <w:spacing w:after="0" w:line="155" w:lineRule="exact"/>
              <w:rPr>
                <w:rFonts w:ascii="Arial" w:cs="Arial" w:eastAsia="Arial" w:hAnsi="Arial"/>
                <w:sz w:val="16"/>
                <w:szCs w:val="16"/>
                <w:color w:val="0000FF"/>
              </w:rPr>
            </w:pPr>
            <w:hyperlink w:anchor="page3">
              <w:r>
                <w:rPr>
                  <w:rFonts w:ascii="Arial" w:cs="Arial" w:eastAsia="Arial" w:hAnsi="Arial"/>
                  <w:sz w:val="16"/>
                  <w:szCs w:val="16"/>
                  <w:color w:val="0000FF"/>
                </w:rPr>
                <w:t>Condensed Consolidated Balance Sheets as of March 31, 2022 (unaudited) and December 31, 2021</w:t>
              </w:r>
            </w:hyperlink>
          </w:p>
        </w:tc>
        <w:tc>
          <w:tcPr>
            <w:tcW w:w="660" w:type="dxa"/>
            <w:vAlign w:val="bottom"/>
          </w:tcPr>
          <w:p>
            <w:pPr>
              <w:jc w:val="right"/>
              <w:spacing w:after="0" w:line="14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vMerge w:val="restart"/>
          </w:tcPr>
          <w:p>
            <w:pPr>
              <w:jc w:val="right"/>
              <w:spacing w:after="0" w:line="169" w:lineRule="exact"/>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500" w:type="dxa"/>
            <w:vAlign w:val="bottom"/>
            <w:gridSpan w:val="23"/>
          </w:tcPr>
          <w:p>
            <w:pPr>
              <w:spacing w:after="0" w:line="155" w:lineRule="exact"/>
              <w:rPr>
                <w:rFonts w:ascii="Arial" w:cs="Arial" w:eastAsia="Arial" w:hAnsi="Arial"/>
                <w:sz w:val="16"/>
                <w:szCs w:val="16"/>
                <w:color w:val="0000FF"/>
                <w:w w:val="92"/>
              </w:rPr>
            </w:pPr>
            <w:hyperlink w:anchor="page4">
              <w:r>
                <w:rPr>
                  <w:rFonts w:ascii="Arial" w:cs="Arial" w:eastAsia="Arial" w:hAnsi="Arial"/>
                  <w:sz w:val="16"/>
                  <w:szCs w:val="16"/>
                  <w:color w:val="0000FF"/>
                  <w:w w:val="92"/>
                </w:rPr>
                <w:t>Condensed Consolidated Statements of Operations and Comprehensive Loss (unaudited) for the three months ended March 31, 2022 and 2021</w:t>
              </w:r>
            </w:hyperlink>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vMerge w:val="restart"/>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500" w:type="dxa"/>
            <w:vAlign w:val="bottom"/>
            <w:gridSpan w:val="23"/>
          </w:tcPr>
          <w:p>
            <w:pPr>
              <w:spacing w:after="0" w:line="155" w:lineRule="exact"/>
              <w:rPr>
                <w:rFonts w:ascii="Arial" w:cs="Arial" w:eastAsia="Arial" w:hAnsi="Arial"/>
                <w:sz w:val="16"/>
                <w:szCs w:val="16"/>
                <w:color w:val="0000FF"/>
              </w:rPr>
            </w:pPr>
            <w:hyperlink w:anchor="page5">
              <w:r>
                <w:rPr>
                  <w:rFonts w:ascii="Arial" w:cs="Arial" w:eastAsia="Arial" w:hAnsi="Arial"/>
                  <w:sz w:val="16"/>
                  <w:szCs w:val="16"/>
                  <w:color w:val="0000FF"/>
                </w:rPr>
                <w:t>Condensed Consolidated Statements of Stockholders’ Equity (unaudited) for the three months ended March 31, 2022 and 2021</w:t>
              </w:r>
            </w:hyperlink>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220" w:type="dxa"/>
            <w:vAlign w:val="bottom"/>
            <w:tcBorders>
              <w:top w:val="single" w:sz="8" w:color="0000EE"/>
            </w:tcBorders>
            <w:gridSpan w:val="20"/>
          </w:tcPr>
          <w:p>
            <w:pPr>
              <w:spacing w:after="0" w:line="155" w:lineRule="exact"/>
              <w:rPr>
                <w:rFonts w:ascii="Arial" w:cs="Arial" w:eastAsia="Arial" w:hAnsi="Arial"/>
                <w:sz w:val="16"/>
                <w:szCs w:val="16"/>
                <w:color w:val="0000FF"/>
                <w:w w:val="97"/>
              </w:rPr>
            </w:pPr>
            <w:hyperlink w:anchor="page6">
              <w:r>
                <w:rPr>
                  <w:rFonts w:ascii="Arial" w:cs="Arial" w:eastAsia="Arial" w:hAnsi="Arial"/>
                  <w:sz w:val="16"/>
                  <w:szCs w:val="16"/>
                  <w:color w:val="0000FF"/>
                  <w:w w:val="97"/>
                </w:rPr>
                <w:t>Condensed Consolidated Statements of Cash Flows (unaudited) for the three months ended March 31, 2022 and 2021</w:t>
              </w:r>
            </w:hyperlink>
          </w:p>
        </w:tc>
        <w:tc>
          <w:tcPr>
            <w:tcW w:w="1260" w:type="dxa"/>
            <w:vAlign w:val="bottom"/>
            <w:gridSpan w:val="2"/>
          </w:tcPr>
          <w:p>
            <w:pPr>
              <w:spacing w:after="0"/>
              <w:rPr>
                <w:sz w:val="14"/>
                <w:szCs w:val="14"/>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Borders>
              <w:top w:val="single" w:sz="8" w:color="0000FF"/>
              <w:bottom w:val="single" w:sz="8" w:color="0000FF"/>
            </w:tcBorders>
            <w:gridSpan w:val="15"/>
          </w:tcPr>
          <w:p>
            <w:pPr>
              <w:spacing w:after="0" w:line="155" w:lineRule="exact"/>
              <w:rPr>
                <w:rFonts w:ascii="Arial" w:cs="Arial" w:eastAsia="Arial" w:hAnsi="Arial"/>
                <w:sz w:val="16"/>
                <w:szCs w:val="16"/>
                <w:color w:val="0000FF"/>
                <w:w w:val="89"/>
              </w:rPr>
            </w:pPr>
            <w:hyperlink w:anchor="page7">
              <w:r>
                <w:rPr>
                  <w:rFonts w:ascii="Arial" w:cs="Arial" w:eastAsia="Arial" w:hAnsi="Arial"/>
                  <w:sz w:val="16"/>
                  <w:szCs w:val="16"/>
                  <w:color w:val="0000FF"/>
                  <w:w w:val="89"/>
                </w:rPr>
                <w:t>Notes to Condensed Consolidated Financial Statements (unaudited)</w:t>
              </w:r>
            </w:hyperlink>
          </w:p>
        </w:tc>
        <w:tc>
          <w:tcPr>
            <w:tcW w:w="20" w:type="dxa"/>
            <w:vAlign w:val="bottom"/>
            <w:tcBorders>
              <w:top w:val="single" w:sz="8" w:color="0000FF"/>
              <w:bottom w:val="single" w:sz="8" w:color="0000EE"/>
            </w:tcBorders>
          </w:tcPr>
          <w:p>
            <w:pPr>
              <w:spacing w:after="0"/>
              <w:rPr>
                <w:sz w:val="14"/>
                <w:szCs w:val="14"/>
                <w:color w:val="auto"/>
              </w:rPr>
            </w:pPr>
          </w:p>
        </w:tc>
        <w:tc>
          <w:tcPr>
            <w:tcW w:w="3200" w:type="dxa"/>
            <w:vAlign w:val="bottom"/>
            <w:tcBorders>
              <w:top w:val="single" w:sz="8" w:color="0000FF"/>
            </w:tcBorders>
            <w:gridSpan w:val="3"/>
          </w:tcPr>
          <w:p>
            <w:pPr>
              <w:spacing w:after="0"/>
              <w:rPr>
                <w:sz w:val="14"/>
                <w:szCs w:val="14"/>
                <w:color w:val="auto"/>
              </w:rPr>
            </w:pPr>
          </w:p>
        </w:tc>
        <w:tc>
          <w:tcPr>
            <w:tcW w:w="1920" w:type="dxa"/>
            <w:vAlign w:val="bottom"/>
            <w:gridSpan w:val="3"/>
          </w:tcPr>
          <w:p>
            <w:pPr>
              <w:spacing w:after="0"/>
              <w:rPr>
                <w:sz w:val="14"/>
                <w:szCs w:val="14"/>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69"/>
        </w:trPr>
        <w:tc>
          <w:tcPr>
            <w:tcW w:w="82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Item 2.</w:t>
            </w:r>
          </w:p>
        </w:tc>
        <w:tc>
          <w:tcPr>
            <w:tcW w:w="5820" w:type="dxa"/>
            <w:vAlign w:val="bottom"/>
            <w:tcBorders>
              <w:bottom w:val="single" w:sz="8" w:color="0000FF"/>
            </w:tcBorders>
            <w:gridSpan w:val="20"/>
          </w:tcPr>
          <w:p>
            <w:pPr>
              <w:spacing w:after="0" w:line="155" w:lineRule="exact"/>
              <w:rPr>
                <w:rFonts w:ascii="Arial" w:cs="Arial" w:eastAsia="Arial" w:hAnsi="Arial"/>
                <w:sz w:val="16"/>
                <w:szCs w:val="16"/>
                <w:color w:val="0000FF"/>
                <w:w w:val="92"/>
              </w:rPr>
            </w:pPr>
            <w:hyperlink w:anchor="page15">
              <w:r>
                <w:rPr>
                  <w:rFonts w:ascii="Arial" w:cs="Arial" w:eastAsia="Arial" w:hAnsi="Arial"/>
                  <w:sz w:val="16"/>
                  <w:szCs w:val="16"/>
                  <w:color w:val="0000FF"/>
                  <w:w w:val="92"/>
                </w:rPr>
                <w:t>Management’s Discussion and Analysis of Financial Condition and Results of Operations</w:t>
              </w:r>
            </w:hyperlink>
          </w:p>
        </w:tc>
        <w:tc>
          <w:tcPr>
            <w:tcW w:w="3940" w:type="dxa"/>
            <w:vAlign w:val="bottom"/>
            <w:gridSpan w:val="5"/>
          </w:tcPr>
          <w:p>
            <w:pPr>
              <w:spacing w:after="0"/>
              <w:rPr>
                <w:sz w:val="14"/>
                <w:szCs w:val="14"/>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69"/>
        </w:trPr>
        <w:tc>
          <w:tcPr>
            <w:tcW w:w="82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Item 3.</w:t>
            </w:r>
          </w:p>
        </w:tc>
        <w:tc>
          <w:tcPr>
            <w:tcW w:w="3940" w:type="dxa"/>
            <w:vAlign w:val="bottom"/>
            <w:tcBorders>
              <w:bottom w:val="single" w:sz="8" w:color="0000FF"/>
            </w:tcBorders>
            <w:gridSpan w:val="17"/>
          </w:tcPr>
          <w:p>
            <w:pPr>
              <w:spacing w:after="0" w:line="155" w:lineRule="exact"/>
              <w:rPr>
                <w:rFonts w:ascii="Arial" w:cs="Arial" w:eastAsia="Arial" w:hAnsi="Arial"/>
                <w:sz w:val="16"/>
                <w:szCs w:val="16"/>
                <w:color w:val="0000FF"/>
                <w:w w:val="93"/>
              </w:rPr>
            </w:pPr>
            <w:hyperlink w:anchor="page21">
              <w:r>
                <w:rPr>
                  <w:rFonts w:ascii="Arial" w:cs="Arial" w:eastAsia="Arial" w:hAnsi="Arial"/>
                  <w:sz w:val="16"/>
                  <w:szCs w:val="16"/>
                  <w:color w:val="0000FF"/>
                  <w:w w:val="93"/>
                </w:rPr>
                <w:t>Quantitative and Qualitative Disclosures About Market Risk</w:t>
              </w:r>
            </w:hyperlink>
          </w:p>
        </w:tc>
        <w:tc>
          <w:tcPr>
            <w:tcW w:w="5820" w:type="dxa"/>
            <w:vAlign w:val="bottom"/>
            <w:gridSpan w:val="8"/>
          </w:tcPr>
          <w:p>
            <w:pPr>
              <w:spacing w:after="0"/>
              <w:rPr>
                <w:sz w:val="14"/>
                <w:szCs w:val="14"/>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169"/>
        </w:trPr>
        <w:tc>
          <w:tcPr>
            <w:tcW w:w="82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Item 4.</w:t>
            </w:r>
          </w:p>
        </w:tc>
        <w:tc>
          <w:tcPr>
            <w:tcW w:w="1600" w:type="dxa"/>
            <w:vAlign w:val="bottom"/>
            <w:tcBorders>
              <w:bottom w:val="single" w:sz="8" w:color="0000FF"/>
            </w:tcBorders>
            <w:gridSpan w:val="11"/>
          </w:tcPr>
          <w:p>
            <w:pPr>
              <w:spacing w:after="0" w:line="155" w:lineRule="exact"/>
              <w:rPr>
                <w:rFonts w:ascii="Arial" w:cs="Arial" w:eastAsia="Arial" w:hAnsi="Arial"/>
                <w:sz w:val="16"/>
                <w:szCs w:val="16"/>
                <w:color w:val="0000FF"/>
                <w:w w:val="89"/>
              </w:rPr>
            </w:pPr>
            <w:hyperlink w:anchor="page21">
              <w:r>
                <w:rPr>
                  <w:rFonts w:ascii="Arial" w:cs="Arial" w:eastAsia="Arial" w:hAnsi="Arial"/>
                  <w:sz w:val="16"/>
                  <w:szCs w:val="16"/>
                  <w:color w:val="0000FF"/>
                  <w:w w:val="89"/>
                </w:rPr>
                <w:t>Controls and Procedures</w:t>
              </w:r>
            </w:hyperlink>
          </w:p>
        </w:tc>
        <w:tc>
          <w:tcPr>
            <w:tcW w:w="20" w:type="dxa"/>
            <w:vAlign w:val="bottom"/>
            <w:tcBorders>
              <w:bottom w:val="single" w:sz="8" w:color="0000EE"/>
            </w:tcBorders>
          </w:tcPr>
          <w:p>
            <w:pPr>
              <w:spacing w:after="0"/>
              <w:rPr>
                <w:sz w:val="14"/>
                <w:szCs w:val="14"/>
                <w:color w:val="auto"/>
              </w:rPr>
            </w:pPr>
          </w:p>
        </w:tc>
        <w:tc>
          <w:tcPr>
            <w:tcW w:w="8140" w:type="dxa"/>
            <w:vAlign w:val="bottom"/>
            <w:gridSpan w:val="13"/>
          </w:tcPr>
          <w:p>
            <w:pPr>
              <w:spacing w:after="0"/>
              <w:rPr>
                <w:sz w:val="14"/>
                <w:szCs w:val="14"/>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169"/>
        </w:trPr>
        <w:tc>
          <w:tcPr>
            <w:tcW w:w="820" w:type="dxa"/>
            <w:vAlign w:val="bottom"/>
            <w:gridSpan w:val="2"/>
          </w:tcPr>
          <w:p>
            <w:pPr>
              <w:ind w:left="20"/>
              <w:spacing w:after="0" w:line="149" w:lineRule="exact"/>
              <w:rPr>
                <w:sz w:val="20"/>
                <w:szCs w:val="20"/>
                <w:color w:val="auto"/>
              </w:rPr>
            </w:pPr>
            <w:r>
              <w:rPr>
                <w:rFonts w:ascii="Arial" w:cs="Arial" w:eastAsia="Arial" w:hAnsi="Arial"/>
                <w:sz w:val="16"/>
                <w:szCs w:val="16"/>
                <w:b w:val="1"/>
                <w:bCs w:val="1"/>
                <w:color w:val="auto"/>
              </w:rPr>
              <w:t>PART II.</w:t>
            </w:r>
          </w:p>
        </w:tc>
        <w:tc>
          <w:tcPr>
            <w:tcW w:w="1700" w:type="dxa"/>
            <w:vAlign w:val="bottom"/>
            <w:tcBorders>
              <w:bottom w:val="single" w:sz="8" w:color="0000FF"/>
            </w:tcBorders>
            <w:gridSpan w:val="13"/>
          </w:tcPr>
          <w:p>
            <w:pPr>
              <w:spacing w:after="0" w:line="155" w:lineRule="exact"/>
              <w:rPr>
                <w:rFonts w:ascii="Arial" w:cs="Arial" w:eastAsia="Arial" w:hAnsi="Arial"/>
                <w:sz w:val="16"/>
                <w:szCs w:val="16"/>
                <w:color w:val="0000FF"/>
                <w:w w:val="97"/>
              </w:rPr>
            </w:pPr>
            <w:hyperlink w:anchor="page22">
              <w:r>
                <w:rPr>
                  <w:rFonts w:ascii="Arial" w:cs="Arial" w:eastAsia="Arial" w:hAnsi="Arial"/>
                  <w:sz w:val="16"/>
                  <w:szCs w:val="16"/>
                  <w:color w:val="0000FF"/>
                  <w:w w:val="97"/>
                </w:rPr>
                <w:t>OTHER INFORMATION</w:t>
              </w:r>
            </w:hyperlink>
          </w:p>
        </w:tc>
        <w:tc>
          <w:tcPr>
            <w:tcW w:w="8060" w:type="dxa"/>
            <w:vAlign w:val="bottom"/>
            <w:gridSpan w:val="12"/>
          </w:tcPr>
          <w:p>
            <w:pPr>
              <w:spacing w:after="0"/>
              <w:rPr>
                <w:sz w:val="14"/>
                <w:szCs w:val="14"/>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69"/>
        </w:trPr>
        <w:tc>
          <w:tcPr>
            <w:tcW w:w="82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Item 1.</w:t>
            </w:r>
          </w:p>
        </w:tc>
        <w:tc>
          <w:tcPr>
            <w:tcW w:w="1200" w:type="dxa"/>
            <w:vAlign w:val="bottom"/>
            <w:tcBorders>
              <w:bottom w:val="single" w:sz="8" w:color="0000FF"/>
            </w:tcBorders>
            <w:gridSpan w:val="8"/>
          </w:tcPr>
          <w:p>
            <w:pPr>
              <w:spacing w:after="0" w:line="155" w:lineRule="exact"/>
              <w:rPr>
                <w:rFonts w:ascii="Arial" w:cs="Arial" w:eastAsia="Arial" w:hAnsi="Arial"/>
                <w:sz w:val="16"/>
                <w:szCs w:val="16"/>
                <w:color w:val="0000FF"/>
                <w:w w:val="89"/>
              </w:rPr>
            </w:pPr>
            <w:hyperlink w:anchor="page22">
              <w:r>
                <w:rPr>
                  <w:rFonts w:ascii="Arial" w:cs="Arial" w:eastAsia="Arial" w:hAnsi="Arial"/>
                  <w:sz w:val="16"/>
                  <w:szCs w:val="16"/>
                  <w:color w:val="0000FF"/>
                  <w:w w:val="89"/>
                </w:rPr>
                <w:t>Legal Proceedings</w:t>
              </w:r>
            </w:hyperlink>
          </w:p>
        </w:tc>
        <w:tc>
          <w:tcPr>
            <w:tcW w:w="8560" w:type="dxa"/>
            <w:vAlign w:val="bottom"/>
            <w:gridSpan w:val="17"/>
          </w:tcPr>
          <w:p>
            <w:pPr>
              <w:spacing w:after="0"/>
              <w:rPr>
                <w:sz w:val="14"/>
                <w:szCs w:val="14"/>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69"/>
        </w:trPr>
        <w:tc>
          <w:tcPr>
            <w:tcW w:w="82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Item 1A.</w:t>
            </w:r>
          </w:p>
        </w:tc>
        <w:tc>
          <w:tcPr>
            <w:tcW w:w="820" w:type="dxa"/>
            <w:vAlign w:val="bottom"/>
            <w:tcBorders>
              <w:bottom w:val="single" w:sz="8" w:color="0000FF"/>
            </w:tcBorders>
            <w:gridSpan w:val="5"/>
          </w:tcPr>
          <w:p>
            <w:pPr>
              <w:spacing w:after="0" w:line="155" w:lineRule="exact"/>
              <w:rPr>
                <w:rFonts w:ascii="Arial" w:cs="Arial" w:eastAsia="Arial" w:hAnsi="Arial"/>
                <w:sz w:val="16"/>
                <w:szCs w:val="16"/>
                <w:color w:val="0000FF"/>
                <w:w w:val="89"/>
              </w:rPr>
            </w:pPr>
            <w:hyperlink w:anchor="page22">
              <w:r>
                <w:rPr>
                  <w:rFonts w:ascii="Arial" w:cs="Arial" w:eastAsia="Arial" w:hAnsi="Arial"/>
                  <w:sz w:val="16"/>
                  <w:szCs w:val="16"/>
                  <w:color w:val="0000FF"/>
                  <w:w w:val="89"/>
                </w:rPr>
                <w:t>Risk Factors</w:t>
              </w:r>
            </w:hyperlink>
          </w:p>
        </w:tc>
        <w:tc>
          <w:tcPr>
            <w:tcW w:w="20" w:type="dxa"/>
            <w:vAlign w:val="bottom"/>
            <w:tcBorders>
              <w:bottom w:val="single" w:sz="8" w:color="0000EE"/>
            </w:tcBorders>
          </w:tcPr>
          <w:p>
            <w:pPr>
              <w:spacing w:after="0"/>
              <w:rPr>
                <w:sz w:val="14"/>
                <w:szCs w:val="14"/>
                <w:color w:val="auto"/>
              </w:rPr>
            </w:pPr>
          </w:p>
        </w:tc>
        <w:tc>
          <w:tcPr>
            <w:tcW w:w="8920" w:type="dxa"/>
            <w:vAlign w:val="bottom"/>
            <w:gridSpan w:val="19"/>
          </w:tcPr>
          <w:p>
            <w:pPr>
              <w:spacing w:after="0"/>
              <w:rPr>
                <w:sz w:val="14"/>
                <w:szCs w:val="14"/>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69"/>
        </w:trPr>
        <w:tc>
          <w:tcPr>
            <w:tcW w:w="82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Item 2.</w:t>
            </w:r>
          </w:p>
        </w:tc>
        <w:tc>
          <w:tcPr>
            <w:tcW w:w="3920" w:type="dxa"/>
            <w:vAlign w:val="bottom"/>
            <w:tcBorders>
              <w:bottom w:val="single" w:sz="8" w:color="0000FF"/>
            </w:tcBorders>
            <w:gridSpan w:val="16"/>
          </w:tcPr>
          <w:p>
            <w:pPr>
              <w:spacing w:after="0" w:line="155" w:lineRule="exact"/>
              <w:rPr>
                <w:rFonts w:ascii="Arial" w:cs="Arial" w:eastAsia="Arial" w:hAnsi="Arial"/>
                <w:sz w:val="16"/>
                <w:szCs w:val="16"/>
                <w:color w:val="0000FF"/>
                <w:w w:val="90"/>
              </w:rPr>
            </w:pPr>
            <w:hyperlink w:anchor="page65">
              <w:r>
                <w:rPr>
                  <w:rFonts w:ascii="Arial" w:cs="Arial" w:eastAsia="Arial" w:hAnsi="Arial"/>
                  <w:sz w:val="16"/>
                  <w:szCs w:val="16"/>
                  <w:color w:val="0000FF"/>
                  <w:w w:val="90"/>
                </w:rPr>
                <w:t>Unregistered Sales of Equity Securities and Use of Proceeds</w:t>
              </w:r>
            </w:hyperlink>
          </w:p>
        </w:tc>
        <w:tc>
          <w:tcPr>
            <w:tcW w:w="5840" w:type="dxa"/>
            <w:vAlign w:val="bottom"/>
            <w:gridSpan w:val="9"/>
          </w:tcPr>
          <w:p>
            <w:pPr>
              <w:spacing w:after="0"/>
              <w:rPr>
                <w:sz w:val="14"/>
                <w:szCs w:val="14"/>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69"/>
        </w:trPr>
        <w:tc>
          <w:tcPr>
            <w:tcW w:w="82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Item 3.</w:t>
            </w:r>
          </w:p>
        </w:tc>
        <w:tc>
          <w:tcPr>
            <w:tcW w:w="2100" w:type="dxa"/>
            <w:vAlign w:val="bottom"/>
            <w:tcBorders>
              <w:bottom w:val="single" w:sz="8" w:color="0000FF"/>
            </w:tcBorders>
            <w:gridSpan w:val="15"/>
          </w:tcPr>
          <w:p>
            <w:pPr>
              <w:spacing w:after="0" w:line="155" w:lineRule="exact"/>
              <w:rPr>
                <w:rFonts w:ascii="Arial" w:cs="Arial" w:eastAsia="Arial" w:hAnsi="Arial"/>
                <w:sz w:val="16"/>
                <w:szCs w:val="16"/>
                <w:color w:val="0000FF"/>
                <w:w w:val="91"/>
              </w:rPr>
            </w:pPr>
            <w:hyperlink w:anchor="page66">
              <w:r>
                <w:rPr>
                  <w:rFonts w:ascii="Arial" w:cs="Arial" w:eastAsia="Arial" w:hAnsi="Arial"/>
                  <w:sz w:val="16"/>
                  <w:szCs w:val="16"/>
                  <w:color w:val="0000FF"/>
                  <w:w w:val="91"/>
                </w:rPr>
                <w:t>Defaults Upon Senior Securities</w:t>
              </w:r>
            </w:hyperlink>
          </w:p>
        </w:tc>
        <w:tc>
          <w:tcPr>
            <w:tcW w:w="7660" w:type="dxa"/>
            <w:vAlign w:val="bottom"/>
            <w:gridSpan w:val="10"/>
          </w:tcPr>
          <w:p>
            <w:pPr>
              <w:spacing w:after="0"/>
              <w:rPr>
                <w:sz w:val="14"/>
                <w:szCs w:val="14"/>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169"/>
        </w:trPr>
        <w:tc>
          <w:tcPr>
            <w:tcW w:w="82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Item 4.</w:t>
            </w:r>
          </w:p>
        </w:tc>
        <w:tc>
          <w:tcPr>
            <w:tcW w:w="1600" w:type="dxa"/>
            <w:vAlign w:val="bottom"/>
            <w:tcBorders>
              <w:bottom w:val="single" w:sz="8" w:color="0000FF"/>
            </w:tcBorders>
            <w:gridSpan w:val="11"/>
          </w:tcPr>
          <w:p>
            <w:pPr>
              <w:spacing w:after="0" w:line="155" w:lineRule="exact"/>
              <w:rPr>
                <w:rFonts w:ascii="Arial" w:cs="Arial" w:eastAsia="Arial" w:hAnsi="Arial"/>
                <w:sz w:val="16"/>
                <w:szCs w:val="16"/>
                <w:color w:val="0000FF"/>
                <w:w w:val="92"/>
              </w:rPr>
            </w:pPr>
            <w:hyperlink w:anchor="page66">
              <w:r>
                <w:rPr>
                  <w:rFonts w:ascii="Arial" w:cs="Arial" w:eastAsia="Arial" w:hAnsi="Arial"/>
                  <w:sz w:val="16"/>
                  <w:szCs w:val="16"/>
                  <w:color w:val="0000FF"/>
                  <w:w w:val="92"/>
                </w:rPr>
                <w:t>Mine Safety Disclosures</w:t>
              </w:r>
            </w:hyperlink>
          </w:p>
        </w:tc>
        <w:tc>
          <w:tcPr>
            <w:tcW w:w="8160" w:type="dxa"/>
            <w:vAlign w:val="bottom"/>
            <w:gridSpan w:val="14"/>
          </w:tcPr>
          <w:p>
            <w:pPr>
              <w:spacing w:after="0"/>
              <w:rPr>
                <w:sz w:val="14"/>
                <w:szCs w:val="14"/>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169"/>
        </w:trPr>
        <w:tc>
          <w:tcPr>
            <w:tcW w:w="82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Item 5.</w:t>
            </w:r>
          </w:p>
        </w:tc>
        <w:tc>
          <w:tcPr>
            <w:tcW w:w="9760" w:type="dxa"/>
            <w:vAlign w:val="bottom"/>
            <w:gridSpan w:val="25"/>
          </w:tcPr>
          <w:p>
            <w:pPr>
              <w:spacing w:after="0" w:line="155" w:lineRule="exact"/>
              <w:rPr>
                <w:rFonts w:ascii="Arial" w:cs="Arial" w:eastAsia="Arial" w:hAnsi="Arial"/>
                <w:sz w:val="16"/>
                <w:szCs w:val="16"/>
                <w:color w:val="0000FF"/>
              </w:rPr>
            </w:pPr>
            <w:hyperlink w:anchor="page66">
              <w:r>
                <w:rPr>
                  <w:rFonts w:ascii="Arial" w:cs="Arial" w:eastAsia="Arial" w:hAnsi="Arial"/>
                  <w:sz w:val="16"/>
                  <w:szCs w:val="16"/>
                  <w:color w:val="0000FF"/>
                </w:rPr>
                <w:t>Other Information</w:t>
              </w:r>
            </w:hyperlink>
          </w:p>
        </w:tc>
        <w:tc>
          <w:tcPr>
            <w:tcW w:w="660" w:type="dxa"/>
            <w:vAlign w:val="bottom"/>
          </w:tcPr>
          <w:p>
            <w:pPr>
              <w:jc w:val="right"/>
              <w:spacing w:after="0" w:line="149" w:lineRule="exact"/>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169"/>
        </w:trPr>
        <w:tc>
          <w:tcPr>
            <w:tcW w:w="82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Item 6.</w:t>
            </w:r>
          </w:p>
        </w:tc>
        <w:tc>
          <w:tcPr>
            <w:tcW w:w="540" w:type="dxa"/>
            <w:vAlign w:val="bottom"/>
            <w:tcBorders>
              <w:top w:val="single" w:sz="8" w:color="0000FF"/>
              <w:bottom w:val="single" w:sz="8" w:color="0000FF"/>
            </w:tcBorders>
            <w:gridSpan w:val="4"/>
          </w:tcPr>
          <w:p>
            <w:pPr>
              <w:spacing w:after="0" w:line="155" w:lineRule="exact"/>
              <w:rPr>
                <w:rFonts w:ascii="Arial" w:cs="Arial" w:eastAsia="Arial" w:hAnsi="Arial"/>
                <w:sz w:val="16"/>
                <w:szCs w:val="16"/>
                <w:color w:val="0000FF"/>
                <w:w w:val="92"/>
              </w:rPr>
            </w:pPr>
            <w:hyperlink w:anchor="page66">
              <w:r>
                <w:rPr>
                  <w:rFonts w:ascii="Arial" w:cs="Arial" w:eastAsia="Arial" w:hAnsi="Arial"/>
                  <w:sz w:val="16"/>
                  <w:szCs w:val="16"/>
                  <w:color w:val="0000FF"/>
                  <w:w w:val="92"/>
                </w:rPr>
                <w:t>Exhibits</w:t>
              </w:r>
            </w:hyperlink>
          </w:p>
        </w:tc>
        <w:tc>
          <w:tcPr>
            <w:tcW w:w="640" w:type="dxa"/>
            <w:vAlign w:val="bottom"/>
            <w:tcBorders>
              <w:top w:val="single" w:sz="8" w:color="0000FF"/>
            </w:tcBorders>
            <w:gridSpan w:val="3"/>
          </w:tcPr>
          <w:p>
            <w:pPr>
              <w:spacing w:after="0"/>
              <w:rPr>
                <w:sz w:val="14"/>
                <w:szCs w:val="14"/>
                <w:color w:val="auto"/>
              </w:rPr>
            </w:pPr>
          </w:p>
        </w:tc>
        <w:tc>
          <w:tcPr>
            <w:tcW w:w="8580" w:type="dxa"/>
            <w:vAlign w:val="bottom"/>
            <w:gridSpan w:val="18"/>
          </w:tcPr>
          <w:p>
            <w:pPr>
              <w:spacing w:after="0"/>
              <w:rPr>
                <w:sz w:val="14"/>
                <w:szCs w:val="14"/>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169"/>
        </w:trPr>
        <w:tc>
          <w:tcPr>
            <w:tcW w:w="10580" w:type="dxa"/>
            <w:vAlign w:val="bottom"/>
            <w:gridSpan w:val="27"/>
          </w:tcPr>
          <w:p>
            <w:pPr>
              <w:ind w:left="20"/>
              <w:spacing w:after="0" w:line="155" w:lineRule="exact"/>
              <w:rPr>
                <w:rFonts w:ascii="Arial" w:cs="Arial" w:eastAsia="Arial" w:hAnsi="Arial"/>
                <w:sz w:val="16"/>
                <w:szCs w:val="16"/>
                <w:color w:val="0000FF"/>
              </w:rPr>
            </w:pPr>
            <w:hyperlink w:anchor="page67">
              <w:r>
                <w:rPr>
                  <w:rFonts w:ascii="Arial" w:cs="Arial" w:eastAsia="Arial" w:hAnsi="Arial"/>
                  <w:sz w:val="16"/>
                  <w:szCs w:val="16"/>
                  <w:color w:val="0000FF"/>
                </w:rPr>
                <w:t>SIGNATURES</w:t>
              </w:r>
            </w:hyperlink>
          </w:p>
        </w:tc>
        <w:tc>
          <w:tcPr>
            <w:tcW w:w="660" w:type="dxa"/>
            <w:vAlign w:val="bottom"/>
          </w:tcPr>
          <w:p>
            <w:pPr>
              <w:jc w:val="right"/>
              <w:spacing w:after="0" w:line="149" w:lineRule="exact"/>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540"/>
        </w:trPr>
        <w:tc>
          <w:tcPr>
            <w:tcW w:w="20" w:type="dxa"/>
            <w:vAlign w:val="bottom"/>
            <w:tcBorders>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BioAtla,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par value and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March 31,</w:t>
            </w:r>
          </w:p>
        </w:tc>
        <w:tc>
          <w:tcPr>
            <w:tcW w:w="26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center"/>
              <w:ind w:right="212"/>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219,428</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244,979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4,591</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224,019</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247,292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3,395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3,676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 net</w:t>
            </w:r>
          </w:p>
        </w:tc>
        <w:tc>
          <w:tcPr>
            <w:tcW w:w="3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3,085</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4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230,653</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254,422</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46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15,754</w:t>
            </w:r>
          </w:p>
        </w:tc>
        <w:tc>
          <w:tcPr>
            <w:tcW w:w="28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18,424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liabilities</w:t>
            </w:r>
          </w:p>
        </w:tc>
        <w:tc>
          <w:tcPr>
            <w:tcW w:w="3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1,432</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1,389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60" w:type="dxa"/>
            <w:vAlign w:val="bottom"/>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17,186</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19,813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liabilities, less current portion</w:t>
            </w:r>
          </w:p>
        </w:tc>
        <w:tc>
          <w:tcPr>
            <w:tcW w:w="3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3,608</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3,982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20"/>
              <w:spacing w:after="0" w:line="202" w:lineRule="exact"/>
              <w:rPr>
                <w:sz w:val="20"/>
                <w:szCs w:val="20"/>
                <w:color w:val="auto"/>
              </w:rPr>
            </w:pPr>
            <w:r>
              <w:rPr>
                <w:rFonts w:ascii="Arial" w:cs="Arial" w:eastAsia="Arial" w:hAnsi="Arial"/>
                <w:sz w:val="18"/>
                <w:szCs w:val="18"/>
                <w:color w:val="auto"/>
              </w:rPr>
              <w:t>Liability to licensor</w:t>
            </w: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19,806</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3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40,600</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43,601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20"/>
              <w:spacing w:after="0" w:line="202" w:lineRule="exact"/>
              <w:rPr>
                <w:sz w:val="20"/>
                <w:szCs w:val="20"/>
                <w:color w:val="auto"/>
              </w:rPr>
            </w:pPr>
            <w:r>
              <w:rPr>
                <w:rFonts w:ascii="Arial" w:cs="Arial" w:eastAsia="Arial" w:hAnsi="Arial"/>
                <w:sz w:val="18"/>
                <w:szCs w:val="18"/>
                <w:color w:val="auto"/>
              </w:rPr>
              <w:t>Commitments and contingencies (Note 6)</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460" w:type="dxa"/>
            <w:vAlign w:val="bottom"/>
          </w:tcPr>
          <w:p>
            <w:pPr>
              <w:ind w:left="200"/>
              <w:spacing w:after="0" w:line="162" w:lineRule="exact"/>
              <w:rPr>
                <w:sz w:val="20"/>
                <w:szCs w:val="20"/>
                <w:color w:val="auto"/>
              </w:rPr>
            </w:pPr>
            <w:r>
              <w:rPr>
                <w:rFonts w:ascii="Arial" w:cs="Arial" w:eastAsia="Arial" w:hAnsi="Arial"/>
                <w:sz w:val="18"/>
                <w:szCs w:val="18"/>
                <w:color w:val="auto"/>
              </w:rPr>
              <w:t>Preferred stock, $0.0001 par value; 200,000,000 shares authorized at</w:t>
            </w: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60" w:type="dxa"/>
            <w:vAlign w:val="bottom"/>
          </w:tcPr>
          <w:p>
            <w:pPr>
              <w:ind w:left="340"/>
              <w:spacing w:after="0" w:line="176" w:lineRule="exact"/>
              <w:rPr>
                <w:sz w:val="20"/>
                <w:szCs w:val="20"/>
                <w:color w:val="auto"/>
              </w:rPr>
            </w:pPr>
            <w:r>
              <w:rPr>
                <w:rFonts w:ascii="Arial" w:cs="Arial" w:eastAsia="Arial" w:hAnsi="Arial"/>
                <w:sz w:val="18"/>
                <w:szCs w:val="18"/>
                <w:color w:val="auto"/>
              </w:rPr>
              <w:t>March 31, 2022 and December 31, 2021; 0 shares issued and outstanding at</w:t>
            </w:r>
          </w:p>
        </w:tc>
        <w:tc>
          <w:tcPr>
            <w:tcW w:w="300" w:type="dxa"/>
            <w:vAlign w:val="bottom"/>
          </w:tcPr>
          <w:p>
            <w:pPr>
              <w:spacing w:after="0"/>
              <w:rPr>
                <w:sz w:val="15"/>
                <w:szCs w:val="15"/>
                <w:color w:val="auto"/>
              </w:rPr>
            </w:pPr>
          </w:p>
        </w:tc>
        <w:tc>
          <w:tcPr>
            <w:tcW w:w="17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5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tcPr>
          <w:p>
            <w:pPr>
              <w:ind w:left="340"/>
              <w:spacing w:after="0"/>
              <w:rPr>
                <w:sz w:val="20"/>
                <w:szCs w:val="20"/>
                <w:color w:val="auto"/>
              </w:rPr>
            </w:pPr>
            <w:r>
              <w:rPr>
                <w:rFonts w:ascii="Arial" w:cs="Arial" w:eastAsia="Arial" w:hAnsi="Arial"/>
                <w:sz w:val="18"/>
                <w:szCs w:val="18"/>
                <w:color w:val="auto"/>
              </w:rPr>
              <w:t>March 31, 2022 and December 31, 2021</w:t>
            </w:r>
          </w:p>
        </w:tc>
        <w:tc>
          <w:tcPr>
            <w:tcW w:w="30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46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Common stock, $0.0001 par value; 350,000,000 shares authorized at</w:t>
            </w: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60" w:type="dxa"/>
            <w:vAlign w:val="bottom"/>
            <w:shd w:val="clear" w:color="auto" w:fill="CFF0FC"/>
          </w:tcPr>
          <w:p>
            <w:pPr>
              <w:ind w:left="340"/>
              <w:spacing w:after="0" w:line="176" w:lineRule="exact"/>
              <w:rPr>
                <w:sz w:val="20"/>
                <w:szCs w:val="20"/>
                <w:color w:val="auto"/>
              </w:rPr>
            </w:pPr>
            <w:r>
              <w:rPr>
                <w:rFonts w:ascii="Arial" w:cs="Arial" w:eastAsia="Arial" w:hAnsi="Arial"/>
                <w:sz w:val="18"/>
                <w:szCs w:val="18"/>
                <w:color w:val="auto"/>
              </w:rPr>
              <w:t>March 31, 2022 and December 31, 2021; 35,891,284 shares and 35,799,233</w:t>
            </w:r>
          </w:p>
        </w:tc>
        <w:tc>
          <w:tcPr>
            <w:tcW w:w="300" w:type="dxa"/>
            <w:vAlign w:val="bottom"/>
            <w:shd w:val="clear" w:color="auto" w:fill="CFF0FC"/>
          </w:tcPr>
          <w:p>
            <w:pPr>
              <w:spacing w:after="0"/>
              <w:rPr>
                <w:sz w:val="15"/>
                <w:szCs w:val="15"/>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shares issued and outstanding at March 31, 2022 and December 31, 2021</w:t>
            </w:r>
          </w:p>
        </w:tc>
        <w:tc>
          <w:tcPr>
            <w:tcW w:w="300" w:type="dxa"/>
            <w:vAlign w:val="bottom"/>
            <w:shd w:val="clear" w:color="auto" w:fill="CFF0FC"/>
          </w:tcPr>
          <w:p>
            <w:pPr>
              <w:spacing w:after="0"/>
              <w:rPr>
                <w:sz w:val="18"/>
                <w:szCs w:val="18"/>
                <w:color w:val="auto"/>
              </w:rPr>
            </w:pPr>
          </w:p>
        </w:tc>
        <w:tc>
          <w:tcPr>
            <w:tcW w:w="142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460" w:type="dxa"/>
            <w:vAlign w:val="bottom"/>
          </w:tcPr>
          <w:p>
            <w:pPr>
              <w:ind w:left="200"/>
              <w:spacing w:after="0" w:line="162" w:lineRule="exact"/>
              <w:rPr>
                <w:sz w:val="20"/>
                <w:szCs w:val="20"/>
                <w:color w:val="auto"/>
              </w:rPr>
            </w:pPr>
            <w:r>
              <w:rPr>
                <w:rFonts w:ascii="Arial" w:cs="Arial" w:eastAsia="Arial" w:hAnsi="Arial"/>
                <w:sz w:val="18"/>
                <w:szCs w:val="18"/>
                <w:color w:val="auto"/>
              </w:rPr>
              <w:t>Class B common stock, $0.0001 par value; 15,368,569 shares authorized at</w:t>
            </w: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60" w:type="dxa"/>
            <w:vAlign w:val="bottom"/>
          </w:tcPr>
          <w:p>
            <w:pPr>
              <w:ind w:left="340"/>
              <w:spacing w:after="0" w:line="176" w:lineRule="exact"/>
              <w:rPr>
                <w:sz w:val="20"/>
                <w:szCs w:val="20"/>
                <w:color w:val="auto"/>
              </w:rPr>
            </w:pPr>
            <w:r>
              <w:rPr>
                <w:rFonts w:ascii="Arial" w:cs="Arial" w:eastAsia="Arial" w:hAnsi="Arial"/>
                <w:sz w:val="18"/>
                <w:szCs w:val="18"/>
                <w:color w:val="auto"/>
              </w:rPr>
              <w:t>March 31, 2022 and December 31, 2021; 1,492,059 shares issued and outstanding</w:t>
            </w:r>
          </w:p>
        </w:tc>
        <w:tc>
          <w:tcPr>
            <w:tcW w:w="300" w:type="dxa"/>
            <w:vAlign w:val="bottom"/>
          </w:tcPr>
          <w:p>
            <w:pPr>
              <w:spacing w:after="0"/>
              <w:rPr>
                <w:sz w:val="15"/>
                <w:szCs w:val="15"/>
                <w:color w:val="auto"/>
              </w:rPr>
            </w:pPr>
          </w:p>
        </w:tc>
        <w:tc>
          <w:tcPr>
            <w:tcW w:w="17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5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tcPr>
          <w:p>
            <w:pPr>
              <w:ind w:left="340"/>
              <w:spacing w:after="0"/>
              <w:rPr>
                <w:sz w:val="20"/>
                <w:szCs w:val="20"/>
                <w:color w:val="auto"/>
              </w:rPr>
            </w:pPr>
            <w:r>
              <w:rPr>
                <w:rFonts w:ascii="Arial" w:cs="Arial" w:eastAsia="Arial" w:hAnsi="Arial"/>
                <w:sz w:val="18"/>
                <w:szCs w:val="18"/>
                <w:color w:val="auto"/>
              </w:rPr>
              <w:t>at March 31, 2022 and December 31, 2021</w:t>
            </w:r>
          </w:p>
        </w:tc>
        <w:tc>
          <w:tcPr>
            <w:tcW w:w="30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400,622</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397,136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7"/>
                <w:szCs w:val="17"/>
                <w:color w:val="auto"/>
              </w:rPr>
            </w:pPr>
          </w:p>
        </w:tc>
        <w:tc>
          <w:tcPr>
            <w:tcW w:w="1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(210,573 )</w:t>
            </w:r>
          </w:p>
        </w:tc>
        <w:tc>
          <w:tcPr>
            <w:tcW w:w="26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(186,319 )</w:t>
            </w:r>
          </w:p>
        </w:tc>
        <w:tc>
          <w:tcPr>
            <w:tcW w:w="0" w:type="dxa"/>
            <w:vAlign w:val="bottom"/>
          </w:tcPr>
          <w:p>
            <w:pPr>
              <w:spacing w:after="0"/>
              <w:rPr>
                <w:sz w:val="1"/>
                <w:szCs w:val="1"/>
                <w:color w:val="auto"/>
              </w:rPr>
            </w:pPr>
          </w:p>
        </w:tc>
      </w:tr>
      <w:tr>
        <w:trPr>
          <w:trHeight w:val="196"/>
        </w:trPr>
        <w:tc>
          <w:tcPr>
            <w:tcW w:w="74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190,053</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210,821</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6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230,653</w:t>
            </w:r>
          </w:p>
        </w:tc>
        <w:tc>
          <w:tcPr>
            <w:tcW w:w="28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254,422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-2939415</wp:posOffset>
            </wp:positionV>
            <wp:extent cx="514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-2922270</wp:posOffset>
            </wp:positionV>
            <wp:extent cx="514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-2939415</wp:posOffset>
            </wp:positionV>
            <wp:extent cx="51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-2922270</wp:posOffset>
            </wp:positionV>
            <wp:extent cx="514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-2396490</wp:posOffset>
            </wp:positionV>
            <wp:extent cx="5143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-2396490</wp:posOffset>
            </wp:positionV>
            <wp:extent cx="5143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-159385</wp:posOffset>
            </wp:positionV>
            <wp:extent cx="5143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See accompanying notes.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BioAtla,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 Comprehensive Loss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80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96"/>
        </w:trPr>
        <w:tc>
          <w:tcPr>
            <w:tcW w:w="8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 expense</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16,923</w:t>
            </w:r>
          </w:p>
        </w:tc>
        <w:tc>
          <w:tcPr>
            <w:tcW w:w="240" w:type="dxa"/>
            <w:vAlign w:val="bottom"/>
          </w:tcPr>
          <w:p>
            <w:pPr>
              <w:spacing w:after="0"/>
              <w:rPr>
                <w:sz w:val="17"/>
                <w:szCs w:val="17"/>
                <w:color w:val="auto"/>
              </w:rPr>
            </w:pP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10,423</w:t>
            </w:r>
          </w:p>
        </w:tc>
        <w:tc>
          <w:tcPr>
            <w:tcW w:w="80" w:type="dxa"/>
            <w:vAlign w:val="bottom"/>
          </w:tcPr>
          <w:p>
            <w:pPr>
              <w:spacing w:after="0"/>
              <w:rPr>
                <w:sz w:val="17"/>
                <w:szCs w:val="17"/>
                <w:color w:val="auto"/>
              </w:rPr>
            </w:pPr>
          </w:p>
        </w:tc>
      </w:tr>
      <w:tr>
        <w:trPr>
          <w:trHeight w:val="203"/>
        </w:trPr>
        <w:tc>
          <w:tcPr>
            <w:tcW w:w="80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 expense</w:t>
            </w: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7,423</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8,374</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8020" w:type="dxa"/>
            <w:vAlign w:val="bottom"/>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24,346</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18,797</w:t>
            </w:r>
          </w:p>
        </w:tc>
        <w:tc>
          <w:tcPr>
            <w:tcW w:w="80" w:type="dxa"/>
            <w:vAlign w:val="bottom"/>
          </w:tcPr>
          <w:p>
            <w:pPr>
              <w:spacing w:after="0"/>
              <w:rPr>
                <w:sz w:val="17"/>
                <w:szCs w:val="17"/>
                <w:color w:val="auto"/>
              </w:rPr>
            </w:pPr>
          </w:p>
        </w:tc>
      </w:tr>
      <w:tr>
        <w:trPr>
          <w:trHeight w:val="196"/>
        </w:trPr>
        <w:tc>
          <w:tcPr>
            <w:tcW w:w="8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(24,346</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(18,797</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w:t>
            </w:r>
          </w:p>
        </w:tc>
        <w:tc>
          <w:tcPr>
            <w:tcW w:w="80" w:type="dxa"/>
            <w:vAlign w:val="bottom"/>
            <w:shd w:val="clear" w:color="auto" w:fill="CFF0FC"/>
          </w:tcPr>
          <w:p>
            <w:pPr>
              <w:spacing w:after="0"/>
              <w:rPr>
                <w:sz w:val="17"/>
                <w:szCs w:val="17"/>
                <w:color w:val="auto"/>
              </w:rPr>
            </w:pPr>
          </w:p>
        </w:tc>
      </w:tr>
      <w:tr>
        <w:trPr>
          <w:trHeight w:val="203"/>
        </w:trPr>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7"/>
                <w:szCs w:val="17"/>
                <w:color w:val="auto"/>
              </w:rPr>
            </w:pPr>
          </w:p>
        </w:tc>
        <w:tc>
          <w:tcPr>
            <w:tcW w:w="13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(2 )</w:t>
            </w:r>
          </w:p>
        </w:tc>
      </w:tr>
      <w:tr>
        <w:trPr>
          <w:trHeight w:val="203"/>
        </w:trPr>
        <w:tc>
          <w:tcPr>
            <w:tcW w:w="8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income</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80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other income (expense)</w:t>
            </w: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w:t>
            </w:r>
          </w:p>
        </w:tc>
        <w:tc>
          <w:tcPr>
            <w:tcW w:w="24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w:t>
            </w:r>
          </w:p>
        </w:tc>
        <w:tc>
          <w:tcPr>
            <w:tcW w:w="80" w:type="dxa"/>
            <w:vAlign w:val="bottom"/>
            <w:tcBorders>
              <w:top w:val="single" w:sz="8" w:color="CFF0FC"/>
            </w:tcBorders>
          </w:tcPr>
          <w:p>
            <w:pPr>
              <w:spacing w:after="0"/>
              <w:rPr>
                <w:sz w:val="17"/>
                <w:szCs w:val="17"/>
                <w:color w:val="auto"/>
              </w:rPr>
            </w:pPr>
          </w:p>
        </w:tc>
      </w:tr>
      <w:tr>
        <w:trPr>
          <w:trHeight w:val="236"/>
        </w:trPr>
        <w:tc>
          <w:tcPr>
            <w:tcW w:w="80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Consolidated net loss and comprehensive loss</w:t>
            </w: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(24,254</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(18,701</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83"/>
        </w:trPr>
        <w:tc>
          <w:tcPr>
            <w:tcW w:w="8020" w:type="dxa"/>
            <w:vAlign w:val="bottom"/>
          </w:tcPr>
          <w:p>
            <w:pPr>
              <w:ind w:left="20"/>
              <w:spacing w:after="0" w:line="183" w:lineRule="exact"/>
              <w:rPr>
                <w:sz w:val="20"/>
                <w:szCs w:val="20"/>
                <w:color w:val="auto"/>
              </w:rPr>
            </w:pPr>
            <w:r>
              <w:rPr>
                <w:rFonts w:ascii="Arial" w:cs="Arial" w:eastAsia="Arial" w:hAnsi="Arial"/>
                <w:sz w:val="18"/>
                <w:szCs w:val="18"/>
                <w:color w:val="auto"/>
              </w:rPr>
              <w:t>Net loss per common share, basic and diluted</w:t>
            </w:r>
          </w:p>
        </w:tc>
        <w:tc>
          <w:tcPr>
            <w:tcW w:w="34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70"/>
              <w:spacing w:after="0" w:line="183" w:lineRule="exact"/>
              <w:rPr>
                <w:sz w:val="20"/>
                <w:szCs w:val="20"/>
                <w:color w:val="auto"/>
              </w:rPr>
            </w:pPr>
            <w:r>
              <w:rPr>
                <w:rFonts w:ascii="Arial" w:cs="Arial" w:eastAsia="Arial" w:hAnsi="Arial"/>
                <w:sz w:val="18"/>
                <w:szCs w:val="18"/>
                <w:color w:val="auto"/>
              </w:rPr>
              <w:t>(0.65 )</w:t>
            </w:r>
          </w:p>
        </w:tc>
        <w:tc>
          <w:tcPr>
            <w:tcW w:w="34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(0.56 )</w:t>
            </w:r>
          </w:p>
        </w:tc>
      </w:tr>
      <w:tr>
        <w:trPr>
          <w:trHeight w:val="20"/>
        </w:trPr>
        <w:tc>
          <w:tcPr>
            <w:tcW w:w="8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80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Weighted-average shares of common stock outstanding, basic and diluted</w:t>
            </w: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37,322,360</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33,633,619</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-1393825</wp:posOffset>
            </wp:positionV>
            <wp:extent cx="5143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-1393825</wp:posOffset>
            </wp:positionV>
            <wp:extent cx="5143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-605155</wp:posOffset>
            </wp:positionV>
            <wp:extent cx="5143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-605155</wp:posOffset>
            </wp:positionV>
            <wp:extent cx="5143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-334010</wp:posOffset>
            </wp:positionV>
            <wp:extent cx="514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-316230</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-334010</wp:posOffset>
            </wp:positionV>
            <wp:extent cx="514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-316230</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51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BioAtla,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9"/>
          </w:tcPr>
          <w:p>
            <w:pPr>
              <w:jc w:val="right"/>
              <w:ind w:right="450"/>
              <w:spacing w:after="0"/>
              <w:rPr>
                <w:sz w:val="20"/>
                <w:szCs w:val="20"/>
                <w:color w:val="auto"/>
              </w:rPr>
            </w:pPr>
            <w:r>
              <w:rPr>
                <w:rFonts w:ascii="Arial" w:cs="Arial" w:eastAsia="Arial" w:hAnsi="Arial"/>
                <w:sz w:val="14"/>
                <w:szCs w:val="14"/>
                <w:b w:val="1"/>
                <w:bCs w:val="1"/>
                <w:color w:val="auto"/>
                <w:w w:val="99"/>
              </w:rPr>
              <w:t>Three Months Ended March 31, 2022</w:t>
            </w: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vMerge w:val="restart"/>
          </w:tcPr>
          <w:p>
            <w:pPr>
              <w:jc w:val="center"/>
              <w:ind w:left="439"/>
              <w:spacing w:after="0"/>
              <w:rPr>
                <w:sz w:val="20"/>
                <w:szCs w:val="20"/>
                <w:color w:val="auto"/>
              </w:rPr>
            </w:pPr>
            <w:r>
              <w:rPr>
                <w:rFonts w:ascii="Arial" w:cs="Arial" w:eastAsia="Arial" w:hAnsi="Arial"/>
                <w:sz w:val="14"/>
                <w:szCs w:val="14"/>
                <w:b w:val="1"/>
                <w:bCs w:val="1"/>
                <w:color w:val="auto"/>
                <w:w w:val="89"/>
              </w:rPr>
              <w:t>Class B</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4"/>
            <w:vMerge w:val="restart"/>
          </w:tcPr>
          <w:p>
            <w:pPr>
              <w:jc w:val="right"/>
              <w:ind w:right="17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center"/>
              <w:ind w:right="137"/>
              <w:spacing w:after="0" w:line="139"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vMerge w:val="restart"/>
          </w:tcPr>
          <w:p>
            <w:pPr>
              <w:jc w:val="right"/>
              <w:ind w:right="259"/>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020" w:type="dxa"/>
            <w:vAlign w:val="bottom"/>
            <w:gridSpan w:val="5"/>
            <w:vMerge w:val="restart"/>
          </w:tcPr>
          <w:p>
            <w:pPr>
              <w:jc w:val="right"/>
              <w:ind w:right="90"/>
              <w:spacing w:after="0"/>
              <w:rPr>
                <w:sz w:val="20"/>
                <w:szCs w:val="20"/>
                <w:color w:val="auto"/>
              </w:rPr>
            </w:pPr>
            <w:r>
              <w:rPr>
                <w:rFonts w:ascii="Arial" w:cs="Arial" w:eastAsia="Arial" w:hAnsi="Arial"/>
                <w:sz w:val="14"/>
                <w:szCs w:val="14"/>
                <w:b w:val="1"/>
                <w:bCs w:val="1"/>
                <w:color w:val="auto"/>
                <w:w w:val="93"/>
              </w:rPr>
              <w:t>Accumulated</w:t>
            </w:r>
          </w:p>
        </w:tc>
        <w:tc>
          <w:tcPr>
            <w:tcW w:w="1160" w:type="dxa"/>
            <w:vAlign w:val="bottom"/>
            <w:gridSpan w:val="5"/>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center"/>
              <w:ind w:right="54"/>
              <w:spacing w:after="0"/>
              <w:rPr>
                <w:sz w:val="20"/>
                <w:szCs w:val="20"/>
                <w:color w:val="auto"/>
              </w:rPr>
            </w:pPr>
            <w:r>
              <w:rPr>
                <w:rFonts w:ascii="Arial" w:cs="Arial" w:eastAsia="Arial" w:hAnsi="Arial"/>
                <w:sz w:val="14"/>
                <w:szCs w:val="14"/>
                <w:b w:val="1"/>
                <w:bCs w:val="1"/>
                <w:color w:val="auto"/>
                <w:w w:val="91"/>
              </w:rPr>
              <w:t>Common Stock</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Paid-in</w:t>
            </w:r>
          </w:p>
        </w:tc>
        <w:tc>
          <w:tcPr>
            <w:tcW w:w="1020" w:type="dxa"/>
            <w:vAlign w:val="bottom"/>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8"/>
                <w:szCs w:val="18"/>
                <w:color w:val="auto"/>
              </w:rPr>
            </w:pPr>
          </w:p>
        </w:tc>
        <w:tc>
          <w:tcPr>
            <w:tcW w:w="880" w:type="dxa"/>
            <w:vAlign w:val="bottom"/>
            <w:gridSpan w:val="4"/>
          </w:tcPr>
          <w:p>
            <w:pPr>
              <w:ind w:left="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8"/>
                <w:szCs w:val="18"/>
                <w:color w:val="auto"/>
              </w:rPr>
            </w:pPr>
          </w:p>
        </w:tc>
        <w:tc>
          <w:tcPr>
            <w:tcW w:w="94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2021</w:t>
            </w:r>
          </w:p>
        </w:tc>
        <w:tc>
          <w:tcPr>
            <w:tcW w:w="92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35,799,233</w:t>
            </w: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w:t>
            </w:r>
          </w:p>
        </w:tc>
        <w:tc>
          <w:tcPr>
            <w:tcW w:w="180" w:type="dxa"/>
            <w:vAlign w:val="bottom"/>
            <w:tcBorders>
              <w:right w:val="single" w:sz="8" w:color="CFF0FC"/>
            </w:tcBorders>
            <w:shd w:val="clear" w:color="auto" w:fill="CFF0FC"/>
          </w:tcPr>
          <w:p>
            <w:pPr>
              <w:spacing w:after="0"/>
              <w:rPr>
                <w:sz w:val="17"/>
                <w:szCs w:val="17"/>
                <w:color w:val="auto"/>
              </w:rPr>
            </w:pPr>
          </w:p>
        </w:tc>
        <w:tc>
          <w:tcPr>
            <w:tcW w:w="90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1,492,059</w:t>
            </w:r>
          </w:p>
        </w:tc>
        <w:tc>
          <w:tcPr>
            <w:tcW w:w="1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FF0FC"/>
          </w:tcPr>
          <w:p>
            <w:pPr>
              <w:ind w:left="50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7"/>
                <w:szCs w:val="17"/>
                <w:color w:val="auto"/>
              </w:rPr>
            </w:pPr>
          </w:p>
        </w:tc>
        <w:tc>
          <w:tcPr>
            <w:tcW w:w="200" w:type="dxa"/>
            <w:vAlign w:val="bottom"/>
            <w:tcBorders>
              <w:top w:val="single" w:sz="8" w:color="auto"/>
              <w:left w:val="single" w:sz="8" w:color="CFF0FC"/>
              <w:right w:val="single" w:sz="8" w:color="CFF0FC"/>
            </w:tcBorders>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397,136</w:t>
            </w:r>
          </w:p>
        </w:tc>
        <w:tc>
          <w:tcPr>
            <w:tcW w:w="160" w:type="dxa"/>
            <w:vAlign w:val="bottom"/>
            <w:shd w:val="clear" w:color="auto" w:fill="CFF0FC"/>
          </w:tcPr>
          <w:p>
            <w:pPr>
              <w:spacing w:after="0"/>
              <w:rPr>
                <w:sz w:val="17"/>
                <w:szCs w:val="17"/>
                <w:color w:val="auto"/>
              </w:rPr>
            </w:pPr>
          </w:p>
        </w:tc>
        <w:tc>
          <w:tcPr>
            <w:tcW w:w="14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(186,319</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left w:val="single" w:sz="8" w:color="CFF0FC"/>
              <w:right w:val="single" w:sz="8" w:color="CFF0FC"/>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2"/>
              </w:rPr>
              <w:t>210,821</w:t>
            </w:r>
          </w:p>
        </w:tc>
        <w:tc>
          <w:tcPr>
            <w:tcW w:w="80" w:type="dxa"/>
            <w:vAlign w:val="bottom"/>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00" w:type="dxa"/>
            <w:vAlign w:val="bottom"/>
          </w:tcPr>
          <w:p>
            <w:pPr>
              <w:ind w:left="500"/>
              <w:spacing w:after="0" w:line="20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3,632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3,632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5"/>
              </w:rPr>
              <w:t>Issuance of common stock under equity incentive</w:t>
            </w:r>
          </w:p>
        </w:tc>
        <w:tc>
          <w:tcPr>
            <w:tcW w:w="9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92,051</w:t>
            </w:r>
          </w:p>
        </w:tc>
        <w:tc>
          <w:tcPr>
            <w:tcW w:w="18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6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14"/>
                <w:szCs w:val="14"/>
                <w:color w:val="auto"/>
              </w:rPr>
            </w:pPr>
          </w:p>
        </w:tc>
        <w:tc>
          <w:tcPr>
            <w:tcW w:w="9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4"/>
                <w:szCs w:val="14"/>
                <w:color w:val="auto"/>
              </w:rPr>
            </w:pP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vMerge w:val="restart"/>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gridSpan w:val="2"/>
            <w:vMerge w:val="restart"/>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FF0FC"/>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plans</w:t>
            </w:r>
          </w:p>
        </w:tc>
        <w:tc>
          <w:tcPr>
            <w:tcW w:w="920" w:type="dxa"/>
            <w:vAlign w:val="bottom"/>
            <w:gridSpan w:val="2"/>
            <w:vMerge w:val="continue"/>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60" w:type="dxa"/>
            <w:vAlign w:val="bottom"/>
            <w:tcBorders>
              <w:right w:val="single" w:sz="8" w:color="CFF0FC"/>
            </w:tcBorders>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tcBorders>
              <w:left w:val="single" w:sz="8" w:color="CFF0FC"/>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gridSpan w:val="2"/>
            <w:vMerge w:val="continue"/>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gridSpan w:val="2"/>
            <w:vMerge w:val="continue"/>
            <w:shd w:val="clear" w:color="auto" w:fill="CFF0FC"/>
          </w:tcPr>
          <w:p>
            <w:pPr>
              <w:spacing w:after="0"/>
              <w:rPr>
                <w:sz w:val="18"/>
                <w:szCs w:val="18"/>
                <w:color w:val="auto"/>
              </w:rPr>
            </w:pPr>
          </w:p>
        </w:tc>
        <w:tc>
          <w:tcPr>
            <w:tcW w:w="220" w:type="dxa"/>
            <w:vAlign w:val="bottom"/>
            <w:tcBorders>
              <w:left w:val="single" w:sz="8" w:color="CFF0FC"/>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gridSpan w:val="2"/>
            <w:vMerge w:val="continue"/>
            <w:shd w:val="clear" w:color="auto" w:fill="CFF0FC"/>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20"/>
              <w:spacing w:after="0" w:line="162" w:lineRule="exact"/>
              <w:rPr>
                <w:sz w:val="20"/>
                <w:szCs w:val="20"/>
                <w:color w:val="auto"/>
              </w:rPr>
            </w:pPr>
            <w:r>
              <w:rPr>
                <w:rFonts w:ascii="Arial" w:cs="Arial" w:eastAsia="Arial" w:hAnsi="Arial"/>
                <w:sz w:val="18"/>
                <w:szCs w:val="18"/>
                <w:color w:val="auto"/>
              </w:rPr>
              <w:t>Taxes related to net share settlement of equity</w:t>
            </w:r>
          </w:p>
        </w:tc>
        <w:tc>
          <w:tcPr>
            <w:tcW w:w="120" w:type="dxa"/>
            <w:vAlign w:val="bottom"/>
          </w:tcPr>
          <w:p>
            <w:pPr>
              <w:spacing w:after="0"/>
              <w:rPr>
                <w:sz w:val="14"/>
                <w:szCs w:val="14"/>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700" w:type="dxa"/>
            <w:vAlign w:val="bottom"/>
            <w:vMerge w:val="restart"/>
          </w:tcPr>
          <w:p>
            <w:pPr>
              <w:ind w:left="5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(146 )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Arial" w:cs="Arial" w:eastAsia="Arial" w:hAnsi="Arial"/>
                <w:sz w:val="18"/>
                <w:szCs w:val="18"/>
                <w:color w:val="auto"/>
              </w:rPr>
              <w:t>awards</w:t>
            </w: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7"/>
                <w:szCs w:val="17"/>
                <w:color w:val="auto"/>
              </w:rPr>
            </w:pP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880" w:type="dxa"/>
            <w:vAlign w:val="bottom"/>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(24,254 )</w:t>
            </w:r>
          </w:p>
        </w:tc>
        <w:tc>
          <w:tcPr>
            <w:tcW w:w="220" w:type="dxa"/>
            <w:vAlign w:val="bottom"/>
            <w:tcBorders>
              <w:left w:val="single" w:sz="8" w:color="CFF0FC"/>
              <w:right w:val="single" w:sz="8" w:color="CFF0FC"/>
            </w:tcBorders>
            <w:shd w:val="clear" w:color="auto" w:fill="CFF0FC"/>
          </w:tcPr>
          <w:p>
            <w:pPr>
              <w:spacing w:after="0"/>
              <w:rPr>
                <w:sz w:val="17"/>
                <w:szCs w:val="17"/>
                <w:color w:val="auto"/>
              </w:rPr>
            </w:pPr>
          </w:p>
        </w:tc>
        <w:tc>
          <w:tcPr>
            <w:tcW w:w="7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(24,254 )</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Pr>
          <w:p>
            <w:pPr>
              <w:ind w:left="20"/>
              <w:spacing w:after="0" w:line="196" w:lineRule="exact"/>
              <w:rPr>
                <w:sz w:val="20"/>
                <w:szCs w:val="20"/>
                <w:color w:val="auto"/>
              </w:rPr>
            </w:pPr>
            <w:r>
              <w:rPr>
                <w:rFonts w:ascii="Arial" w:cs="Arial" w:eastAsia="Arial" w:hAnsi="Arial"/>
                <w:sz w:val="18"/>
                <w:szCs w:val="18"/>
                <w:color w:val="auto"/>
              </w:rPr>
              <w:t>Balance at March 31, 2022</w:t>
            </w: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7"/>
              </w:rPr>
              <w:t>35,891,284</w:t>
            </w:r>
          </w:p>
        </w:tc>
        <w:tc>
          <w:tcPr>
            <w:tcW w:w="1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1,492,059</w:t>
            </w:r>
          </w:p>
        </w:tc>
        <w:tc>
          <w:tcPr>
            <w:tcW w:w="160" w:type="dxa"/>
            <w:vAlign w:val="bottom"/>
          </w:tcPr>
          <w:p>
            <w:pPr>
              <w:spacing w:after="0"/>
              <w:rPr>
                <w:sz w:val="17"/>
                <w:szCs w:val="17"/>
                <w:color w:val="auto"/>
              </w:rPr>
            </w:pP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Pr>
          <w:p>
            <w:pPr>
              <w:ind w:left="50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c>
          <w:tcPr>
            <w:tcW w:w="200" w:type="dxa"/>
            <w:vAlign w:val="bottom"/>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5"/>
              </w:rPr>
              <w:t>400,622</w:t>
            </w:r>
          </w:p>
        </w:tc>
        <w:tc>
          <w:tcPr>
            <w:tcW w:w="1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95"/>
              </w:rPr>
              <w:t>(210,573 )</w:t>
            </w:r>
          </w:p>
        </w:tc>
        <w:tc>
          <w:tcPr>
            <w:tcW w:w="220" w:type="dxa"/>
            <w:vAlign w:val="bottom"/>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2"/>
              </w:rPr>
              <w:t>190,053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9"/>
          </w:tcPr>
          <w:p>
            <w:pPr>
              <w:jc w:val="right"/>
              <w:ind w:right="270"/>
              <w:spacing w:after="0"/>
              <w:rPr>
                <w:sz w:val="20"/>
                <w:szCs w:val="20"/>
                <w:color w:val="auto"/>
              </w:rPr>
            </w:pPr>
            <w:r>
              <w:rPr>
                <w:rFonts w:ascii="Arial" w:cs="Arial" w:eastAsia="Arial" w:hAnsi="Arial"/>
                <w:sz w:val="14"/>
                <w:szCs w:val="14"/>
                <w:b w:val="1"/>
                <w:bCs w:val="1"/>
                <w:color w:val="auto"/>
              </w:rPr>
              <w:t>Three Months Ended March 31, 2021</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4"/>
            <w:vMerge w:val="restart"/>
          </w:tcPr>
          <w:p>
            <w:pPr>
              <w:jc w:val="center"/>
              <w:ind w:left="99"/>
              <w:spacing w:after="0"/>
              <w:rPr>
                <w:sz w:val="20"/>
                <w:szCs w:val="20"/>
                <w:color w:val="auto"/>
              </w:rPr>
            </w:pPr>
            <w:r>
              <w:rPr>
                <w:rFonts w:ascii="Arial" w:cs="Arial" w:eastAsia="Arial" w:hAnsi="Arial"/>
                <w:sz w:val="14"/>
                <w:szCs w:val="14"/>
                <w:b w:val="1"/>
                <w:bCs w:val="1"/>
                <w:color w:val="auto"/>
                <w:w w:val="89"/>
              </w:rPr>
              <w:t>Class B</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200"/>
              <w:spacing w:after="0" w:line="13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vMerge w:val="restart"/>
          </w:tcPr>
          <w:p>
            <w:pPr>
              <w:jc w:val="right"/>
              <w:ind w:right="119"/>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vMerge w:val="restart"/>
          </w:tcPr>
          <w:p>
            <w:pPr>
              <w:jc w:val="right"/>
              <w:ind w:right="95"/>
              <w:spacing w:after="0"/>
              <w:rPr>
                <w:sz w:val="20"/>
                <w:szCs w:val="20"/>
                <w:color w:val="auto"/>
              </w:rPr>
            </w:pPr>
            <w:r>
              <w:rPr>
                <w:rFonts w:ascii="Arial" w:cs="Arial" w:eastAsia="Arial" w:hAnsi="Arial"/>
                <w:sz w:val="14"/>
                <w:szCs w:val="14"/>
                <w:b w:val="1"/>
                <w:bCs w:val="1"/>
                <w:color w:val="auto"/>
                <w:w w:val="93"/>
              </w:rPr>
              <w:t>Accumulated</w:t>
            </w:r>
          </w:p>
        </w:tc>
        <w:tc>
          <w:tcPr>
            <w:tcW w:w="940" w:type="dxa"/>
            <w:vAlign w:val="bottom"/>
            <w:gridSpan w:val="4"/>
          </w:tcPr>
          <w:p>
            <w:pPr>
              <w:jc w:val="center"/>
              <w:ind w:right="60"/>
              <w:spacing w:after="0" w:line="14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gridSpan w:val="4"/>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Borders>
              <w:bottom w:val="single" w:sz="8" w:color="auto"/>
            </w:tcBorders>
            <w:gridSpan w:val="4"/>
          </w:tcPr>
          <w:p>
            <w:pPr>
              <w:jc w:val="center"/>
              <w:ind w:left="119"/>
              <w:spacing w:after="0"/>
              <w:rPr>
                <w:sz w:val="20"/>
                <w:szCs w:val="20"/>
                <w:color w:val="auto"/>
              </w:rPr>
            </w:pPr>
            <w:r>
              <w:rPr>
                <w:rFonts w:ascii="Arial" w:cs="Arial" w:eastAsia="Arial" w:hAnsi="Arial"/>
                <w:sz w:val="14"/>
                <w:szCs w:val="14"/>
                <w:b w:val="1"/>
                <w:bCs w:val="1"/>
                <w:color w:val="auto"/>
                <w:w w:val="93"/>
              </w:rPr>
              <w:t>Common Stock</w:t>
            </w:r>
          </w:p>
        </w:tc>
        <w:tc>
          <w:tcPr>
            <w:tcW w:w="1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8"/>
                <w:szCs w:val="18"/>
                <w:color w:val="auto"/>
              </w:rPr>
            </w:pPr>
          </w:p>
        </w:tc>
        <w:tc>
          <w:tcPr>
            <w:tcW w:w="700" w:type="dxa"/>
            <w:vAlign w:val="bottom"/>
          </w:tcPr>
          <w:p>
            <w:pPr>
              <w:ind w:left="20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6"/>
        </w:trPr>
        <w:tc>
          <w:tcPr>
            <w:tcW w:w="3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CFF0FC"/>
          </w:tcPr>
          <w:p>
            <w:pPr>
              <w:spacing w:after="0"/>
              <w:rPr>
                <w:sz w:val="17"/>
                <w:szCs w:val="17"/>
                <w:color w:val="auto"/>
              </w:rPr>
            </w:pPr>
          </w:p>
        </w:tc>
        <w:tc>
          <w:tcPr>
            <w:tcW w:w="980" w:type="dxa"/>
            <w:vAlign w:val="bottom"/>
            <w:tcBorders>
              <w:top w:val="single" w:sz="8" w:color="auto"/>
              <w:right w:val="single" w:sz="8" w:color="CFF0FC"/>
            </w:tcBorders>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w w:val="97"/>
              </w:rPr>
              <w:t>32,171,560</w:t>
            </w:r>
          </w:p>
        </w:tc>
        <w:tc>
          <w:tcPr>
            <w:tcW w:w="12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ind w:right="399"/>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right w:val="single" w:sz="8" w:color="CFF0FC"/>
            </w:tcBorders>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7"/>
                <w:szCs w:val="17"/>
                <w:color w:val="auto"/>
              </w:rPr>
            </w:pPr>
          </w:p>
        </w:tc>
        <w:tc>
          <w:tcPr>
            <w:tcW w:w="92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1,492,059</w:t>
            </w:r>
          </w:p>
        </w:tc>
        <w:tc>
          <w:tcPr>
            <w:tcW w:w="18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color w:val="auto"/>
                <w:w w:val="76"/>
              </w:rPr>
              <w:t>—</w:t>
            </w: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right w:val="single" w:sz="8" w:color="CFF0FC"/>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300,888</w:t>
            </w:r>
          </w:p>
        </w:tc>
        <w:tc>
          <w:tcPr>
            <w:tcW w:w="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(90,917</w:t>
            </w:r>
          </w:p>
        </w:tc>
        <w:tc>
          <w:tcPr>
            <w:tcW w:w="220" w:type="dxa"/>
            <w:vAlign w:val="bottom"/>
            <w:tcBorders>
              <w:left w:val="single" w:sz="8" w:color="CFF0FC"/>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right w:val="single" w:sz="8" w:color="CFF0FC"/>
            </w:tcBorders>
            <w:gridSpan w:val="3"/>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209,974</w:t>
            </w:r>
          </w:p>
        </w:tc>
        <w:tc>
          <w:tcPr>
            <w:tcW w:w="0" w:type="dxa"/>
            <w:vAlign w:val="bottom"/>
          </w:tcPr>
          <w:p>
            <w:pPr>
              <w:spacing w:after="0"/>
              <w:rPr>
                <w:sz w:val="1"/>
                <w:szCs w:val="1"/>
                <w:color w:val="auto"/>
              </w:rPr>
            </w:pPr>
          </w:p>
        </w:tc>
      </w:tr>
      <w:tr>
        <w:trPr>
          <w:trHeight w:val="203"/>
        </w:trPr>
        <w:tc>
          <w:tcPr>
            <w:tcW w:w="380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4,643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gridSpan w:val="2"/>
          </w:tcPr>
          <w:p>
            <w:pPr>
              <w:jc w:val="right"/>
              <w:ind w:right="75"/>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17"/>
                <w:szCs w:val="17"/>
                <w:color w:val="auto"/>
              </w:rPr>
            </w:pPr>
          </w:p>
        </w:tc>
        <w:tc>
          <w:tcPr>
            <w:tcW w:w="980" w:type="dxa"/>
            <w:vAlign w:val="bottom"/>
            <w:tcBorders>
              <w:right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60" w:type="dxa"/>
            <w:vAlign w:val="bottom"/>
            <w:tcBorders>
              <w:right w:val="single" w:sz="8" w:color="CFF0FC"/>
            </w:tcBorders>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w w:val="76"/>
              </w:rPr>
              <w:t>—</w:t>
            </w: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00" w:type="dxa"/>
            <w:vAlign w:val="bottom"/>
            <w:tcBorders>
              <w:righ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(18,701 )</w:t>
            </w:r>
          </w:p>
        </w:tc>
        <w:tc>
          <w:tcPr>
            <w:tcW w:w="140" w:type="dxa"/>
            <w:vAlign w:val="bottom"/>
            <w:shd w:val="clear" w:color="auto" w:fill="CFF0FC"/>
          </w:tcPr>
          <w:p>
            <w:pPr>
              <w:spacing w:after="0"/>
              <w:rPr>
                <w:sz w:val="17"/>
                <w:szCs w:val="17"/>
                <w:color w:val="auto"/>
              </w:rPr>
            </w:pPr>
          </w:p>
        </w:tc>
        <w:tc>
          <w:tcPr>
            <w:tcW w:w="800" w:type="dxa"/>
            <w:vAlign w:val="bottom"/>
            <w:tcBorders>
              <w:right w:val="single" w:sz="8" w:color="CFF0FC"/>
            </w:tcBorders>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(18,701 )</w:t>
            </w:r>
          </w:p>
        </w:tc>
        <w:tc>
          <w:tcPr>
            <w:tcW w:w="0" w:type="dxa"/>
            <w:vAlign w:val="bottom"/>
          </w:tcPr>
          <w:p>
            <w:pPr>
              <w:spacing w:after="0"/>
              <w:rPr>
                <w:sz w:val="1"/>
                <w:szCs w:val="1"/>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Pr>
          <w:p>
            <w:pPr>
              <w:ind w:left="20"/>
              <w:spacing w:after="0" w:line="196" w:lineRule="exact"/>
              <w:rPr>
                <w:sz w:val="20"/>
                <w:szCs w:val="20"/>
                <w:color w:val="auto"/>
              </w:rPr>
            </w:pPr>
            <w:r>
              <w:rPr>
                <w:rFonts w:ascii="Arial" w:cs="Arial" w:eastAsia="Arial" w:hAnsi="Arial"/>
                <w:sz w:val="18"/>
                <w:szCs w:val="18"/>
                <w:color w:val="auto"/>
              </w:rPr>
              <w:t>Balance at March 31, 2021</w:t>
            </w: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w w:val="97"/>
              </w:rPr>
              <w:t>32,171,560</w:t>
            </w:r>
          </w:p>
        </w:tc>
        <w:tc>
          <w:tcPr>
            <w:tcW w:w="120" w:type="dxa"/>
            <w:vAlign w:val="bottom"/>
          </w:tcPr>
          <w:p>
            <w:pPr>
              <w:spacing w:after="0"/>
              <w:rPr>
                <w:sz w:val="17"/>
                <w:szCs w:val="17"/>
                <w:color w:val="auto"/>
              </w:rPr>
            </w:pPr>
          </w:p>
        </w:tc>
        <w:tc>
          <w:tcPr>
            <w:tcW w:w="580" w:type="dxa"/>
            <w:vAlign w:val="bottom"/>
          </w:tcPr>
          <w:p>
            <w:pPr>
              <w:jc w:val="right"/>
              <w:ind w:right="399"/>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1,492,059</w:t>
            </w:r>
          </w:p>
        </w:tc>
        <w:tc>
          <w:tcPr>
            <w:tcW w:w="180" w:type="dxa"/>
            <w:vAlign w:val="bottom"/>
          </w:tcPr>
          <w:p>
            <w:pPr>
              <w:spacing w:after="0"/>
              <w:rPr>
                <w:sz w:val="17"/>
                <w:szCs w:val="17"/>
                <w:color w:val="auto"/>
              </w:rPr>
            </w:pPr>
          </w:p>
        </w:tc>
        <w:tc>
          <w:tcPr>
            <w:tcW w:w="70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3"/>
                <w:szCs w:val="13"/>
                <w:color w:val="auto"/>
                <w:w w:val="76"/>
              </w:rPr>
              <w:t>—</w:t>
            </w:r>
          </w:p>
        </w:tc>
        <w:tc>
          <w:tcPr>
            <w:tcW w:w="200" w:type="dxa"/>
            <w:vAlign w:val="bottom"/>
          </w:tcPr>
          <w:p>
            <w:pPr>
              <w:spacing w:after="0"/>
              <w:rPr>
                <w:sz w:val="17"/>
                <w:szCs w:val="17"/>
                <w:color w:val="auto"/>
              </w:rPr>
            </w:pPr>
          </w:p>
        </w:tc>
        <w:tc>
          <w:tcPr>
            <w:tcW w:w="120" w:type="dxa"/>
            <w:vAlign w:val="bottom"/>
          </w:tcPr>
          <w:p>
            <w:pPr>
              <w:ind w:left="2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305,531</w:t>
            </w:r>
          </w:p>
        </w:tc>
        <w:tc>
          <w:tcPr>
            <w:tcW w:w="80" w:type="dxa"/>
            <w:vAlign w:val="bottom"/>
          </w:tcPr>
          <w:p>
            <w:pPr>
              <w:spacing w:after="0"/>
              <w:rPr>
                <w:sz w:val="17"/>
                <w:szCs w:val="17"/>
                <w:color w:val="auto"/>
              </w:rPr>
            </w:pPr>
          </w:p>
        </w:tc>
        <w:tc>
          <w:tcPr>
            <w:tcW w:w="16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92"/>
              </w:rPr>
              <w:t>(109,618 )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80"/>
              <w:spacing w:after="0" w:line="196" w:lineRule="exact"/>
              <w:rPr>
                <w:sz w:val="20"/>
                <w:szCs w:val="20"/>
                <w:color w:val="auto"/>
              </w:rPr>
            </w:pPr>
            <w:r>
              <w:rPr>
                <w:rFonts w:ascii="Arial" w:cs="Arial" w:eastAsia="Arial" w:hAnsi="Arial"/>
                <w:sz w:val="18"/>
                <w:szCs w:val="18"/>
                <w:color w:val="auto"/>
              </w:rPr>
              <w:t>195,916</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-1445260</wp:posOffset>
            </wp:positionV>
            <wp:extent cx="431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-1445260</wp:posOffset>
            </wp:positionV>
            <wp:extent cx="431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-1445260</wp:posOffset>
            </wp:positionV>
            <wp:extent cx="431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-1445260</wp:posOffset>
            </wp:positionV>
            <wp:extent cx="3429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-1445260</wp:posOffset>
            </wp:positionV>
            <wp:extent cx="431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-1445260</wp:posOffset>
            </wp:positionV>
            <wp:extent cx="4254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-1445260</wp:posOffset>
            </wp:positionV>
            <wp:extent cx="431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-159385</wp:posOffset>
            </wp:positionV>
            <wp:extent cx="4318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-159385</wp:posOffset>
            </wp:positionV>
            <wp:extent cx="4318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-159385</wp:posOffset>
            </wp:positionV>
            <wp:extent cx="431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-159385</wp:posOffset>
            </wp:positionV>
            <wp:extent cx="3429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-159385</wp:posOffset>
            </wp:positionV>
            <wp:extent cx="3429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-159385</wp:posOffset>
            </wp:positionV>
            <wp:extent cx="4318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BioAtla,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000" w:type="dxa"/>
            <w:vAlign w:val="bottom"/>
          </w:tcPr>
          <w:p>
            <w:pPr>
              <w:jc w:val="right"/>
              <w:ind w:right="796"/>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w w:val="94"/>
              </w:rPr>
              <w:t>(24,254 )</w:t>
            </w:r>
          </w:p>
        </w:tc>
        <w:tc>
          <w:tcPr>
            <w:tcW w:w="980" w:type="dxa"/>
            <w:vAlign w:val="bottom"/>
          </w:tcPr>
          <w:p>
            <w:pPr>
              <w:jc w:val="right"/>
              <w:ind w:right="794"/>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4"/>
              </w:rPr>
              <w:t>(18,701 )</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313</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3,632</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4,643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Accrued interest</w:t>
            </w:r>
          </w:p>
        </w:tc>
        <w:tc>
          <w:tcPr>
            <w:tcW w:w="1000" w:type="dxa"/>
            <w:vAlign w:val="bottom"/>
          </w:tcPr>
          <w:p>
            <w:pPr>
              <w:spacing w:after="0"/>
              <w:rPr>
                <w:sz w:val="17"/>
                <w:szCs w:val="17"/>
                <w:color w:val="auto"/>
              </w:rPr>
            </w:pPr>
          </w:p>
        </w:tc>
        <w:tc>
          <w:tcPr>
            <w:tcW w:w="8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Prepaid expenses and other assets</w:t>
            </w:r>
          </w:p>
        </w:tc>
        <w:tc>
          <w:tcPr>
            <w:tcW w:w="1000" w:type="dxa"/>
            <w:vAlign w:val="bottom"/>
          </w:tcPr>
          <w:p>
            <w:pPr>
              <w:spacing w:after="0"/>
              <w:rPr>
                <w:sz w:val="17"/>
                <w:szCs w:val="17"/>
                <w:color w:val="auto"/>
              </w:rPr>
            </w:pPr>
          </w:p>
        </w:tc>
        <w:tc>
          <w:tcPr>
            <w:tcW w:w="8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(2,278 )</w:t>
            </w:r>
          </w:p>
        </w:tc>
        <w:tc>
          <w:tcPr>
            <w:tcW w:w="98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(1,307 )</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Accounts payable and accrued expenses</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(2,433 )</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Right-of-use assets and lease liabilities, net</w:t>
            </w:r>
          </w:p>
        </w:tc>
        <w:tc>
          <w:tcPr>
            <w:tcW w:w="1000" w:type="dxa"/>
            <w:vAlign w:val="bottom"/>
          </w:tcPr>
          <w:p>
            <w:pPr>
              <w:spacing w:after="0"/>
              <w:rPr>
                <w:sz w:val="17"/>
                <w:szCs w:val="17"/>
                <w:color w:val="auto"/>
              </w:rPr>
            </w:pPr>
          </w:p>
        </w:tc>
        <w:tc>
          <w:tcPr>
            <w:tcW w:w="8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(116 )</w:t>
            </w:r>
          </w:p>
        </w:tc>
        <w:tc>
          <w:tcPr>
            <w:tcW w:w="98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used in operating activities</w:t>
            </w:r>
          </w:p>
        </w:tc>
        <w:tc>
          <w:tcPr>
            <w:tcW w:w="10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(25,136</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(14,994</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76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Purchases of property and equipment</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(10 )</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(501 )</w:t>
            </w: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rPr>
                <w:sz w:val="17"/>
                <w:szCs w:val="17"/>
                <w:color w:val="auto"/>
              </w:rPr>
            </w:pPr>
          </w:p>
        </w:tc>
        <w:tc>
          <w:tcPr>
            <w:tcW w:w="8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(10 )</w:t>
            </w:r>
          </w:p>
        </w:tc>
        <w:tc>
          <w:tcPr>
            <w:tcW w:w="980" w:type="dxa"/>
            <w:vAlign w:val="bottom"/>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(501 )</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Payment of initial public offering costs</w:t>
            </w:r>
          </w:p>
        </w:tc>
        <w:tc>
          <w:tcPr>
            <w:tcW w:w="1000" w:type="dxa"/>
            <w:vAlign w:val="bottom"/>
          </w:tcPr>
          <w:p>
            <w:pPr>
              <w:spacing w:after="0"/>
              <w:rPr>
                <w:sz w:val="17"/>
                <w:szCs w:val="17"/>
                <w:color w:val="auto"/>
              </w:rPr>
            </w:pPr>
          </w:p>
        </w:tc>
        <w:tc>
          <w:tcPr>
            <w:tcW w:w="8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(1,911 )</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Payments for taxes related to net settlement of equity awards</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(405 )</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Net cash used in financing activities</w:t>
            </w:r>
          </w:p>
        </w:tc>
        <w:tc>
          <w:tcPr>
            <w:tcW w:w="1000" w:type="dxa"/>
            <w:vAlign w:val="bottom"/>
          </w:tcPr>
          <w:p>
            <w:pPr>
              <w:spacing w:after="0"/>
              <w:rPr>
                <w:sz w:val="17"/>
                <w:szCs w:val="17"/>
                <w:color w:val="auto"/>
              </w:rPr>
            </w:pPr>
          </w:p>
        </w:tc>
        <w:tc>
          <w:tcPr>
            <w:tcW w:w="8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(405 )</w:t>
            </w:r>
          </w:p>
        </w:tc>
        <w:tc>
          <w:tcPr>
            <w:tcW w:w="980" w:type="dxa"/>
            <w:vAlign w:val="bottom"/>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(1,911 )</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decrease in cash and cash equivalents</w:t>
            </w:r>
          </w:p>
        </w:tc>
        <w:tc>
          <w:tcPr>
            <w:tcW w:w="10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(25,551</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(17,406</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2"/>
              </w:rPr>
              <w:t>244,979</w:t>
            </w:r>
          </w:p>
        </w:tc>
        <w:tc>
          <w:tcPr>
            <w:tcW w:w="2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9"/>
              </w:rPr>
              <w:t>238,605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 end of period</w:t>
            </w:r>
          </w:p>
        </w:tc>
        <w:tc>
          <w:tcPr>
            <w:tcW w:w="1000" w:type="dxa"/>
            <w:vAlign w:val="bottom"/>
            <w:tcBorders>
              <w:bottom w:val="single" w:sz="8" w:color="auto"/>
            </w:tcBorders>
            <w:shd w:val="clear" w:color="auto" w:fill="CFF0FC"/>
          </w:tcPr>
          <w:p>
            <w:pPr>
              <w:jc w:val="right"/>
              <w:ind w:right="796"/>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2"/>
              </w:rPr>
              <w:t>219,428</w:t>
            </w:r>
          </w:p>
        </w:tc>
        <w:tc>
          <w:tcPr>
            <w:tcW w:w="26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94"/>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221,199</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additions included in accounts payable and accrued expenses</w:t>
            </w:r>
          </w:p>
        </w:tc>
        <w:tc>
          <w:tcPr>
            <w:tcW w:w="1000" w:type="dxa"/>
            <w:vAlign w:val="bottom"/>
            <w:tcBorders>
              <w:bottom w:val="single" w:sz="8" w:color="auto"/>
            </w:tcBorders>
            <w:shd w:val="clear" w:color="auto" w:fill="CFF0FC"/>
          </w:tcPr>
          <w:p>
            <w:pPr>
              <w:jc w:val="right"/>
              <w:ind w:right="796"/>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2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794"/>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7680" w:type="dxa"/>
            <w:vAlign w:val="bottom"/>
          </w:tcPr>
          <w:p>
            <w:pPr>
              <w:ind w:left="20"/>
              <w:spacing w:after="0" w:line="142" w:lineRule="exact"/>
              <w:rPr>
                <w:sz w:val="20"/>
                <w:szCs w:val="20"/>
                <w:color w:val="auto"/>
              </w:rPr>
            </w:pPr>
            <w:r>
              <w:rPr>
                <w:rFonts w:ascii="Arial" w:cs="Arial" w:eastAsia="Arial" w:hAnsi="Arial"/>
                <w:sz w:val="16"/>
                <w:szCs w:val="16"/>
                <w:color w:val="auto"/>
              </w:rPr>
              <w:t>Tax related to net settlement of equity awards included in accounts payable and</w:t>
            </w:r>
          </w:p>
        </w:tc>
        <w:tc>
          <w:tcPr>
            <w:tcW w:w="1000" w:type="dxa"/>
            <w:vAlign w:val="bottom"/>
            <w:vMerge w:val="restart"/>
          </w:tcPr>
          <w:p>
            <w:pPr>
              <w:jc w:val="right"/>
              <w:ind w:right="796"/>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2"/>
                <w:szCs w:val="12"/>
                <w:color w:val="auto"/>
              </w:rPr>
            </w:pPr>
          </w:p>
        </w:tc>
        <w:tc>
          <w:tcPr>
            <w:tcW w:w="980" w:type="dxa"/>
            <w:vAlign w:val="bottom"/>
            <w:vMerge w:val="restart"/>
          </w:tcPr>
          <w:p>
            <w:pPr>
              <w:jc w:val="right"/>
              <w:ind w:right="794"/>
              <w:spacing w:after="0"/>
              <w:rPr>
                <w:sz w:val="20"/>
                <w:szCs w:val="20"/>
                <w:color w:val="auto"/>
              </w:rPr>
            </w:pPr>
            <w:r>
              <w:rPr>
                <w:rFonts w:ascii="Arial" w:cs="Arial" w:eastAsia="Arial" w:hAnsi="Arial"/>
                <w:sz w:val="18"/>
                <w:szCs w:val="18"/>
                <w:color w:val="auto"/>
                <w:w w:val="79"/>
              </w:rPr>
              <w:t>$</w:t>
            </w:r>
          </w:p>
        </w:tc>
        <w:tc>
          <w:tcPr>
            <w:tcW w:w="7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680" w:type="dxa"/>
            <w:vAlign w:val="bottom"/>
          </w:tcPr>
          <w:p>
            <w:pPr>
              <w:ind w:left="160"/>
              <w:spacing w:after="0" w:line="156" w:lineRule="exact"/>
              <w:rPr>
                <w:sz w:val="20"/>
                <w:szCs w:val="20"/>
                <w:color w:val="auto"/>
              </w:rPr>
            </w:pPr>
            <w:r>
              <w:rPr>
                <w:rFonts w:ascii="Arial" w:cs="Arial" w:eastAsia="Arial" w:hAnsi="Arial"/>
                <w:sz w:val="18"/>
                <w:szCs w:val="18"/>
                <w:color w:val="auto"/>
              </w:rPr>
              <w:t>accrued expenses</w:t>
            </w:r>
          </w:p>
        </w:tc>
        <w:tc>
          <w:tcPr>
            <w:tcW w:w="10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-1607820</wp:posOffset>
            </wp:positionV>
            <wp:extent cx="5143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-1607820</wp:posOffset>
            </wp:positionV>
            <wp:extent cx="5143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-1085215</wp:posOffset>
            </wp:positionV>
            <wp:extent cx="5143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-1085215</wp:posOffset>
            </wp:positionV>
            <wp:extent cx="5143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-548005</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-530860</wp:posOffset>
            </wp:positionV>
            <wp:extent cx="51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-548005</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-530860</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-264795</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-248285</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-264795</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-248285</wp:posOffset>
            </wp:positionV>
            <wp:extent cx="51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BioAtla,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2" w:lineRule="exact"/>
        <w:rPr>
          <w:sz w:val="20"/>
          <w:szCs w:val="20"/>
          <w:color w:val="auto"/>
        </w:rPr>
      </w:pPr>
    </w:p>
    <w:p>
      <w:pPr>
        <w:ind w:right="6280" w:firstLine="8"/>
        <w:spacing w:after="0" w:line="362"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Summary of Significant Accounting Policies </w:t>
      </w:r>
      <w:r>
        <w:rPr>
          <w:rFonts w:ascii="Arial" w:cs="Arial" w:eastAsia="Arial" w:hAnsi="Arial"/>
          <w:sz w:val="18"/>
          <w:szCs w:val="18"/>
          <w:b w:val="1"/>
          <w:bCs w:val="1"/>
          <w:i w:val="1"/>
          <w:iCs w:val="1"/>
          <w:color w:val="auto"/>
        </w:rPr>
        <w:t>Organization</w:t>
      </w:r>
    </w:p>
    <w:p>
      <w:pPr>
        <w:spacing w:after="0" w:line="1"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BioAtla, LLC was formed in Delaware in March 2007 and, after undergoing two separate reorganizations in 2019 and in 2020, was converted to a Delaware corporation in July 2020 and was renamed BioAtla, Inc. (the “Company”). The Company has a proprietary platform for creating biologics, including its conditionally active biologics (“CAB” or “CABs”). CABs have been designed to be active only under certain conditions found in diseased tissue, while remaining inactive in normal tissue. The Company is currently in clinical development of its two lead CAB antibody drug conjugates (“CAB ADC”) targeting AXL and ROR2 receptors, and its CAB immune-oncology antibody targeting CTLA-4.</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04"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Prior to the reorganization in July 2020 (or "Corporate Reorganization"), the consolidated financial statements included the accounts of BioAtla, LLC and those of its majority owned subsidiary Himalaya Therapeutics SEZC that had no material operations. Himalaya Therapeutics SEZC also had a wholly owned subsidiary, Himalaya Therapeutics HK Limited that had no material operations. All intercompany balances were eliminated in consolidation. In connection with the Corporate Reorganization, Himalaya Therapeutics SEZC and Himalaya Therapeutics HK Limited were deconsolidated without material impact to the consolidated financial statements. Subsequent to the Corporate Reorganization, BioAtla, Inc. became a single legal entity with no consolidated variable interest entities ("VIEs") or subsidiaries.</w:t>
      </w:r>
    </w:p>
    <w:p>
      <w:pPr>
        <w:spacing w:after="0" w:line="67"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The unaudited condensed consolidated financial statements as of March 31, 2022, and for the three months ended March 31, 2022 and 2021, have been prepared in accordance with the rules and regulations of the Securities and Exchange Commission (“SEC”), and with accounting principles generally accepted in the United States (“GAAP”) applicable to interim financial statements. These unaudited condensed consolidated financial statements have been prepared on the same basis as the audited financial statements and include all adjustments, consisting of only normal recurring accruals, which in the opinion of management are necessary to present fairly the Company’s financial position as of the interim date and results of operations for the interim periods presented. Interim results are not necessarily indicative of results for a full year or future periods. These unaudited condensed consolidated financial statements should be read in conjunction with the Company’s audited financial statements for the year ended December 31, 2021, included in its Annual Report on Form 10-K filed with the SEC on February 28, 2022.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04"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The Company has incurred cumulative operating losses and negative cash flows from operations since its inception and expects to continue to incur significant expenses and operating losses for the foreseeable future as it continues the development of its product candidates. As of March 31, 2022, the Company had an accumulated deficit of $210.6 million. The Company plans to continue to fund its losses from operations and capital funding needs through public or private equity or debt financings or other sources. If the Company is not 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w:t>
      </w:r>
    </w:p>
    <w:p>
      <w:pPr>
        <w:spacing w:after="0" w:line="175" w:lineRule="exact"/>
        <w:rPr>
          <w:sz w:val="20"/>
          <w:szCs w:val="20"/>
          <w:color w:val="auto"/>
        </w:rPr>
      </w:pPr>
    </w:p>
    <w:p>
      <w:pPr>
        <w:ind w:right="240" w:firstLine="509"/>
        <w:spacing w:after="0" w:line="257" w:lineRule="auto"/>
        <w:rPr>
          <w:sz w:val="20"/>
          <w:szCs w:val="20"/>
          <w:color w:val="auto"/>
        </w:rPr>
      </w:pPr>
      <w:r>
        <w:rPr>
          <w:rFonts w:ascii="Arial" w:cs="Arial" w:eastAsia="Arial" w:hAnsi="Arial"/>
          <w:sz w:val="17"/>
          <w:szCs w:val="17"/>
          <w:color w:val="auto"/>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included the preparation of cash flow forecasts resulting in management’s conclusion that there is not substantial doubt about the Company’s ability to continue as a going concern as its current cash and cash equivalents will be sufficient to fund the Company’s operations for a period of at least one year from the issuance date of these unaudited condensed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140" w:firstLine="509"/>
        <w:spacing w:after="0" w:line="237" w:lineRule="auto"/>
        <w:rPr>
          <w:sz w:val="20"/>
          <w:szCs w:val="20"/>
          <w:color w:val="auto"/>
        </w:rPr>
      </w:pPr>
      <w:r>
        <w:rPr>
          <w:rFonts w:ascii="Arial" w:cs="Arial" w:eastAsia="Arial" w:hAnsi="Arial"/>
          <w:sz w:val="18"/>
          <w:szCs w:val="18"/>
          <w:color w:val="auto"/>
        </w:rPr>
        <w:t>The preparation of the Company’s condensed consolidated financial statements requires it to make estimates and assumptions that impact the reported amounts of assets, liabilities, revenues and expenses and the disclosure of contingent assets and liabilities in the Company’s condensed consolidated financial statements and accompanying notes. The most significant estimates in the Company’s condensed consolidated financial statements relate to revenue recognition, accruals for research and development costs, and equity-based compensation.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ind w:right="220"/>
        <w:spacing w:after="0" w:line="261" w:lineRule="auto"/>
        <w:rPr>
          <w:sz w:val="20"/>
          <w:szCs w:val="20"/>
          <w:color w:val="auto"/>
        </w:rPr>
      </w:pPr>
      <w:r>
        <w:rPr>
          <w:rFonts w:ascii="Arial" w:cs="Arial" w:eastAsia="Arial" w:hAnsi="Arial"/>
          <w:sz w:val="18"/>
          <w:szCs w:val="18"/>
          <w:color w:val="auto"/>
        </w:rPr>
        <w:t>results may differ materially and adversely from these estimates. To the extent there are material differences between the estimates and actual results, the Company’s future results of operations will be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0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Financial instruments that potentially subject the Company to a significant concentration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Stock-based compensation expense represents the grant date fair value of equity awards, consisting of stock options, restricted stock units (“RSUs”) and employee stock purchase plan rights, over the requisite service period of the awards (usually the vesting period) on a straight-line basis. The Company estimates the fair value of stock option grants and employee stock purchase plan rights using the Black-Scholes option pricing model. Prior to the Company’s IPO, the fair value of RSUs was based on the estimated fair value of the underlying common stock on the date of grant and, subsequent to the Company’s IPO, the fair value is based on the closing sales price of the Company’s common stock on the date of grant. Equity award forfeitures are recognized as they occur.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The Company determines if an arrangement is a lease at inception. An arrangement is or contains a lease if it conveys the right to control the use of an identified asset for a period of time in exchange for consideration. If a lease is identified, classification is determined at lease commencement. Operating lease liabilities are recognized at the present value of the future lease payments at the lease commencement date. The Company’s leases do not provide an implicit interest rate and therefore the Company estimates its incremental borrowing rate to discount lease payments. The incremental borrowing rate reflects the interest rate that the Company would have to pay to borrow on a collateralized basis an amount equal to the lease payments in a similar economic environment over a similar term. Operating lease right-of-use (“ROU”) assets are based on the corresponding lease liability adjusted for any lease payments made at or before commencement, initial direct costs, and lease incentives. Renewals or early terminations are not accounted for unless the Company is reasonably certain to exercise these options. Operating lease expense is recognized and the ROU asset is amortized on a straight-line basis over the lease term. Variable lease costs are not included in the calculation of the ROU asset and the related lease liability and are recognized as incurred.</w:t>
      </w:r>
    </w:p>
    <w:p>
      <w:pPr>
        <w:spacing w:after="0" w:line="61" w:lineRule="exact"/>
        <w:rPr>
          <w:sz w:val="20"/>
          <w:szCs w:val="20"/>
          <w:color w:val="auto"/>
        </w:rPr>
      </w:pPr>
    </w:p>
    <w:p>
      <w:pPr>
        <w:jc w:val="both"/>
        <w:ind w:right="200" w:firstLine="509"/>
        <w:spacing w:after="0" w:line="248" w:lineRule="auto"/>
        <w:rPr>
          <w:sz w:val="20"/>
          <w:szCs w:val="20"/>
          <w:color w:val="auto"/>
        </w:rPr>
      </w:pPr>
      <w:r>
        <w:rPr>
          <w:rFonts w:ascii="Arial" w:cs="Arial" w:eastAsia="Arial" w:hAnsi="Arial"/>
          <w:sz w:val="18"/>
          <w:szCs w:val="18"/>
          <w:color w:val="auto"/>
        </w:rPr>
        <w:t>The Company has a single lease agreement with lease and non-lease components, which are accounted for as a single lease component. Payments for short-term leases, defined as leases with a term of twelve months or less, are expensed on a straight-line basis over the lease term. The Company does not currently have any short-term leases.</w:t>
      </w:r>
    </w:p>
    <w:p>
      <w:pPr>
        <w:spacing w:after="0" w:line="74"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Operating leases are included in operating lease right-of-use assets, operating lease liabilities, and operating lease liabilities, non-current on the Company’s consolidated balance sheets. The Company does not have any finance leases.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04"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Comprehensive loss is defined as a change in equity during a period from transactions and other events and circumstances from non-owner sources. There have been no items qualifying as other comprehensive loss and, therefore, for all periods presented, the Company’s comprehensive loss was the same as its reported net loss.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04" w:lineRule="exact"/>
        <w:rPr>
          <w:sz w:val="20"/>
          <w:szCs w:val="20"/>
          <w:color w:val="auto"/>
        </w:rPr>
      </w:pPr>
    </w:p>
    <w:p>
      <w:pPr>
        <w:ind w:right="200" w:firstLine="509"/>
        <w:spacing w:after="0" w:line="238" w:lineRule="auto"/>
        <w:rPr>
          <w:sz w:val="20"/>
          <w:szCs w:val="20"/>
          <w:color w:val="auto"/>
        </w:rPr>
      </w:pPr>
      <w:r>
        <w:rPr>
          <w:rFonts w:ascii="Arial" w:cs="Arial" w:eastAsia="Arial" w:hAnsi="Arial"/>
          <w:sz w:val="18"/>
          <w:szCs w:val="18"/>
          <w:color w:val="auto"/>
        </w:rPr>
        <w:t>Basic net loss per common share is computed by dividing the net loss by the weighted-average number of common shares outstanding for the period, without consideration for potentially dilutive securities. Diluted net loss per share is computed by dividing the net loss by the weighted-average number of common shares and dilutive common stock equivalents outstanding for the period determined using the treasury-stock method. Dilutive common stock equivalents are comprised of RSUs, common stock options outstanding under the Company’s stock option plan, and contingently issuable shares under the Company's ESPP plan.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 w:name="page9"/>
    <w:bookmarkEnd w:id="8"/>
    <w:p>
      <w:pPr>
        <w:ind w:right="180" w:firstLine="509"/>
        <w:spacing w:after="0" w:line="261"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180" w:type="dxa"/>
            <w:vAlign w:val="bottom"/>
          </w:tcPr>
          <w:p>
            <w:pPr>
              <w:spacing w:after="0"/>
              <w:rPr>
                <w:sz w:val="16"/>
                <w:szCs w:val="16"/>
                <w:color w:val="auto"/>
              </w:rPr>
            </w:pPr>
          </w:p>
        </w:tc>
        <w:tc>
          <w:tcPr>
            <w:tcW w:w="184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180" w:type="dxa"/>
            <w:vAlign w:val="bottom"/>
          </w:tcPr>
          <w:p>
            <w:pPr>
              <w:spacing w:after="0"/>
              <w:rPr>
                <w:sz w:val="14"/>
                <w:szCs w:val="14"/>
                <w:color w:val="auto"/>
              </w:rPr>
            </w:pPr>
          </w:p>
        </w:tc>
        <w:tc>
          <w:tcPr>
            <w:tcW w:w="15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96"/>
        </w:trPr>
        <w:tc>
          <w:tcPr>
            <w:tcW w:w="6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Common stock warrants</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717,674</w:t>
            </w:r>
          </w:p>
        </w:tc>
        <w:tc>
          <w:tcPr>
            <w:tcW w:w="60" w:type="dxa"/>
            <w:vAlign w:val="bottom"/>
            <w:shd w:val="clear" w:color="auto" w:fill="CFF0FC"/>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Common stock options</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2,447,902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641,106</w:t>
            </w:r>
          </w:p>
        </w:tc>
        <w:tc>
          <w:tcPr>
            <w:tcW w:w="60" w:type="dxa"/>
            <w:vAlign w:val="bottom"/>
          </w:tcPr>
          <w:p>
            <w:pPr>
              <w:spacing w:after="0"/>
              <w:rPr>
                <w:sz w:val="17"/>
                <w:szCs w:val="17"/>
                <w:color w:val="auto"/>
              </w:rPr>
            </w:pPr>
          </w:p>
        </w:tc>
      </w:tr>
      <w:tr>
        <w:trPr>
          <w:trHeight w:val="203"/>
        </w:trPr>
        <w:tc>
          <w:tcPr>
            <w:tcW w:w="6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Restricted stock units</w:t>
            </w: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862,573</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1,920,037</w:t>
            </w:r>
          </w:p>
        </w:tc>
        <w:tc>
          <w:tcPr>
            <w:tcW w:w="60" w:type="dxa"/>
            <w:vAlign w:val="bottom"/>
            <w:shd w:val="clear" w:color="auto" w:fill="CFF0FC"/>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ESPP shares</w:t>
            </w: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31,346</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1,512</w:t>
            </w:r>
          </w:p>
        </w:tc>
        <w:tc>
          <w:tcPr>
            <w:tcW w:w="60" w:type="dxa"/>
            <w:vAlign w:val="bottom"/>
          </w:tcPr>
          <w:p>
            <w:pPr>
              <w:spacing w:after="0"/>
              <w:rPr>
                <w:sz w:val="17"/>
                <w:szCs w:val="17"/>
                <w:color w:val="auto"/>
              </w:rPr>
            </w:pPr>
          </w:p>
        </w:tc>
      </w:tr>
      <w:tr>
        <w:trPr>
          <w:trHeight w:val="236"/>
        </w:trPr>
        <w:tc>
          <w:tcPr>
            <w:tcW w:w="61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3,341,821</w:t>
            </w: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3,280,329</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-25400</wp:posOffset>
            </wp:positionV>
            <wp:extent cx="431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-8255</wp:posOffset>
            </wp:positionV>
            <wp:extent cx="431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-25400</wp:posOffset>
            </wp:positionV>
            <wp:extent cx="342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-8255</wp:posOffset>
            </wp:positionV>
            <wp:extent cx="342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There were no new accounting standards that had a material impact on the Company’s consolidated financial statements during the three months ended March 31, 2022, and there were no other new accounting standards or pronouncements that were issued but not yet effective as of March 31, 2022 that the Company expects to have a material impact on its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Balance Sheet Details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191"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6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74"/>
              <w:spacing w:after="0"/>
              <w:rPr>
                <w:sz w:val="20"/>
                <w:szCs w:val="20"/>
                <w:color w:val="auto"/>
              </w:rPr>
            </w:pPr>
            <w:r>
              <w:rPr>
                <w:rFonts w:ascii="Arial" w:cs="Arial" w:eastAsia="Arial" w:hAnsi="Arial"/>
                <w:sz w:val="14"/>
                <w:szCs w:val="14"/>
                <w:b w:val="1"/>
                <w:bCs w:val="1"/>
                <w:color w:val="auto"/>
                <w:w w:val="96"/>
              </w:rPr>
              <w:t>2022</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51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Prepaid research and development</w:t>
            </w:r>
          </w:p>
        </w:tc>
        <w:tc>
          <w:tcPr>
            <w:tcW w:w="7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1,602</w:t>
            </w:r>
          </w:p>
        </w:tc>
        <w:tc>
          <w:tcPr>
            <w:tcW w:w="18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1,811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Prepaid insurance</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2,250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518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Other prepaid expenses and current assets</w:t>
            </w:r>
          </w:p>
        </w:tc>
        <w:tc>
          <w:tcPr>
            <w:tcW w:w="7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739</w:t>
            </w: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502</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518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740" w:type="dxa"/>
            <w:vAlign w:val="bottom"/>
          </w:tcPr>
          <w:p>
            <w:pPr>
              <w:spacing w:after="0"/>
              <w:rPr>
                <w:sz w:val="17"/>
                <w:szCs w:val="17"/>
                <w:color w:val="auto"/>
              </w:rPr>
            </w:pPr>
          </w:p>
        </w:tc>
        <w:tc>
          <w:tcPr>
            <w:tcW w:w="34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4,591</w:t>
            </w:r>
          </w:p>
        </w:tc>
        <w:tc>
          <w:tcPr>
            <w:tcW w:w="180" w:type="dxa"/>
            <w:vAlign w:val="bottom"/>
          </w:tcPr>
          <w:p>
            <w:pPr>
              <w:spacing w:after="0"/>
              <w:rPr>
                <w:sz w:val="17"/>
                <w:szCs w:val="17"/>
                <w:color w:val="auto"/>
              </w:rPr>
            </w:pPr>
          </w:p>
        </w:tc>
        <w:tc>
          <w:tcPr>
            <w:tcW w:w="20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7"/>
                <w:szCs w:val="17"/>
                <w:color w:val="auto"/>
              </w:rPr>
            </w:pPr>
          </w:p>
        </w:tc>
        <w:tc>
          <w:tcPr>
            <w:tcW w:w="10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8"/>
                <w:szCs w:val="18"/>
                <w:color w:val="auto"/>
              </w:rPr>
              <w:t>Property and equipment consist of the following (in thousands):</w:t>
            </w: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5"/>
        </w:trPr>
        <w:tc>
          <w:tcPr>
            <w:tcW w:w="6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4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Furniture, fixtures and office equipment</w:t>
            </w: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4"/>
              </w:rPr>
              <w:t>3 - 7</w:t>
            </w:r>
          </w:p>
        </w:tc>
        <w:tc>
          <w:tcPr>
            <w:tcW w:w="340" w:type="dxa"/>
            <w:vAlign w:val="bottom"/>
            <w:gridSpan w:val="2"/>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2,139</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2,123</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Laboratory equipment</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2,123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518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740" w:type="dxa"/>
            <w:vAlign w:val="bottom"/>
            <w:tcBorders>
              <w:bottom w:val="single" w:sz="8" w:color="CFF0FC"/>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94"/>
              </w:rPr>
              <w:t>2 - 3</w:t>
            </w:r>
          </w:p>
        </w:tc>
        <w:tc>
          <w:tcPr>
            <w:tcW w:w="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3,687</w:t>
            </w: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3,687</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7,956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7,933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51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7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4"/>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(4,561 )</w:t>
            </w:r>
          </w:p>
        </w:tc>
        <w:tc>
          <w:tcPr>
            <w:tcW w:w="12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(4,257 )</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5180" w:type="dxa"/>
            <w:vAlign w:val="bottom"/>
            <w:tcBorders>
              <w:top w:val="single" w:sz="8" w:color="CFF0FC"/>
            </w:tcBorders>
            <w:gridSpan w:val="2"/>
          </w:tcPr>
          <w:p>
            <w:pPr>
              <w:spacing w:after="0" w:line="196" w:lineRule="exact"/>
              <w:rPr>
                <w:sz w:val="20"/>
                <w:szCs w:val="20"/>
                <w:color w:val="auto"/>
              </w:rPr>
            </w:pPr>
            <w:r>
              <w:rPr>
                <w:rFonts w:ascii="Arial" w:cs="Arial" w:eastAsia="Arial" w:hAnsi="Arial"/>
                <w:sz w:val="18"/>
                <w:szCs w:val="18"/>
                <w:color w:val="auto"/>
              </w:rPr>
              <w:t>Total</w:t>
            </w:r>
          </w:p>
        </w:tc>
        <w:tc>
          <w:tcPr>
            <w:tcW w:w="740" w:type="dxa"/>
            <w:vAlign w:val="bottom"/>
            <w:tcBorders>
              <w:top w:val="single" w:sz="8" w:color="CFF0FC"/>
            </w:tcBorders>
          </w:tcPr>
          <w:p>
            <w:pPr>
              <w:spacing w:after="0"/>
              <w:rPr>
                <w:sz w:val="17"/>
                <w:szCs w:val="17"/>
                <w:color w:val="auto"/>
              </w:rPr>
            </w:pPr>
          </w:p>
        </w:tc>
        <w:tc>
          <w:tcPr>
            <w:tcW w:w="460" w:type="dxa"/>
            <w:vAlign w:val="bottom"/>
            <w:tcBorders>
              <w:top w:val="single" w:sz="8" w:color="CFF0FC"/>
            </w:tcBorders>
            <w:gridSpan w:val="3"/>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3,395</w:t>
            </w:r>
          </w:p>
        </w:tc>
        <w:tc>
          <w:tcPr>
            <w:tcW w:w="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3,676</w:t>
            </w:r>
          </w:p>
        </w:tc>
        <w:tc>
          <w:tcPr>
            <w:tcW w:w="4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8"/>
                <w:szCs w:val="18"/>
                <w:color w:val="auto"/>
                <w:w w:val="90"/>
              </w:rPr>
              <w:t>Accounts payable and accrued expenses consist of the following (in thousands):</w:t>
            </w: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0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6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94"/>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51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Accounts payable</w:t>
            </w:r>
          </w:p>
        </w:tc>
        <w:tc>
          <w:tcPr>
            <w:tcW w:w="74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1,199</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1,179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Accrued compensation</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1,037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51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Accrued research and development</w:t>
            </w:r>
          </w:p>
        </w:tc>
        <w:tc>
          <w:tcPr>
            <w:tcW w:w="7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12,671</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13,501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Other accrued expenses</w:t>
            </w:r>
          </w:p>
        </w:tc>
        <w:tc>
          <w:tcPr>
            <w:tcW w:w="7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1,073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0" w:type="dxa"/>
            <w:vAlign w:val="bottom"/>
          </w:tcPr>
          <w:p>
            <w:pPr>
              <w:spacing w:after="0"/>
              <w:rPr>
                <w:sz w:val="20"/>
                <w:szCs w:val="20"/>
                <w:color w:val="auto"/>
              </w:rPr>
            </w:pPr>
          </w:p>
        </w:tc>
        <w:tc>
          <w:tcPr>
            <w:tcW w:w="5180" w:type="dxa"/>
            <w:vAlign w:val="bottom"/>
            <w:tcBorders>
              <w:bottom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7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gridSpan w:val="2"/>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15,754</w:t>
            </w:r>
          </w:p>
        </w:tc>
        <w:tc>
          <w:tcPr>
            <w:tcW w:w="1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18,424</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-2893695</wp:posOffset>
            </wp:positionV>
            <wp:extent cx="3429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-2893695</wp:posOffset>
            </wp:positionV>
            <wp:extent cx="3429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-1727835</wp:posOffset>
            </wp:positionV>
            <wp:extent cx="6032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-1727835</wp:posOffset>
            </wp:positionV>
            <wp:extent cx="5969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-1462405</wp:posOffset>
            </wp:positionV>
            <wp:extent cx="6032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-1462405</wp:posOffset>
            </wp:positionV>
            <wp:extent cx="5969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431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431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342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342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08"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The carrying amounts of the Company’s current financial assets and current financial liabilities are considered to be representative of their respective fair values because of the short-term nature of those instruments. As of March 31, 2022 and December 31, 2021, the Company had no financial assets or liabilities measured at fair value on a recurring basis.</w:t>
      </w:r>
    </w:p>
    <w:p>
      <w:pPr>
        <w:spacing w:after="0" w:line="18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9" w:name="page10"/>
    <w:bookmarkEnd w:id="9"/>
    <w:p>
      <w:pPr>
        <w:ind w:right="180"/>
        <w:spacing w:after="0" w:line="261" w:lineRule="auto"/>
        <w:rPr>
          <w:sz w:val="20"/>
          <w:szCs w:val="20"/>
          <w:color w:val="auto"/>
        </w:rPr>
      </w:pPr>
      <w:r>
        <w:rPr>
          <w:rFonts w:ascii="Arial" w:cs="Arial" w:eastAsia="Arial" w:hAnsi="Arial"/>
          <w:sz w:val="18"/>
          <w:szCs w:val="18"/>
          <w:color w:val="auto"/>
        </w:rPr>
        <w:t>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Unobservable inputs in which there is little or no market data, which require the reporting entity to develop its own assumptions.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08" w:lineRule="exact"/>
        <w:rPr>
          <w:sz w:val="20"/>
          <w:szCs w:val="20"/>
          <w:color w:val="auto"/>
        </w:rPr>
      </w:pPr>
    </w:p>
    <w:p>
      <w:pPr>
        <w:ind w:right="200" w:firstLine="554"/>
        <w:spacing w:after="0" w:line="262" w:lineRule="auto"/>
        <w:rPr>
          <w:sz w:val="20"/>
          <w:szCs w:val="20"/>
          <w:color w:val="auto"/>
        </w:rPr>
      </w:pPr>
      <w:r>
        <w:rPr>
          <w:rFonts w:ascii="Arial" w:cs="Arial" w:eastAsia="Arial" w:hAnsi="Arial"/>
          <w:sz w:val="17"/>
          <w:szCs w:val="17"/>
          <w:color w:val="auto"/>
        </w:rPr>
        <w:t>The Company did not have any outstanding debt as of March 31, 2022 or December 31, 2021. As of March 31, 2021, the Company had $0.7 million outstanding under a promissory note issued pursuant to the Paycheck Protection Program (“PPP”) of the CARES Act. The loan was subsequently forgiven in July 2021 and recognized as other income on the Company's Statement of Operations. For the three months ended March 31, 2022 and 2021, the Company recognized interest expense related to its outstanding debt of $0 and $2,000, respectively.</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08" w:lineRule="exact"/>
        <w:rPr>
          <w:sz w:val="20"/>
          <w:szCs w:val="20"/>
          <w:color w:val="auto"/>
        </w:rPr>
      </w:pPr>
    </w:p>
    <w:p>
      <w:pPr>
        <w:jc w:val="both"/>
        <w:ind w:right="320" w:firstLine="509"/>
        <w:spacing w:after="0" w:line="270" w:lineRule="auto"/>
        <w:rPr>
          <w:sz w:val="20"/>
          <w:szCs w:val="20"/>
          <w:color w:val="auto"/>
        </w:rPr>
      </w:pPr>
      <w:r>
        <w:rPr>
          <w:rFonts w:ascii="Arial" w:cs="Arial" w:eastAsia="Arial" w:hAnsi="Arial"/>
          <w:sz w:val="17"/>
          <w:szCs w:val="17"/>
          <w:color w:val="auto"/>
        </w:rPr>
        <w:t>The Company has a single operating lease for its corporate headquarters and laboratory space in San Diego, California. The lease expires in July 2025 and the Company has an option to extend the term of the lease for an additional five years. Additionally, the lease includes certain rent abatement, rent escalations, tenant improvement allowances and additional charges for common area maintenance and other costs.</w:t>
      </w:r>
    </w:p>
    <w:p>
      <w:pPr>
        <w:spacing w:after="0" w:line="13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components of lease expense included in the Company’s condensed consolidated statements of operations include (in thousands):</w:t>
      </w:r>
    </w:p>
    <w:p>
      <w:pPr>
        <w:spacing w:after="0" w:line="161"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2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83"/>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expense</w:t>
            </w:r>
          </w:p>
        </w:tc>
        <w:tc>
          <w:tcPr>
            <w:tcW w:w="860" w:type="dxa"/>
            <w:vAlign w:val="bottom"/>
            <w:shd w:val="clear" w:color="auto" w:fill="CFF0FC"/>
          </w:tcPr>
          <w:p>
            <w:pPr>
              <w:jc w:val="right"/>
              <w:ind w:right="679"/>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w w:val="86"/>
              </w:rPr>
              <w:t>261</w:t>
            </w:r>
          </w:p>
        </w:tc>
        <w:tc>
          <w:tcPr>
            <w:tcW w:w="1100" w:type="dxa"/>
            <w:vAlign w:val="bottom"/>
            <w:gridSpan w:val="2"/>
            <w:shd w:val="clear" w:color="auto" w:fill="CFF0FC"/>
          </w:tcPr>
          <w:p>
            <w:pPr>
              <w:jc w:val="right"/>
              <w:ind w:right="739"/>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6"/>
              </w:rPr>
              <w:t>261</w:t>
            </w:r>
          </w:p>
        </w:tc>
        <w:tc>
          <w:tcPr>
            <w:tcW w:w="6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Variable lease expense</w:t>
            </w:r>
          </w:p>
        </w:tc>
        <w:tc>
          <w:tcPr>
            <w:tcW w:w="8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100"/>
              <w:spacing w:after="0" w:line="202" w:lineRule="exact"/>
              <w:rPr>
                <w:sz w:val="20"/>
                <w:szCs w:val="20"/>
                <w:color w:val="auto"/>
              </w:rPr>
            </w:pPr>
            <w:r>
              <w:rPr>
                <w:rFonts w:ascii="Arial" w:cs="Arial" w:eastAsia="Arial" w:hAnsi="Arial"/>
                <w:sz w:val="18"/>
                <w:szCs w:val="18"/>
                <w:color w:val="auto"/>
                <w:w w:val="86"/>
              </w:rPr>
              <w:t>132</w:t>
            </w:r>
          </w:p>
        </w:tc>
        <w:tc>
          <w:tcPr>
            <w:tcW w:w="1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6"/>
              </w:rPr>
              <w:t>128</w:t>
            </w:r>
          </w:p>
        </w:tc>
        <w:tc>
          <w:tcPr>
            <w:tcW w:w="60" w:type="dxa"/>
            <w:vAlign w:val="bottom"/>
          </w:tcPr>
          <w:p>
            <w:pPr>
              <w:spacing w:after="0"/>
              <w:rPr>
                <w:sz w:val="17"/>
                <w:szCs w:val="17"/>
                <w:color w:val="auto"/>
              </w:rPr>
            </w:pPr>
          </w:p>
        </w:tc>
      </w:tr>
      <w:tr>
        <w:trPr>
          <w:trHeight w:val="236"/>
        </w:trPr>
        <w:tc>
          <w:tcPr>
            <w:tcW w:w="51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lease expense, net</w:t>
            </w:r>
          </w:p>
        </w:tc>
        <w:tc>
          <w:tcPr>
            <w:tcW w:w="860" w:type="dxa"/>
            <w:vAlign w:val="bottom"/>
            <w:tcBorders>
              <w:bottom w:val="single" w:sz="8" w:color="auto"/>
            </w:tcBorders>
            <w:shd w:val="clear" w:color="auto" w:fill="CFF0FC"/>
          </w:tcPr>
          <w:p>
            <w:pPr>
              <w:jc w:val="right"/>
              <w:ind w:right="679"/>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ind w:left="100"/>
              <w:spacing w:after="0" w:line="196" w:lineRule="exact"/>
              <w:rPr>
                <w:sz w:val="20"/>
                <w:szCs w:val="20"/>
                <w:color w:val="auto"/>
              </w:rPr>
            </w:pPr>
            <w:r>
              <w:rPr>
                <w:rFonts w:ascii="Arial" w:cs="Arial" w:eastAsia="Arial" w:hAnsi="Arial"/>
                <w:sz w:val="18"/>
                <w:szCs w:val="18"/>
                <w:color w:val="auto"/>
                <w:w w:val="86"/>
              </w:rPr>
              <w:t>393</w:t>
            </w:r>
          </w:p>
        </w:tc>
        <w:tc>
          <w:tcPr>
            <w:tcW w:w="18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739"/>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6"/>
              </w:rPr>
              <w:t>389</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-25400</wp:posOffset>
            </wp:positionV>
            <wp:extent cx="431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431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342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342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8" w:lineRule="exact"/>
        <w:rPr>
          <w:sz w:val="20"/>
          <w:szCs w:val="20"/>
          <w:color w:val="auto"/>
        </w:rPr>
      </w:pPr>
    </w:p>
    <w:p>
      <w:pPr>
        <w:ind w:right="160" w:firstLine="464"/>
        <w:spacing w:after="0" w:line="324" w:lineRule="auto"/>
        <w:rPr>
          <w:sz w:val="20"/>
          <w:szCs w:val="20"/>
          <w:color w:val="auto"/>
        </w:rPr>
      </w:pPr>
      <w:r>
        <w:rPr>
          <w:rFonts w:ascii="Arial" w:cs="Arial" w:eastAsia="Arial" w:hAnsi="Arial"/>
          <w:sz w:val="16"/>
          <w:szCs w:val="16"/>
          <w:color w:val="auto"/>
        </w:rPr>
        <w:t>Variable lease costs are primarily related to payments made to lessors for common area maintenance, property taxes, insurance, and other operating expenses. The Company did not have any short-term leases or finance leases for the three months ended March 31, 2022 or 2021, respectively.</w:t>
      </w:r>
    </w:p>
    <w:p>
      <w:pPr>
        <w:spacing w:after="0" w:line="97" w:lineRule="exact"/>
        <w:rPr>
          <w:sz w:val="20"/>
          <w:szCs w:val="20"/>
          <w:color w:val="auto"/>
        </w:rPr>
      </w:pPr>
    </w:p>
    <w:p>
      <w:pPr>
        <w:ind w:left="260" w:right="460" w:firstLine="464"/>
        <w:spacing w:after="0" w:line="261" w:lineRule="auto"/>
        <w:rPr>
          <w:sz w:val="20"/>
          <w:szCs w:val="20"/>
          <w:color w:val="auto"/>
        </w:rPr>
      </w:pPr>
      <w:r>
        <w:rPr>
          <w:rFonts w:ascii="Arial" w:cs="Arial" w:eastAsia="Arial" w:hAnsi="Arial"/>
          <w:sz w:val="18"/>
          <w:szCs w:val="18"/>
          <w:color w:val="auto"/>
        </w:rPr>
        <w:t>The weighted average remaining lease term and weighted average discount rate for operating leases as of March 31, 2022 and 2021 were as follows:</w:t>
      </w:r>
    </w:p>
    <w:p>
      <w:pPr>
        <w:spacing w:after="0" w:line="108" w:lineRule="exact"/>
        <w:rPr>
          <w:sz w:val="20"/>
          <w:szCs w:val="20"/>
          <w:color w:val="auto"/>
        </w:rPr>
      </w:pPr>
    </w:p>
    <w:p>
      <w:pPr>
        <w:ind w:left="7040"/>
        <w:spacing w:after="0"/>
        <w:rPr>
          <w:sz w:val="20"/>
          <w:szCs w:val="20"/>
          <w:color w:val="auto"/>
        </w:rPr>
      </w:pPr>
      <w:r>
        <w:rPr>
          <w:rFonts w:ascii="Arial" w:cs="Arial" w:eastAsia="Arial" w:hAnsi="Arial"/>
          <w:sz w:val="14"/>
          <w:szCs w:val="14"/>
          <w:b w:val="1"/>
          <w:bCs w:val="1"/>
          <w:color w:val="auto"/>
        </w:rPr>
        <w:t>Three Months Ended March 31,</w:t>
      </w:r>
    </w:p>
    <w:p>
      <w:pPr>
        <w:spacing w:after="0" w:line="24"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08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r>
      <w:tr>
        <w:trPr>
          <w:trHeight w:val="183"/>
        </w:trPr>
        <w:tc>
          <w:tcPr>
            <w:tcW w:w="5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gridSpan w:val="3"/>
          </w:tcPr>
          <w:p>
            <w:pPr>
              <w:ind w:left="180"/>
              <w:spacing w:after="0"/>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03"/>
        </w:trPr>
        <w:tc>
          <w:tcPr>
            <w:tcW w:w="58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Weighted average remaining lease term (in years)</w:t>
            </w:r>
          </w:p>
        </w:tc>
        <w:tc>
          <w:tcPr>
            <w:tcW w:w="36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w w:val="85"/>
              </w:rPr>
              <w:t>3.25</w:t>
            </w: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ind w:left="460"/>
              <w:spacing w:after="0" w:line="202" w:lineRule="exact"/>
              <w:rPr>
                <w:sz w:val="20"/>
                <w:szCs w:val="20"/>
                <w:color w:val="auto"/>
              </w:rPr>
            </w:pPr>
            <w:r>
              <w:rPr>
                <w:rFonts w:ascii="Arial" w:cs="Arial" w:eastAsia="Arial" w:hAnsi="Arial"/>
                <w:sz w:val="18"/>
                <w:szCs w:val="18"/>
                <w:color w:val="auto"/>
                <w:w w:val="91"/>
              </w:rPr>
              <w:t>4.25</w:t>
            </w:r>
          </w:p>
        </w:tc>
        <w:tc>
          <w:tcPr>
            <w:tcW w:w="260" w:type="dxa"/>
            <w:vAlign w:val="bottom"/>
            <w:shd w:val="clear" w:color="auto" w:fill="CFF0FC"/>
          </w:tcPr>
          <w:p>
            <w:pPr>
              <w:spacing w:after="0"/>
              <w:rPr>
                <w:sz w:val="17"/>
                <w:szCs w:val="17"/>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Weighted average discount rate percentage</w:t>
            </w: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3.50 %</w:t>
            </w:r>
          </w:p>
        </w:tc>
        <w:tc>
          <w:tcPr>
            <w:tcW w:w="280" w:type="dxa"/>
            <w:vAlign w:val="bottom"/>
          </w:tcPr>
          <w:p>
            <w:pPr>
              <w:spacing w:after="0"/>
              <w:rPr>
                <w:sz w:val="20"/>
                <w:szCs w:val="20"/>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3.50 %</w:t>
            </w:r>
          </w:p>
        </w:tc>
      </w:tr>
    </w:tbl>
    <w:p>
      <w:pPr>
        <w:spacing w:after="0" w:line="16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Supplemental cash flow information related to leases under which the Company is the lessee was as follows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120" w:type="dxa"/>
            <w:vAlign w:val="bottom"/>
          </w:tcPr>
          <w:p>
            <w:pPr>
              <w:spacing w:after="0"/>
              <w:rPr>
                <w:sz w:val="14"/>
                <w:szCs w:val="14"/>
                <w:color w:val="auto"/>
              </w:rPr>
            </w:pPr>
          </w:p>
        </w:tc>
      </w:tr>
      <w:tr>
        <w:trPr>
          <w:trHeight w:val="183"/>
        </w:trPr>
        <w:tc>
          <w:tcPr>
            <w:tcW w:w="114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3"/>
          </w:tcPr>
          <w:p>
            <w:pPr>
              <w:ind w:left="80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1140" w:type="dxa"/>
            <w:vAlign w:val="bottom"/>
          </w:tcPr>
          <w:p>
            <w:pPr>
              <w:spacing w:after="0"/>
              <w:rPr>
                <w:sz w:val="17"/>
                <w:szCs w:val="17"/>
                <w:color w:val="auto"/>
              </w:rPr>
            </w:pPr>
          </w:p>
        </w:tc>
        <w:tc>
          <w:tcPr>
            <w:tcW w:w="6020" w:type="dxa"/>
            <w:vAlign w:val="bottom"/>
            <w:shd w:val="clear" w:color="auto" w:fill="CFF0FC"/>
          </w:tcPr>
          <w:p>
            <w:pPr>
              <w:jc w:val="right"/>
              <w:ind w:right="790"/>
              <w:spacing w:after="0" w:line="202" w:lineRule="exact"/>
              <w:rPr>
                <w:sz w:val="20"/>
                <w:szCs w:val="20"/>
                <w:color w:val="auto"/>
              </w:rPr>
            </w:pPr>
            <w:r>
              <w:rPr>
                <w:rFonts w:ascii="Arial" w:cs="Arial" w:eastAsia="Arial" w:hAnsi="Arial"/>
                <w:sz w:val="18"/>
                <w:szCs w:val="18"/>
                <w:color w:val="auto"/>
                <w:w w:val="89"/>
              </w:rPr>
              <w:t>Cash paid for amounts included in the measurement of operating leases</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ind w:left="780"/>
              <w:spacing w:after="0" w:line="202" w:lineRule="exact"/>
              <w:rPr>
                <w:sz w:val="20"/>
                <w:szCs w:val="20"/>
                <w:color w:val="auto"/>
              </w:rPr>
            </w:pPr>
            <w:r>
              <w:rPr>
                <w:rFonts w:ascii="Arial" w:cs="Arial" w:eastAsia="Arial" w:hAnsi="Arial"/>
                <w:sz w:val="18"/>
                <w:szCs w:val="18"/>
                <w:color w:val="auto"/>
                <w:w w:val="93"/>
              </w:rPr>
              <w:t>377</w:t>
            </w:r>
          </w:p>
        </w:tc>
        <w:tc>
          <w:tcPr>
            <w:tcW w:w="58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316</w:t>
            </w:r>
          </w:p>
        </w:tc>
        <w:tc>
          <w:tcPr>
            <w:tcW w:w="1120" w:type="dxa"/>
            <w:vAlign w:val="bottom"/>
          </w:tcPr>
          <w:p>
            <w:pPr>
              <w:spacing w:after="0"/>
              <w:rPr>
                <w:sz w:val="17"/>
                <w:szCs w:val="17"/>
                <w:color w:val="auto"/>
              </w:rPr>
            </w:pPr>
          </w:p>
        </w:tc>
      </w:tr>
      <w:tr>
        <w:trPr>
          <w:trHeight w:val="418"/>
        </w:trPr>
        <w:tc>
          <w:tcPr>
            <w:tcW w:w="1140" w:type="dxa"/>
            <w:vAlign w:val="bottom"/>
          </w:tcPr>
          <w:p>
            <w:pPr>
              <w:spacing w:after="0"/>
              <w:rPr>
                <w:sz w:val="24"/>
                <w:szCs w:val="24"/>
                <w:color w:val="auto"/>
              </w:rPr>
            </w:pPr>
          </w:p>
        </w:tc>
        <w:tc>
          <w:tcPr>
            <w:tcW w:w="6020" w:type="dxa"/>
            <w:vAlign w:val="bottom"/>
          </w:tcPr>
          <w:p>
            <w:pPr>
              <w:jc w:val="right"/>
              <w:ind w:right="141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60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 w:name="page11"/>
    <w:bookmarkEnd w:id="10"/>
    <w:p>
      <w:pPr>
        <w:ind w:right="780" w:firstLine="464"/>
        <w:spacing w:after="0" w:line="261" w:lineRule="auto"/>
        <w:rPr>
          <w:sz w:val="20"/>
          <w:szCs w:val="20"/>
          <w:color w:val="auto"/>
        </w:rPr>
      </w:pPr>
      <w:r>
        <w:rPr>
          <w:rFonts w:ascii="Arial" w:cs="Arial" w:eastAsia="Arial" w:hAnsi="Arial"/>
          <w:sz w:val="18"/>
          <w:szCs w:val="18"/>
          <w:color w:val="auto"/>
        </w:rPr>
        <w:t>As of March 31, 2022, future minimum payments under the Company's non-cancelable operating lease under ASC 842 were as follows (in thousands):</w:t>
      </w:r>
    </w:p>
    <w:p>
      <w:pPr>
        <w:spacing w:after="0" w:line="6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6"/>
              </w:rPr>
              <w:t>Operating</w:t>
            </w:r>
          </w:p>
        </w:tc>
      </w:tr>
      <w:tr>
        <w:trPr>
          <w:trHeight w:val="185"/>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79"/>
              </w:rPr>
              <w:t>lease</w:t>
            </w:r>
          </w:p>
        </w:tc>
      </w:tr>
      <w:tr>
        <w:trPr>
          <w:trHeight w:val="19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Nine months ending December 31, 2022</w:t>
            </w: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1,178</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1,636</w:t>
            </w: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1,685</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845</w:t>
            </w: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Thereafter</w:t>
            </w:r>
          </w:p>
        </w:tc>
        <w:tc>
          <w:tcPr>
            <w:tcW w:w="2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196"/>
        </w:trPr>
        <w:tc>
          <w:tcPr>
            <w:tcW w:w="62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Total future lease payments</w:t>
            </w:r>
          </w:p>
        </w:tc>
        <w:tc>
          <w:tcPr>
            <w:tcW w:w="2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5,344</w:t>
            </w:r>
          </w:p>
        </w:tc>
        <w:tc>
          <w:tcPr>
            <w:tcW w:w="100" w:type="dxa"/>
            <w:vAlign w:val="bottom"/>
            <w:tcBorders>
              <w:top w:val="single" w:sz="8" w:color="CFF0FC"/>
            </w:tcBorders>
          </w:tcPr>
          <w:p>
            <w:pPr>
              <w:spacing w:after="0"/>
              <w:rPr>
                <w:sz w:val="17"/>
                <w:szCs w:val="17"/>
                <w:color w:val="auto"/>
              </w:rPr>
            </w:pPr>
          </w:p>
        </w:tc>
      </w:tr>
      <w:tr>
        <w:trPr>
          <w:trHeight w:val="196"/>
        </w:trPr>
        <w:tc>
          <w:tcPr>
            <w:tcW w:w="62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Less: imputed interest</w:t>
            </w:r>
          </w:p>
        </w:tc>
        <w:tc>
          <w:tcPr>
            <w:tcW w:w="2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(304</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6200" w:type="dxa"/>
            <w:vAlign w:val="bottom"/>
          </w:tcPr>
          <w:p>
            <w:pPr>
              <w:spacing w:after="0" w:line="196" w:lineRule="exact"/>
              <w:rPr>
                <w:sz w:val="20"/>
                <w:szCs w:val="20"/>
                <w:color w:val="auto"/>
              </w:rPr>
            </w:pPr>
            <w:r>
              <w:rPr>
                <w:rFonts w:ascii="Arial" w:cs="Arial" w:eastAsia="Arial" w:hAnsi="Arial"/>
                <w:sz w:val="18"/>
                <w:szCs w:val="18"/>
                <w:color w:val="auto"/>
              </w:rPr>
              <w:t>Total operating lease liabilities</w:t>
            </w: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5,040</w:t>
            </w:r>
          </w:p>
        </w:tc>
        <w:tc>
          <w:tcPr>
            <w:tcW w:w="100" w:type="dxa"/>
            <w:vAlign w:val="bottom"/>
          </w:tcPr>
          <w:p>
            <w:pPr>
              <w:spacing w:after="0"/>
              <w:rPr>
                <w:sz w:val="17"/>
                <w:szCs w:val="17"/>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-433705</wp:posOffset>
            </wp:positionV>
            <wp:extent cx="6032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-159385</wp:posOffset>
            </wp:positionV>
            <wp:extent cx="6032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08"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0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The Company may grant awards of common stock under the 2020 Equity Incentive Plan (the "2020 Plan") to the Company’s employees, consultants and non-employee directors pursuant to option awards, stock appreciation rights awards, restricted stock awards, restricted stock unit awards, performance stock awards, performance stock unit awards and other stock-based awards. As of March 31, 2022 and December 31, 2021, the total number of common shares authorized for issuance under the 2020 Plan was 7,658,509 and 6,226,540, respectively. On January 1st of each year, commencing with the first January 1st following the effective date of the 2020 Plan, the shares authorized for issuance under the 2020 Plan shall be increased by a number of shares equal to the lesser of 4% of the total number of shares outstanding on the immediately preceding December 31st and such lesser number of shares determined by the Company’s board of directors. The maximum term of the options granted under the 2020 Plan is no more than ten years. Awards under the 2020 Plan generally vest at 25% one year from the vesting commencement date and ratably each month thereafter for a period of 36 months, subject to continuous service.</w:t>
      </w:r>
    </w:p>
    <w:p>
      <w:pPr>
        <w:spacing w:after="0" w:line="184" w:lineRule="exact"/>
        <w:rPr>
          <w:sz w:val="20"/>
          <w:szCs w:val="20"/>
          <w:color w:val="auto"/>
        </w:rPr>
      </w:pPr>
    </w:p>
    <w:p>
      <w:pPr>
        <w:ind w:right="780" w:firstLine="509"/>
        <w:spacing w:after="0" w:line="261" w:lineRule="auto"/>
        <w:rPr>
          <w:sz w:val="20"/>
          <w:szCs w:val="20"/>
          <w:color w:val="auto"/>
        </w:rPr>
      </w:pPr>
      <w:r>
        <w:rPr>
          <w:rFonts w:ascii="Arial" w:cs="Arial" w:eastAsia="Arial" w:hAnsi="Arial"/>
          <w:sz w:val="18"/>
          <w:szCs w:val="18"/>
          <w:color w:val="auto"/>
        </w:rPr>
        <w:t>Stock-based compensation expense for the three months ended March 31, 2022 and 2021 has been reported in the condensed consolidated statements of operations and comprehensive loss as follows (in thousands):</w:t>
      </w:r>
    </w:p>
    <w:p>
      <w:pPr>
        <w:spacing w:after="0" w:line="162" w:lineRule="exact"/>
        <w:rPr>
          <w:sz w:val="20"/>
          <w:szCs w:val="20"/>
          <w:color w:val="auto"/>
        </w:rPr>
      </w:pPr>
    </w:p>
    <w:p>
      <w:pPr>
        <w:jc w:val="center"/>
        <w:ind w:left="42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24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2260" w:type="dxa"/>
        <w:tblCellMar>
          <w:top w:w="0" w:type="dxa"/>
          <w:left w:w="0" w:type="dxa"/>
          <w:bottom w:w="0" w:type="dxa"/>
          <w:right w:w="0" w:type="dxa"/>
        </w:tblCellMar>
      </w:tblPr>
      <w:tr>
        <w:trPr>
          <w:trHeight w:val="169"/>
        </w:trPr>
        <w:tc>
          <w:tcPr>
            <w:tcW w:w="43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96"/>
        </w:trPr>
        <w:tc>
          <w:tcPr>
            <w:tcW w:w="4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FF0FC"/>
          </w:tcPr>
          <w:p>
            <w:pPr>
              <w:jc w:val="right"/>
              <w:ind w:right="516"/>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4"/>
              </w:rPr>
              <w:t>1,300</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954</w:t>
            </w:r>
          </w:p>
        </w:tc>
        <w:tc>
          <w:tcPr>
            <w:tcW w:w="60" w:type="dxa"/>
            <w:vAlign w:val="bottom"/>
            <w:shd w:val="clear" w:color="auto" w:fill="CFF0FC"/>
          </w:tcPr>
          <w:p>
            <w:pPr>
              <w:spacing w:after="0"/>
              <w:rPr>
                <w:sz w:val="17"/>
                <w:szCs w:val="17"/>
                <w:color w:val="auto"/>
              </w:rPr>
            </w:pPr>
          </w:p>
        </w:tc>
      </w:tr>
      <w:tr>
        <w:trPr>
          <w:trHeight w:val="203"/>
        </w:trPr>
        <w:tc>
          <w:tcPr>
            <w:tcW w:w="4300" w:type="dxa"/>
            <w:vAlign w:val="bottom"/>
            <w:tcBorders>
              <w:bottom w:val="single" w:sz="8" w:color="CFF0FC"/>
            </w:tcBorders>
          </w:tcPr>
          <w:p>
            <w:pPr>
              <w:spacing w:after="0" w:line="202" w:lineRule="exact"/>
              <w:rPr>
                <w:sz w:val="20"/>
                <w:szCs w:val="20"/>
                <w:color w:val="auto"/>
              </w:rPr>
            </w:pPr>
            <w:r>
              <w:rPr>
                <w:rFonts w:ascii="Arial" w:cs="Arial" w:eastAsia="Arial" w:hAnsi="Arial"/>
                <w:sz w:val="18"/>
                <w:szCs w:val="18"/>
                <w:color w:val="auto"/>
              </w:rPr>
              <w:t>General and administrative</w:t>
            </w:r>
          </w:p>
        </w:tc>
        <w:tc>
          <w:tcPr>
            <w:tcW w:w="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4"/>
              </w:rPr>
              <w:t>2,332</w:t>
            </w:r>
          </w:p>
        </w:tc>
        <w:tc>
          <w:tcPr>
            <w:tcW w:w="1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3,689</w:t>
            </w:r>
          </w:p>
        </w:tc>
        <w:tc>
          <w:tcPr>
            <w:tcW w:w="60" w:type="dxa"/>
            <w:vAlign w:val="bottom"/>
            <w:tcBorders>
              <w:bottom w:val="single" w:sz="8" w:color="CFF0FC"/>
            </w:tcBorders>
          </w:tcPr>
          <w:p>
            <w:pPr>
              <w:spacing w:after="0"/>
              <w:rPr>
                <w:sz w:val="17"/>
                <w:szCs w:val="17"/>
                <w:color w:val="auto"/>
              </w:rPr>
            </w:pPr>
          </w:p>
        </w:tc>
      </w:tr>
      <w:tr>
        <w:trPr>
          <w:trHeight w:val="236"/>
        </w:trPr>
        <w:tc>
          <w:tcPr>
            <w:tcW w:w="43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shd w:val="clear" w:color="auto" w:fill="CFF0FC"/>
          </w:tcPr>
          <w:p>
            <w:pPr>
              <w:jc w:val="right"/>
              <w:ind w:right="516"/>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4"/>
              </w:rPr>
              <w:t>3,632</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4,643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-24765</wp:posOffset>
            </wp:positionV>
            <wp:extent cx="431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431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-161925</wp:posOffset>
            </wp:positionV>
            <wp:extent cx="431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-161925</wp:posOffset>
            </wp:positionV>
            <wp:extent cx="342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RSU activity under the 2020 Plan for the three months ended March 31, 2022:</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Number of</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 Average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right="196"/>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220" w:type="dxa"/>
            <w:vAlign w:val="bottom"/>
          </w:tcPr>
          <w:p>
            <w:pPr>
              <w:jc w:val="center"/>
              <w:ind w:right="216"/>
              <w:spacing w:after="0"/>
              <w:rPr>
                <w:sz w:val="20"/>
                <w:szCs w:val="20"/>
                <w:color w:val="auto"/>
              </w:rPr>
            </w:pPr>
            <w:r>
              <w:rPr>
                <w:rFonts w:ascii="Arial" w:cs="Arial" w:eastAsia="Arial" w:hAnsi="Arial"/>
                <w:sz w:val="14"/>
                <w:szCs w:val="14"/>
                <w:b w:val="1"/>
                <w:bCs w:val="1"/>
                <w:color w:val="auto"/>
                <w:w w:val="95"/>
              </w:rPr>
              <w:t>Fair Value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December 31, 2021</w:t>
            </w:r>
          </w:p>
        </w:tc>
        <w:tc>
          <w:tcPr>
            <w:tcW w:w="2420" w:type="dxa"/>
            <w:vAlign w:val="bottom"/>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975,046</w:t>
            </w: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18.00</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48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2420" w:type="dxa"/>
            <w:vAlign w:val="bottom"/>
          </w:tcPr>
          <w:p>
            <w:pPr>
              <w:spacing w:after="0"/>
              <w:rPr>
                <w:sz w:val="17"/>
                <w:szCs w:val="17"/>
                <w:color w:val="auto"/>
              </w:rPr>
            </w:pPr>
          </w:p>
        </w:tc>
        <w:tc>
          <w:tcPr>
            <w:tcW w:w="16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4"/>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4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Vested</w:t>
            </w:r>
          </w:p>
        </w:tc>
        <w:tc>
          <w:tcPr>
            <w:tcW w:w="24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(112,473 )</w:t>
            </w:r>
          </w:p>
        </w:tc>
        <w:tc>
          <w:tcPr>
            <w:tcW w:w="22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18.00</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8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Outstanding at March 31, 2022</w:t>
            </w:r>
          </w:p>
        </w:tc>
        <w:tc>
          <w:tcPr>
            <w:tcW w:w="2420" w:type="dxa"/>
            <w:vAlign w:val="bottom"/>
            <w:tcBorders>
              <w:top w:val="single" w:sz="8" w:color="CFF0FC"/>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862,573</w:t>
            </w: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jc w:val="right"/>
              <w:ind w:right="34"/>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18.00</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20" w:type="dxa"/>
            <w:vAlign w:val="bottom"/>
            <w:vMerge w:val="restart"/>
          </w:tcPr>
          <w:p>
            <w:pPr>
              <w:jc w:val="right"/>
              <w:ind w:right="1290"/>
              <w:spacing w:after="0"/>
              <w:rPr>
                <w:sz w:val="20"/>
                <w:szCs w:val="20"/>
                <w:color w:val="auto"/>
              </w:rPr>
            </w:pPr>
            <w:r>
              <w:rPr>
                <w:rFonts w:ascii="Arial" w:cs="Arial" w:eastAsia="Arial" w:hAnsi="Arial"/>
                <w:sz w:val="18"/>
                <w:szCs w:val="18"/>
                <w:color w:val="auto"/>
              </w:rPr>
              <w:t>9</w:t>
            </w: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3480" w:type="dxa"/>
            <w:vAlign w:val="bottom"/>
            <w:tcBorders>
              <w:bottom w:val="single" w:sz="8" w:color="9A9A9A"/>
            </w:tcBorders>
          </w:tcPr>
          <w:p>
            <w:pPr>
              <w:spacing w:after="0"/>
              <w:rPr>
                <w:sz w:val="7"/>
                <w:szCs w:val="7"/>
                <w:color w:val="auto"/>
              </w:rPr>
            </w:pPr>
          </w:p>
        </w:tc>
        <w:tc>
          <w:tcPr>
            <w:tcW w:w="242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-493395</wp:posOffset>
            </wp:positionV>
            <wp:extent cx="5969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 w:name="page12"/>
    <w:bookmarkEnd w:id="11"/>
    <w:p>
      <w:pPr>
        <w:jc w:val="both"/>
        <w:ind w:right="120" w:firstLine="509"/>
        <w:spacing w:after="0" w:line="248" w:lineRule="auto"/>
        <w:rPr>
          <w:sz w:val="20"/>
          <w:szCs w:val="20"/>
          <w:color w:val="auto"/>
        </w:rPr>
      </w:pPr>
      <w:r>
        <w:rPr>
          <w:rFonts w:ascii="Arial" w:cs="Arial" w:eastAsia="Arial" w:hAnsi="Arial"/>
          <w:sz w:val="18"/>
          <w:szCs w:val="18"/>
          <w:color w:val="auto"/>
        </w:rPr>
        <w:t>As of March 31, 2022, total unrecognized stock-based compensation expense for RSUs was $15.5 million, which is expected to be recognized over a remaining weighted-average period of approximately 2.0 years. During the three months ended March 31, 2021, the Company modified 138,461 RSU's under the Transition Agreement (See Note 9).</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under the 2020 Plan for the three months ended March 31, 2022:</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92"/>
              </w:rPr>
              <w:t>Weighted -</w:t>
            </w:r>
          </w:p>
        </w:tc>
        <w:tc>
          <w:tcPr>
            <w:tcW w:w="2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89"/>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6"/>
              </w:rPr>
              <w:t>Exercise</w:t>
            </w: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5"/>
              </w:rPr>
              <w:t>Price Per</w:t>
            </w: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5"/>
              </w:rPr>
              <w:t>Intrinsic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11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7"/>
              </w:rPr>
              <w:t>Share</w:t>
            </w:r>
          </w:p>
        </w:tc>
        <w:tc>
          <w:tcPr>
            <w:tcW w:w="20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 Years)</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2021</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1,086,902</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26.76</w:t>
            </w: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9.22</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991,495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1,391,000</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6.68</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Exercised</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line="182" w:lineRule="exact"/>
              <w:rPr>
                <w:sz w:val="20"/>
                <w:szCs w:val="20"/>
                <w:color w:val="auto"/>
              </w:rPr>
            </w:pPr>
            <w:r>
              <w:rPr>
                <w:rFonts w:ascii="Arial" w:cs="Arial" w:eastAsia="Arial" w:hAnsi="Arial"/>
                <w:sz w:val="18"/>
                <w:szCs w:val="18"/>
                <w:color w:val="auto"/>
              </w:rPr>
              <w:t>Balance at March 31, 2022</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2,477,902</w:t>
            </w:r>
          </w:p>
        </w:tc>
        <w:tc>
          <w:tcPr>
            <w:tcW w:w="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15.49</w:t>
            </w:r>
          </w:p>
        </w:tc>
        <w:tc>
          <w:tcPr>
            <w:tcW w:w="13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9.49</w:t>
            </w:r>
          </w:p>
        </w:tc>
        <w:tc>
          <w:tcPr>
            <w:tcW w:w="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3,000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Vested and expected to vest at March 31, 2022</w:t>
            </w:r>
          </w:p>
        </w:tc>
        <w:tc>
          <w:tcPr>
            <w:tcW w:w="1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2,477,902</w:t>
            </w:r>
          </w:p>
        </w:tc>
        <w:tc>
          <w:tcPr>
            <w:tcW w:w="4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15.49</w:t>
            </w:r>
          </w:p>
        </w:tc>
        <w:tc>
          <w:tcPr>
            <w:tcW w:w="136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9.49</w:t>
            </w:r>
          </w:p>
        </w:tc>
        <w:tc>
          <w:tcPr>
            <w:tcW w:w="3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3,000</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820" w:type="dxa"/>
            <w:vAlign w:val="bottom"/>
          </w:tcPr>
          <w:p>
            <w:pPr>
              <w:ind w:left="20"/>
              <w:spacing w:after="0" w:line="182" w:lineRule="exact"/>
              <w:rPr>
                <w:sz w:val="20"/>
                <w:szCs w:val="20"/>
                <w:color w:val="auto"/>
              </w:rPr>
            </w:pPr>
            <w:r>
              <w:rPr>
                <w:rFonts w:ascii="Arial" w:cs="Arial" w:eastAsia="Arial" w:hAnsi="Arial"/>
                <w:sz w:val="18"/>
                <w:szCs w:val="18"/>
                <w:color w:val="auto"/>
              </w:rPr>
              <w:t>Exercisable at March 31, 2022</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209,947</w:t>
            </w:r>
          </w:p>
        </w:tc>
        <w:tc>
          <w:tcPr>
            <w:tcW w:w="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25.46</w:t>
            </w:r>
          </w:p>
        </w:tc>
        <w:tc>
          <w:tcPr>
            <w:tcW w:w="13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8.81</w:t>
            </w:r>
          </w:p>
        </w:tc>
        <w:tc>
          <w:tcPr>
            <w:tcW w:w="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-179705</wp:posOffset>
            </wp:positionV>
            <wp:extent cx="596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-162560</wp:posOffset>
            </wp:positionV>
            <wp:extent cx="596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95"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As of March 31, 2022, total unrecognized stock-based compensation cost for unvested common stock options was $19.6 million, which is expected to be recognized over a remaining weighted-average period of approximately 3.5 years. The weighted- average grant date fair value of stock options granted during the three months ended March 31, 2022 was $4.42 per share. The total fair value of options vested during the three months ended March 31, 2022 was $0.9 million. During the three months ended March 31, 2021 the Company modified 7,747 stock options under the Transition Agreement (See Note 9).</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in the Black-Scholes option pricing model to determine the fair value of stock option grants were as follows:</w:t>
      </w:r>
    </w:p>
    <w:p>
      <w:pPr>
        <w:spacing w:after="0" w:line="195" w:lineRule="exact"/>
        <w:rPr>
          <w:sz w:val="20"/>
          <w:szCs w:val="20"/>
          <w:color w:val="auto"/>
        </w:rPr>
      </w:pPr>
    </w:p>
    <w:p>
      <w:pPr>
        <w:jc w:val="center"/>
        <w:ind w:left="5060"/>
        <w:spacing w:after="0"/>
        <w:rPr>
          <w:sz w:val="20"/>
          <w:szCs w:val="20"/>
          <w:color w:val="auto"/>
        </w:rPr>
      </w:pPr>
      <w:r>
        <w:rPr>
          <w:rFonts w:ascii="Arial" w:cs="Arial" w:eastAsia="Arial" w:hAnsi="Arial"/>
          <w:sz w:val="16"/>
          <w:szCs w:val="16"/>
          <w:b w:val="1"/>
          <w:bCs w:val="1"/>
          <w:color w:val="auto"/>
        </w:rPr>
        <w:t>Three Months Ended</w:t>
      </w:r>
    </w:p>
    <w:p>
      <w:pPr>
        <w:jc w:val="center"/>
        <w:ind w:left="5060"/>
        <w:spacing w:after="0"/>
        <w:rPr>
          <w:sz w:val="20"/>
          <w:szCs w:val="20"/>
          <w:color w:val="auto"/>
        </w:rPr>
      </w:pPr>
      <w:r>
        <w:rPr>
          <w:rFonts w:ascii="Arial" w:cs="Arial" w:eastAsia="Arial" w:hAnsi="Arial"/>
          <w:sz w:val="16"/>
          <w:szCs w:val="16"/>
          <w:b w:val="1"/>
          <w:bCs w:val="1"/>
          <w:color w:val="auto"/>
        </w:rPr>
        <w:t>March 31,</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060" w:type="dxa"/>
            <w:vAlign w:val="bottom"/>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2"/>
          </w:tcPr>
          <w:p>
            <w:pPr>
              <w:jc w:val="right"/>
              <w:ind w:right="690"/>
              <w:spacing w:after="0"/>
              <w:rPr>
                <w:sz w:val="20"/>
                <w:szCs w:val="20"/>
                <w:color w:val="auto"/>
              </w:rPr>
            </w:pPr>
            <w:r>
              <w:rPr>
                <w:rFonts w:ascii="Arial" w:cs="Arial" w:eastAsia="Arial" w:hAnsi="Arial"/>
                <w:sz w:val="14"/>
                <w:szCs w:val="14"/>
                <w:b w:val="1"/>
                <w:bCs w:val="1"/>
                <w:color w:val="auto"/>
              </w:rPr>
              <w:t>2021</w:t>
            </w:r>
          </w:p>
        </w:tc>
      </w:tr>
      <w:tr>
        <w:trPr>
          <w:trHeight w:val="196"/>
        </w:trPr>
        <w:tc>
          <w:tcPr>
            <w:tcW w:w="5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Expected volatility</w:t>
            </w:r>
          </w:p>
        </w:tc>
        <w:tc>
          <w:tcPr>
            <w:tcW w:w="1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74.6%</w:t>
            </w:r>
          </w:p>
        </w:tc>
        <w:tc>
          <w:tcPr>
            <w:tcW w:w="200" w:type="dxa"/>
            <w:vAlign w:val="bottom"/>
            <w:shd w:val="clear" w:color="auto" w:fill="CFF0FC"/>
          </w:tcPr>
          <w:p>
            <w:pPr>
              <w:spacing w:after="0"/>
              <w:rPr>
                <w:sz w:val="17"/>
                <w:szCs w:val="17"/>
                <w:color w:val="auto"/>
              </w:rPr>
            </w:pPr>
          </w:p>
        </w:tc>
        <w:tc>
          <w:tcPr>
            <w:tcW w:w="1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76.4%</w:t>
            </w: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Risk-free interest rate</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1.88%</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0.52%</w:t>
            </w:r>
          </w:p>
        </w:tc>
      </w:tr>
      <w:tr>
        <w:trPr>
          <w:trHeight w:val="203"/>
        </w:trPr>
        <w:tc>
          <w:tcPr>
            <w:tcW w:w="61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Expected dividend yield</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w:t>
            </w:r>
          </w:p>
        </w:tc>
        <w:tc>
          <w:tcPr>
            <w:tcW w:w="2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0.0%</w:t>
            </w: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Expected term</w:t>
            </w:r>
          </w:p>
        </w:tc>
        <w:tc>
          <w:tcPr>
            <w:tcW w:w="760" w:type="dxa"/>
            <w:vAlign w:val="bottom"/>
          </w:tcPr>
          <w:p>
            <w:pPr>
              <w:jc w:val="right"/>
              <w:spacing w:after="0"/>
              <w:rPr>
                <w:sz w:val="20"/>
                <w:szCs w:val="20"/>
                <w:color w:val="auto"/>
              </w:rPr>
            </w:pPr>
            <w:r>
              <w:rPr>
                <w:rFonts w:ascii="Arial" w:cs="Arial" w:eastAsia="Arial" w:hAnsi="Arial"/>
                <w:sz w:val="18"/>
                <w:szCs w:val="18"/>
                <w:color w:val="auto"/>
                <w:w w:val="85"/>
              </w:rPr>
              <w:t>4.42 years</w:t>
            </w:r>
          </w:p>
        </w:tc>
        <w:tc>
          <w:tcPr>
            <w:tcW w:w="2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4.77 years</w:t>
            </w:r>
          </w:p>
        </w:tc>
      </w:tr>
    </w:tbl>
    <w:p>
      <w:pPr>
        <w:spacing w:after="0" w:line="201" w:lineRule="exact"/>
        <w:rPr>
          <w:sz w:val="20"/>
          <w:szCs w:val="20"/>
          <w:color w:val="auto"/>
        </w:rPr>
      </w:pPr>
    </w:p>
    <w:p>
      <w:pPr>
        <w:ind w:right="420" w:firstLine="509"/>
        <w:spacing w:after="0" w:line="248"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the Company’s common stock does not have a significant trading history, the expected volatility assumption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volatilities of a peer group of similar companies whose share prices are publicly available. The peer group was developed based on companies in the biotechnology industry.</w:t>
      </w:r>
    </w:p>
    <w:p>
      <w:pPr>
        <w:spacing w:after="0" w:line="182"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Company bases the risk-free interest rate assumption on the U.S. Treasury’s rates for U.S. Treasury zero-coupon bonds</w:t>
      </w:r>
      <w:r>
        <w:rPr>
          <w:rFonts w:ascii="Arial" w:cs="Arial" w:eastAsia="Arial" w:hAnsi="Arial"/>
          <w:sz w:val="18"/>
          <w:szCs w:val="18"/>
          <w:i w:val="1"/>
          <w:iCs w:val="1"/>
          <w:color w:val="auto"/>
        </w:rPr>
        <w:t xml:space="preserve"> </w:t>
      </w:r>
      <w:r>
        <w:rPr>
          <w:rFonts w:ascii="Arial" w:cs="Arial" w:eastAsia="Arial" w:hAnsi="Arial"/>
          <w:sz w:val="18"/>
          <w:szCs w:val="18"/>
          <w:color w:val="auto"/>
        </w:rPr>
        <w:t>with maturities similar to those of the expected term of the award being valued.</w:t>
      </w:r>
    </w:p>
    <w:p>
      <w:pPr>
        <w:spacing w:after="0" w:line="171"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bases the expected dividend yield assumption on the fact that it has never paid cash dividends and has no</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plans to pay cash dividends.</w:t>
      </w:r>
    </w:p>
    <w:p>
      <w:pPr>
        <w:spacing w:after="0" w:line="171" w:lineRule="exact"/>
        <w:rPr>
          <w:sz w:val="20"/>
          <w:szCs w:val="20"/>
          <w:color w:val="auto"/>
        </w:rPr>
      </w:pPr>
    </w:p>
    <w:p>
      <w:pPr>
        <w:ind w:right="240" w:firstLine="509"/>
        <w:spacing w:after="0" w:line="270"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For employees, the expected term represents the period of time that options are expected to be outstanding. Because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has minimal historical exercise behavior, it determines the expected life assumption using the simplified method, which is an average of the contractual term of the option and its vesting period. For nonemployees, the expected term is generally the contractual term of the option.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0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BioAtla, Inc. Employee Stock Purchase Plan (the “ESPP”) permits participants to purchase common stock through payroll deductions of up to 15% of their eligible compensation. As of March 31, 2022 and December 31, 2021, a total of 1,229,148 shares and 833,993 shares, respectively, of common stock were authorized for issuance under the ESPP. The number of shares of common stock authorized for issuance will automatically increase on January 1 of each calendar year, from January 1, 2021 through January 1, 2030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 w:name="page13"/>
    <w:bookmarkEnd w:id="12"/>
    <w:p>
      <w:pPr>
        <w:ind w:right="40"/>
        <w:spacing w:after="0" w:line="279" w:lineRule="auto"/>
        <w:rPr>
          <w:sz w:val="20"/>
          <w:szCs w:val="20"/>
          <w:color w:val="auto"/>
        </w:rPr>
      </w:pPr>
      <w:r>
        <w:rPr>
          <w:rFonts w:ascii="Arial" w:cs="Arial" w:eastAsia="Arial" w:hAnsi="Arial"/>
          <w:sz w:val="16"/>
          <w:szCs w:val="16"/>
          <w:color w:val="auto"/>
        </w:rPr>
        <w:t>by the least of (i) 1.0% of the total number of common shares of our common stock outstanding on December 31 of the preceding calendar year (calculated on a fully diluted basis), (ii) 929,658 common shares or (iii) a number determined by the Company’s board of directors that is less than (i) and (ii). In February 2021, employees began to enroll in the ESPP and the Company’s first offering period commenced. The Company did not issue any shares under the ESPP during the three months ended March 31, 2022 or March 31, 2021. As of March 31, 2022, 1,217,966 shares of common stock remained available for issuance under the ESPP. Stock-based compensation expense related to the ESPP for the three months ended March 31, 2022 and 2021 was immaterial.</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04"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The Company issued warrants in 2016 in connection with certain advisory services. The warrants became exercisable upon our IPO for a period of 365 and 450 days.</w:t>
      </w:r>
    </w:p>
    <w:p>
      <w:pPr>
        <w:spacing w:after="0" w:line="63" w:lineRule="exact"/>
        <w:rPr>
          <w:sz w:val="20"/>
          <w:szCs w:val="20"/>
          <w:color w:val="auto"/>
        </w:rPr>
      </w:pPr>
    </w:p>
    <w:p>
      <w:pPr>
        <w:ind w:right="160" w:firstLine="509"/>
        <w:spacing w:after="0" w:line="284" w:lineRule="auto"/>
        <w:rPr>
          <w:sz w:val="20"/>
          <w:szCs w:val="20"/>
          <w:color w:val="auto"/>
        </w:rPr>
      </w:pPr>
      <w:r>
        <w:rPr>
          <w:rFonts w:ascii="Arial" w:cs="Arial" w:eastAsia="Arial" w:hAnsi="Arial"/>
          <w:sz w:val="16"/>
          <w:szCs w:val="16"/>
          <w:color w:val="auto"/>
        </w:rPr>
        <w:t>Upon adoption of ASU No. 2018-07 on October 1, 2020, the measurement date of the warrants became fixed in accordance with the guidance, and such fair value was nominal since the warrants were deeply out-of-the-money. In December 2021, a total of 566,586 warrants with an exercise period of 365 days after our IPO expired unexercised. The remaining 151,088 warrants with an exercise period of 450 days after the Company's IPO expired unexercised in March 2022. Accordingly, there were no remaining common stock warrants outstanding and exercisable as of March 31, 2022.</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reserved for future issuance are as follows in common equivalent shares: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380" w:type="dxa"/>
            <w:vAlign w:val="bottom"/>
          </w:tcPr>
          <w:p>
            <w:pPr>
              <w:jc w:val="right"/>
              <w:ind w:right="295"/>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60" w:type="dxa"/>
            <w:vAlign w:val="bottom"/>
          </w:tcPr>
          <w:p>
            <w:pPr>
              <w:jc w:val="right"/>
              <w:ind w:right="196"/>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r>
      <w:tr>
        <w:trPr>
          <w:trHeight w:val="185"/>
        </w:trPr>
        <w:tc>
          <w:tcPr>
            <w:tcW w:w="5940" w:type="dxa"/>
            <w:vAlign w:val="bottom"/>
          </w:tcPr>
          <w:p>
            <w:pPr>
              <w:spacing w:after="0"/>
              <w:rPr>
                <w:sz w:val="16"/>
                <w:szCs w:val="16"/>
                <w:color w:val="auto"/>
              </w:rPr>
            </w:pPr>
          </w:p>
        </w:tc>
        <w:tc>
          <w:tcPr>
            <w:tcW w:w="13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580" w:type="dxa"/>
            <w:vAlign w:val="bottom"/>
            <w:gridSpan w:val="2"/>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196"/>
        </w:trPr>
        <w:tc>
          <w:tcPr>
            <w:tcW w:w="5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Warrants for the purchase of common stock</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151,088</w:t>
            </w:r>
          </w:p>
        </w:tc>
        <w:tc>
          <w:tcPr>
            <w:tcW w:w="80" w:type="dxa"/>
            <w:vAlign w:val="bottom"/>
            <w:shd w:val="clear" w:color="auto" w:fill="CFF0FC"/>
          </w:tcPr>
          <w:p>
            <w:pPr>
              <w:spacing w:after="0"/>
              <w:rPr>
                <w:sz w:val="17"/>
                <w:szCs w:val="17"/>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Common stock options and restricted stock units issued and outstanding</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3,340,475</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2,061,948</w:t>
            </w:r>
          </w:p>
        </w:tc>
        <w:tc>
          <w:tcPr>
            <w:tcW w:w="80" w:type="dxa"/>
            <w:vAlign w:val="bottom"/>
          </w:tcPr>
          <w:p>
            <w:pPr>
              <w:spacing w:after="0"/>
              <w:rPr>
                <w:sz w:val="17"/>
                <w:szCs w:val="17"/>
                <w:color w:val="auto"/>
              </w:rPr>
            </w:pPr>
          </w:p>
        </w:tc>
      </w:tr>
      <w:tr>
        <w:trPr>
          <w:trHeight w:val="203"/>
        </w:trPr>
        <w:tc>
          <w:tcPr>
            <w:tcW w:w="5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Awards available for future issuance under the 2020 Plan</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3,252,823</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3,211,854</w:t>
            </w:r>
          </w:p>
        </w:tc>
        <w:tc>
          <w:tcPr>
            <w:tcW w:w="80" w:type="dxa"/>
            <w:vAlign w:val="bottom"/>
            <w:shd w:val="clear" w:color="auto" w:fill="CFF0FC"/>
          </w:tcPr>
          <w:p>
            <w:pPr>
              <w:spacing w:after="0"/>
              <w:rPr>
                <w:sz w:val="17"/>
                <w:szCs w:val="17"/>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Awards available for future issuance under the ESPP</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1,217,966</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822,811</w:t>
            </w:r>
          </w:p>
        </w:tc>
        <w:tc>
          <w:tcPr>
            <w:tcW w:w="80" w:type="dxa"/>
            <w:vAlign w:val="bottom"/>
          </w:tcPr>
          <w:p>
            <w:pPr>
              <w:spacing w:after="0"/>
              <w:rPr>
                <w:sz w:val="17"/>
                <w:szCs w:val="17"/>
                <w:color w:val="auto"/>
              </w:rPr>
            </w:pPr>
          </w:p>
        </w:tc>
      </w:tr>
      <w:tr>
        <w:trPr>
          <w:trHeight w:val="236"/>
        </w:trPr>
        <w:tc>
          <w:tcPr>
            <w:tcW w:w="59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common stock reserved for future issuance</w:t>
            </w: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7,811,264</w:t>
            </w:r>
          </w:p>
        </w:tc>
        <w:tc>
          <w:tcPr>
            <w:tcW w:w="2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6,247,701</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-25400</wp:posOffset>
            </wp:positionV>
            <wp:extent cx="514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 License and Option Agreements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Co-Development and Collaboration Agreement with BeiGene</w:t>
      </w:r>
    </w:p>
    <w:p>
      <w:pPr>
        <w:spacing w:after="0" w:line="104"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In April 2019, the Company entered into a Global Co-Development and Collaboration agreement (the “BeiGene Collaboration”) with BeiGene, Ltd. and BeiGene Switzerland GmbH (collectively “BeiGene”), a commercial-stage biopharmaceutical company, for the development, manufacturing and commercialization of the Company’s investigational CAB CTLA-4 antibody (BA3071). The Company and BeiGene amended the Global Co-Development and Collaboration agreement in December 2019 and in October 2020 (the “Amended BeiGene Collaboration”).</w:t>
      </w:r>
    </w:p>
    <w:p>
      <w:pPr>
        <w:spacing w:after="0" w:line="64"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In 2019, BeiGene paid the Company an upfront non-refundable payment of $20.0 million and $5.0 million for reimbursement of manufacturing costs. Under the terms of the Amended BeiGene Collaboration, BeiGene was generally responsible for developing BA3071 and for global regulatory filings and commercialization. Subject to the terms of the Amended BeiGene Collaboration, BeiGene held an exclusive license with the Company to develop and manufacture the BA3071 candidate globally, and BeiGene was responsible for all costs of development, manufacturing and commercialization globally. The Amended BeiGene Collaboration provided that the Company was eligible to receive tiered royalties on sales worldwide, subsequent development and regulatory milestone payments globally and commercial milestones in the BeiGene territory.</w:t>
      </w:r>
    </w:p>
    <w:p>
      <w:pPr>
        <w:spacing w:after="0" w:line="67"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On November 18, 2021, the Company entered into Amendment No. 3 to the Amended BeiGene Collaboration (“Amendment No.3”). Under Amendment No. 3, the Amended BeiGene Collaboration was terminated, subject to survival of certain provisions, and BeiGene handed back rights to know-how and materials received under the Amended BeiGene Collaboration. As a result, the Company assumed responsibility for the global development and commercialization of BA3071. As consideration for Amendment No.3, the Company agreed to pay BeiGene mid-single digit royalties on sales worldwide and on a limited basis will share in any upfront and milestone payments received through a sublicense of BA3071. As part of Amendment No.3, the Company reclassified its remaining $19.8 million of deferred revenue as a long-term liability which is expected to settle as licensing payments are made to BeiGene in accordance with the resulting amendment. In the event the license is terminated, the liability will be extinguished with no further payment to BeiGene.</w:t>
      </w:r>
    </w:p>
    <w:p>
      <w:pPr>
        <w:spacing w:after="0" w:line="86" w:lineRule="exact"/>
        <w:rPr>
          <w:sz w:val="20"/>
          <w:szCs w:val="20"/>
          <w:color w:val="auto"/>
        </w:rPr>
      </w:pPr>
    </w:p>
    <w:p>
      <w:pPr>
        <w:ind w:right="460" w:firstLine="509"/>
        <w:spacing w:after="0"/>
        <w:rPr>
          <w:sz w:val="20"/>
          <w:szCs w:val="20"/>
          <w:color w:val="auto"/>
        </w:rPr>
      </w:pPr>
      <w:r>
        <w:rPr>
          <w:rFonts w:ascii="Arial" w:cs="Arial" w:eastAsia="Arial" w:hAnsi="Arial"/>
          <w:sz w:val="18"/>
          <w:szCs w:val="18"/>
          <w:color w:val="auto"/>
        </w:rPr>
        <w:t>For the three months ended March 31, 2022 and 2021, the Company did not recognize any revenue related to the collaboration agreement with BeiGene. As of March 31, 2022 and 2021, the Company had a $19.8 million Liability to Licensor, and $19.8 million of deferred revenue which was classified as current, respectively.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BMS Collaboration</w:t>
      </w:r>
    </w:p>
    <w:p>
      <w:pPr>
        <w:spacing w:after="0" w:line="10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In January 2022, the Company entered into a Master Clinical Trial Collaboration Agreement (the “BMS Collaboration”) with Bristol-Myers Squibb Company (“BMS”) pursuant to which the Company and BMS will investigate the Company’s CAB-ADC candidates, mecbotamab vedotin (BA3011) and ozuriftamab vedotin (BA3021), each in combination with Opdivo (the “BMS Compound”) in clinical trials (each a “Combined Therapy Study”). Opdivo has received approval for several anti-cancer indications.</w:t>
      </w:r>
    </w:p>
    <w:p>
      <w:pPr>
        <w:spacing w:after="0" w:line="80" w:lineRule="exact"/>
        <w:rPr>
          <w:sz w:val="20"/>
          <w:szCs w:val="20"/>
          <w:color w:val="auto"/>
        </w:rPr>
      </w:pPr>
    </w:p>
    <w:p>
      <w:pPr>
        <w:jc w:val="both"/>
        <w:ind w:right="60" w:firstLine="509"/>
        <w:spacing w:after="0" w:line="269" w:lineRule="auto"/>
        <w:rPr>
          <w:sz w:val="20"/>
          <w:szCs w:val="20"/>
          <w:color w:val="auto"/>
        </w:rPr>
      </w:pPr>
      <w:r>
        <w:rPr>
          <w:rFonts w:ascii="Arial" w:cs="Arial" w:eastAsia="Arial" w:hAnsi="Arial"/>
          <w:sz w:val="16"/>
          <w:szCs w:val="16"/>
          <w:color w:val="auto"/>
        </w:rPr>
        <w:t>Under the BMS Collaboration, the Company will serve as the study sponsor for each Combined Therapy Study and will be responsible for the costs associated with trial execution. BMS will supply the Company with clinical drug supply of the BMS Compound at no cost to the Company for each study as well as provide input on certain clinical and regulatory aspects of each Combined Therapy Study in exchange for jointly owning clinical data. The BMS collaboration may be early terminated if a party is in material breach, if either party files for bankruptcy, or due to the existence of a material safety issue.</w:t>
      </w:r>
    </w:p>
    <w:p>
      <w:pPr>
        <w:spacing w:after="0" w:line="1" w:lineRule="exact"/>
        <w:rPr>
          <w:sz w:val="20"/>
          <w:szCs w:val="20"/>
          <w:color w:val="auto"/>
        </w:rPr>
      </w:pPr>
    </w:p>
    <w:p>
      <w:pPr>
        <w:ind w:right="680"/>
        <w:spacing w:after="0" w:line="243" w:lineRule="auto"/>
        <w:rPr>
          <w:sz w:val="20"/>
          <w:szCs w:val="20"/>
          <w:color w:val="auto"/>
        </w:rPr>
      </w:pPr>
      <w:r>
        <w:rPr>
          <w:rFonts w:ascii="Arial" w:cs="Arial" w:eastAsia="Arial" w:hAnsi="Arial"/>
          <w:sz w:val="18"/>
          <w:szCs w:val="18"/>
          <w:color w:val="auto"/>
        </w:rPr>
        <w:t>Subject to earlier termination, the BMS Collaboration shall remain in effect until completion and delivery of final study documents for each of the Combined Therapy Study to both parties.</w:t>
      </w:r>
    </w:p>
    <w:p>
      <w:pPr>
        <w:spacing w:after="0" w:line="290" w:lineRule="exact"/>
        <w:rPr>
          <w:sz w:val="20"/>
          <w:szCs w:val="20"/>
          <w:color w:val="auto"/>
        </w:rPr>
      </w:pPr>
    </w:p>
    <w:p>
      <w:pPr>
        <w:ind w:left="60" w:right="8940" w:hanging="52"/>
        <w:spacing w:after="0" w:line="407" w:lineRule="auto"/>
        <w:tabs>
          <w:tab w:leader="none" w:pos="195"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Transactions </w:t>
      </w:r>
      <w:r>
        <w:rPr>
          <w:rFonts w:ascii="Arial" w:cs="Arial" w:eastAsia="Arial" w:hAnsi="Arial"/>
          <w:sz w:val="16"/>
          <w:szCs w:val="16"/>
          <w:b w:val="1"/>
          <w:bCs w:val="1"/>
          <w:i w:val="1"/>
          <w:iCs w:val="1"/>
          <w:color w:val="auto"/>
        </w:rPr>
        <w:t>Carolyn Anderson Short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Agreement</w:t>
      </w:r>
    </w:p>
    <w:p>
      <w:pPr>
        <w:spacing w:after="0" w:line="10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On March 23, 2021, the Company entered into a transition agreement with Ms. Anderson Short, our Co-founder and Executive Vice President and Chief of Intellectual Property and Strategy. Pursuant to this transition agreement, Ms. Anderson Short continued in her role with the same base salary and employee benefits until her employment with the Company was terminated on May 31, 2021. Upon her separation from the Company and subject to her execution of a release of claims, Ms. Anderson Short received the following severance benefits as set forth in the transition agreement, which satisfied existing severance obligations owing to her under a legacy pre-IPO severance agreement she had entered into with the Company on July 1, 2018: (i) a lump sum payment equal to 18 months of Ms. Anderson Short’s then-current base salary, (ii) a payment at her targeted bonus rate for 2021, pro-rated to the date of her termination of employment, and (iii) full accelerated vesting of her equity awards including 7,747 stock options and 138,461 restricted stock units. The modification of these equity awards resulted in an incremental fair value of $7.0 million which was recognized on a straight-line basis over the transition service period which ended on the separation date. For the three months ended March 31, 2021, the Company recognized $0.2 million related to the lump sum salary payment and target bonus, and a $1.0 million non-cash charge related to the modified equity awards. No unrecognized stock-based compensation remained as of March 31, 2022.</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401(k) Plan</w:t>
      </w:r>
    </w:p>
    <w:p>
      <w:pPr>
        <w:spacing w:after="0" w:line="108" w:lineRule="exact"/>
        <w:rPr>
          <w:sz w:val="20"/>
          <w:szCs w:val="20"/>
          <w:color w:val="auto"/>
        </w:rPr>
      </w:pPr>
    </w:p>
    <w:p>
      <w:pPr>
        <w:ind w:right="120" w:firstLine="509"/>
        <w:spacing w:after="0" w:line="271" w:lineRule="auto"/>
        <w:rPr>
          <w:sz w:val="20"/>
          <w:szCs w:val="20"/>
          <w:color w:val="auto"/>
        </w:rPr>
      </w:pPr>
      <w:r>
        <w:rPr>
          <w:rFonts w:ascii="Arial" w:cs="Arial" w:eastAsia="Arial" w:hAnsi="Arial"/>
          <w:sz w:val="16"/>
          <w:szCs w:val="16"/>
          <w:color w:val="auto"/>
        </w:rPr>
        <w:t>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As of March 31, 2022 and December 31, 2021, the Company had not made any matching contributions.</w:t>
      </w: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i w:val="1"/>
          <w:iCs w:val="1"/>
          <w:color w:val="auto"/>
        </w:rPr>
        <w:t>You should read the following discussion and analysis together with our unaudited financial statements and notes thereto included in “Item 1. Financial Statements” of this Quarterly Report on Form 10-Q and the audited financial statements and notes thereto as of and for the year ended December 31, 2021 included in the Annual Report on Form 10-K, filed with the Securities and Exchange Commission, or the SEC, on February 28, 2022. In addition to historical information, this Quarterly Report contains forward-looking statements that involve risks, uncertainties, and assumptions. Our actual results may differ materially from those anticipated in these forward-looking statements as a result of certain factors, including but not limited to those set forth under the caption “Risk Factors” in the Annual Report, and the caption “Risk Factors” in this Quarterly Report, as updated by our subsequent filings under the Securities Exchange Act of 1934, as amended, or the Exchange Act. Furthermore, past operating results are not necessarily indicative of results that may occur in future periods.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We are a clinical-stage biopharmaceutical company developing our novel class of highly specific and selective antibody-based therapeutics for the treatment of solid tumor cancer. Our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w:t>
      </w:r>
    </w:p>
    <w:p>
      <w:pPr>
        <w:spacing w:after="0" w:line="72" w:lineRule="exact"/>
        <w:rPr>
          <w:sz w:val="20"/>
          <w:szCs w:val="20"/>
          <w:color w:val="auto"/>
        </w:rPr>
      </w:pPr>
    </w:p>
    <w:p>
      <w:pPr>
        <w:ind w:right="80" w:firstLine="509"/>
        <w:spacing w:after="0" w:line="272" w:lineRule="auto"/>
        <w:rPr>
          <w:sz w:val="20"/>
          <w:szCs w:val="20"/>
          <w:color w:val="auto"/>
        </w:rPr>
      </w:pPr>
      <w:r>
        <w:rPr>
          <w:rFonts w:ascii="Arial" w:cs="Arial" w:eastAsia="Arial" w:hAnsi="Arial"/>
          <w:sz w:val="16"/>
          <w:szCs w:val="16"/>
          <w:color w:val="auto"/>
        </w:rPr>
        <w:t>We are a United States-based company with research facilities in San Diego, California and, through our contractual relationship with BioDuro-Sundia, a provider of preclinical development services, in Beijing, China.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and ozuriftamab vedotin,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Since 2014, such research and development activities have exclusively related to the research, development, manufacture and Phase 1 and Phase 2 clinical testing of our CAB antibody-based product candidates and the strengthening of our proprietary CAB technology platform and pipeline.</w:t>
      </w:r>
    </w:p>
    <w:p>
      <w:pPr>
        <w:spacing w:after="0" w:line="168"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 was $24.3 million and $18.7 million for the three months ended March 31, 2022 and 2021, respectively. As of March 31, 2022, we had an accumulated deficit of $210.6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We expect our expenses, and the potential for losses, to increase substantially as we conduct clinical trials of our lead product candidates and seek to expand our pipeline.</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04" w:lineRule="exact"/>
        <w:rPr>
          <w:sz w:val="20"/>
          <w:szCs w:val="20"/>
          <w:color w:val="auto"/>
        </w:rPr>
      </w:pPr>
    </w:p>
    <w:p>
      <w:pPr>
        <w:ind w:left="1000" w:hanging="36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advance the clinical development of mecbotamab vedotin;</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advance the clinical development of ozuriftamab vedotin;</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advance the clinical development of BA3071;</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our pipeline of bispecific and other CAB antibody-based product candidates;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invest in our CAB technology platform;</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know-how;</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additional product collaborations and commercial manufacturing relationships with third parties;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build sales, marketing and distribution infrastructure and relationships with third parties to commercialize product candidates for which we</w:t>
      </w:r>
    </w:p>
    <w:p>
      <w:pPr>
        <w:spacing w:after="0" w:line="3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may obtain marketing approval;</w:t>
      </w: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5" w:name="page16"/>
    <w:bookmarkEnd w:id="15"/>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expand our operational, financial and management information systems; and</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attract, hire and retain additional clinical, scientific, management, administrative and commercial personnel.</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Furthermore, we expect to incur additional costs associated with operating as a public company.</w:t>
      </w:r>
    </w:p>
    <w:p>
      <w:pPr>
        <w:spacing w:after="0" w:line="21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As a result, we will require substantial additional capital to develop our product candidates and fund operations for the foreseeable future. Until such time as we can generate significant revenue from product sales, if ever, we expect to finance our operations through a combination of public or private equity offerings, debt financings, collaborations and other similar arrangements.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89"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accurately predict the timing or amount of increased expenses or when, or if, we will be able to achieve profitability. Even if we do achieve profitability, we may not be able to sustain or increase profitability on a quarterly or annual basis. If we fail to become profitable or are unable to sustain profitability on a continuing basis, then we may be unable to raise capital, maintain our research and development efforts, expand our business or continue our operations at planned levels, and as a result we may be forced to substantially reduce or terminate our operations.</w:t>
      </w:r>
    </w:p>
    <w:p>
      <w:pPr>
        <w:spacing w:after="0" w:line="189"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In December 2020, we completed our IPO in which we sold 12,075,000 shares of our common stock at the IPO price to the public of $18.00 per share, which included the exercise in full of the underwriters’ option to purchase additional shares, for aggregate cash proceeds of $217.4 million. We incurred $19.0 million of issuance costs in connection with our IPO. Upon the closing of our IPO, all outstanding shares of our convertible preferred stock converted into 13,876,510 shares of our common stock and 1,492,059 shares of our Class B common stock. In September 2021, we received $71.0 million, net of issuance costs, from a private investment in public equity, or PIPE, financing. As of March 31, 2022, our cash and cash equivalents totaled approximately $219.4 million. Based on our current operating plan, our current cash and cash equivalents are expected to be sufficient to fund our ongoing operations into the second half of 2024. However, we have based this estimate on assumptions that may prove to be wrong, and we could utilize our available capital resources sooner than we currently expect.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08"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The worldwide COVID-19 pandemic may affect our ability to complete our current preclinical studies and clinical trials, initiate and complete our planned preclinical studies and clinical trials, disrupt regulatory activities or have other adverse effects on our business, results of operations, financial condition and prospects. In addition, the pandemic has caused substantial disruption in the financial markets and may adversely impact economies worldwide, both of which could adversely affect our business, operations and ability to raise funds to support our operations. To date, we have experienced modest business disruptions, including with respect to clinical trials we are conducting, and non-material impairments as a result of the pandemic. Our mecbotamab vedotin Phase 2 sarcoma trial remains on schedule and the Phase 2 interim analysis for mecbotamab vedotin NSCLC and ozuriftamab vedotin studies have experienced some modest delays in patient initiations due to COVID-19, however, overall timelines for study completion essentially have not changed at this time. We are following, and plan to continue to follow, recommendations from federal, state and local governments regarding workplace policies, practices and procedures. In March 2020, we implemented a remote working policy for many of our employees and began restricting non-essential travel. We are complying with all applicable guidelines for our clinical trials, including remote clinical monitoring. In April 2020, we borrowed $0.7 million under the Paycheck Protection Program under the CARES Act and we received full loan forgiveness from the U.S. Small Business Association in July 2021, resulting in the recognition of $0.7 million to other income for the twelve months ended December 31, 2021. We are continuing to monitor the potential impact of the pandemic, but we cannot be certain what the overall impact will be on our business, financial condition, results of operations and prospects.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To date, we have not generated any revenue from the sale of products and do not expect to generate meaningful revenue in the near future.</w:t>
      </w:r>
    </w:p>
    <w:p>
      <w:pPr>
        <w:spacing w:after="0" w:line="223"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In April 2019, we entered into a Global Co-Development and Collaboration Agreement with BeiGene, Ltd. which was amended in December 2019, October 2020, and was terminated by amendment in November 2021. In 2019, we received from BeiGene an upfront non-refundable payment of $20.0 million and $5.0 million for reimbursement of manufacturing costs. After the November 2021 amendment, we assumed responsibility for developing BA3071, including global regulatory filings and commercialization, and are responsible for all costs of development, manufacturing and commercialization globally. Pursuant to the terms of the November 2021 amendment, we agreed to pay single digit royalties to BeiGene and agreed to share on a limited basis in any upfront and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6" w:name="page17"/>
    <w:bookmarkEnd w:id="16"/>
    <w:p>
      <w:pPr>
        <w:jc w:val="both"/>
        <w:ind w:right="80"/>
        <w:spacing w:after="0" w:line="248" w:lineRule="auto"/>
        <w:rPr>
          <w:sz w:val="20"/>
          <w:szCs w:val="20"/>
          <w:color w:val="auto"/>
        </w:rPr>
      </w:pPr>
      <w:r>
        <w:rPr>
          <w:rFonts w:ascii="Arial" w:cs="Arial" w:eastAsia="Arial" w:hAnsi="Arial"/>
          <w:sz w:val="18"/>
          <w:szCs w:val="18"/>
          <w:color w:val="auto"/>
        </w:rPr>
        <w:t>milestone payments received through a sublicense of BA3071. In addition, we may in the future seek third-party collaborators or joint venture partners for development and commercialization of additional CAB product candidates. We did not recognize any revenue for the three months ended March 31, 2022 and 2021, respectively.</w:t>
      </w:r>
    </w:p>
    <w:p>
      <w:pPr>
        <w:spacing w:after="0" w:line="182" w:lineRule="exact"/>
        <w:rPr>
          <w:sz w:val="20"/>
          <w:szCs w:val="20"/>
          <w:color w:val="auto"/>
        </w:rPr>
      </w:pPr>
    </w:p>
    <w:p>
      <w:pPr>
        <w:ind w:right="420" w:firstLine="509"/>
        <w:spacing w:after="0" w:line="248" w:lineRule="auto"/>
        <w:rPr>
          <w:sz w:val="20"/>
          <w:szCs w:val="20"/>
          <w:color w:val="auto"/>
        </w:rPr>
      </w:pPr>
      <w:r>
        <w:rPr>
          <w:rFonts w:ascii="Arial" w:cs="Arial" w:eastAsia="Arial" w:hAnsi="Arial"/>
          <w:sz w:val="18"/>
          <w:szCs w:val="18"/>
          <w:color w:val="auto"/>
        </w:rPr>
        <w:t>Prior to developing our own programs, we received revenue from services performed under fixed price service contracts that, in some cases, provided for potential milestone and royalty payments to us. We did not recognize any revenue from our legacy service contracts for the three months ended March 31, 2022 and 2021,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 primarily of costs incurred in the discovery and development of our product candidates.</w:t>
      </w:r>
    </w:p>
    <w:p>
      <w:pPr>
        <w:spacing w:after="0" w:line="104" w:lineRule="exact"/>
        <w:rPr>
          <w:sz w:val="20"/>
          <w:szCs w:val="20"/>
          <w:color w:val="auto"/>
        </w:rPr>
      </w:pPr>
    </w:p>
    <w:p>
      <w:pPr>
        <w:ind w:left="1000" w:hanging="36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External expenses consist of:</w:t>
      </w:r>
    </w:p>
    <w:p>
      <w:pPr>
        <w:spacing w:after="0" w:line="103" w:lineRule="exact"/>
        <w:rPr>
          <w:rFonts w:ascii="Arial" w:cs="Arial" w:eastAsia="Arial" w:hAnsi="Arial"/>
          <w:sz w:val="18"/>
          <w:szCs w:val="18"/>
          <w:color w:val="auto"/>
        </w:rPr>
      </w:pPr>
    </w:p>
    <w:p>
      <w:pPr>
        <w:ind w:left="1380" w:right="40" w:hanging="374"/>
        <w:spacing w:after="0" w:line="261" w:lineRule="auto"/>
        <w:tabs>
          <w:tab w:leader="none" w:pos="1380" w:val="left"/>
        </w:tabs>
        <w:numPr>
          <w:ilvl w:val="1"/>
          <w:numId w:val="7"/>
        </w:numPr>
        <w:rPr>
          <w:rFonts w:ascii="Arial" w:cs="Arial" w:eastAsia="Arial" w:hAnsi="Arial"/>
          <w:sz w:val="18"/>
          <w:szCs w:val="18"/>
          <w:color w:val="auto"/>
        </w:rPr>
      </w:pPr>
      <w:r>
        <w:rPr>
          <w:rFonts w:ascii="Arial" w:cs="Arial" w:eastAsia="Arial" w:hAnsi="Arial"/>
          <w:sz w:val="18"/>
          <w:szCs w:val="18"/>
          <w:color w:val="auto"/>
        </w:rPr>
        <w:t>Fees paid to third parties such as contractors, clinical research organizations (CROs) and consultants, including through our relationship with BioDuro-Sundia, and other costs related to preclinical and clinical trials;</w:t>
      </w:r>
    </w:p>
    <w:p>
      <w:pPr>
        <w:spacing w:after="0" w:line="62" w:lineRule="exact"/>
        <w:rPr>
          <w:rFonts w:ascii="Arial" w:cs="Arial" w:eastAsia="Arial" w:hAnsi="Arial"/>
          <w:sz w:val="18"/>
          <w:szCs w:val="18"/>
          <w:color w:val="auto"/>
        </w:rPr>
      </w:pPr>
    </w:p>
    <w:p>
      <w:pPr>
        <w:ind w:left="1380" w:right="460" w:hanging="374"/>
        <w:spacing w:after="0" w:line="261" w:lineRule="auto"/>
        <w:tabs>
          <w:tab w:leader="none" w:pos="1380" w:val="left"/>
        </w:tabs>
        <w:numPr>
          <w:ilvl w:val="1"/>
          <w:numId w:val="7"/>
        </w:numPr>
        <w:rPr>
          <w:rFonts w:ascii="Arial" w:cs="Arial" w:eastAsia="Arial" w:hAnsi="Arial"/>
          <w:sz w:val="18"/>
          <w:szCs w:val="18"/>
          <w:color w:val="auto"/>
        </w:rPr>
      </w:pPr>
      <w:r>
        <w:rPr>
          <w:rFonts w:ascii="Arial" w:cs="Arial" w:eastAsia="Arial" w:hAnsi="Arial"/>
          <w:sz w:val="18"/>
          <w:szCs w:val="18"/>
          <w:color w:val="auto"/>
        </w:rPr>
        <w:t>Fees paid to third parties such as contract manufacturing organizations (CMOs) and other vendors for manufacturing research and clinical trial materials; and</w:t>
      </w:r>
    </w:p>
    <w:p>
      <w:pPr>
        <w:spacing w:after="0" w:line="62" w:lineRule="exact"/>
        <w:rPr>
          <w:rFonts w:ascii="Arial" w:cs="Arial" w:eastAsia="Arial" w:hAnsi="Arial"/>
          <w:sz w:val="18"/>
          <w:szCs w:val="18"/>
          <w:color w:val="auto"/>
        </w:rPr>
      </w:pPr>
    </w:p>
    <w:p>
      <w:pPr>
        <w:ind w:left="1380" w:hanging="374"/>
        <w:spacing w:after="0"/>
        <w:tabs>
          <w:tab w:leader="none" w:pos="1380" w:val="left"/>
        </w:tabs>
        <w:numPr>
          <w:ilvl w:val="1"/>
          <w:numId w:val="7"/>
        </w:numPr>
        <w:rPr>
          <w:rFonts w:ascii="Arial" w:cs="Arial" w:eastAsia="Arial" w:hAnsi="Arial"/>
          <w:sz w:val="18"/>
          <w:szCs w:val="18"/>
          <w:color w:val="auto"/>
        </w:rPr>
      </w:pPr>
      <w:r>
        <w:rPr>
          <w:rFonts w:ascii="Arial" w:cs="Arial" w:eastAsia="Arial" w:hAnsi="Arial"/>
          <w:sz w:val="18"/>
          <w:szCs w:val="18"/>
          <w:color w:val="auto"/>
        </w:rPr>
        <w:t>Expenses related to laboratory supplies and services.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Unallocated expenses consist of:</w:t>
      </w:r>
    </w:p>
    <w:p>
      <w:pPr>
        <w:spacing w:after="0" w:line="103" w:lineRule="exact"/>
        <w:rPr>
          <w:rFonts w:ascii="Arial" w:cs="Arial" w:eastAsia="Arial" w:hAnsi="Arial"/>
          <w:sz w:val="18"/>
          <w:szCs w:val="18"/>
          <w:color w:val="auto"/>
        </w:rPr>
      </w:pPr>
    </w:p>
    <w:p>
      <w:pPr>
        <w:ind w:left="1380" w:right="380" w:hanging="374"/>
        <w:spacing w:after="0" w:line="261" w:lineRule="auto"/>
        <w:tabs>
          <w:tab w:leader="none" w:pos="13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and equity-based compensation expenses, for personnel in our research and development functions; and</w:t>
      </w:r>
    </w:p>
    <w:p>
      <w:pPr>
        <w:spacing w:after="0" w:line="62" w:lineRule="exact"/>
        <w:rPr>
          <w:rFonts w:ascii="Arial" w:cs="Arial" w:eastAsia="Arial" w:hAnsi="Arial"/>
          <w:sz w:val="18"/>
          <w:szCs w:val="18"/>
          <w:color w:val="auto"/>
        </w:rPr>
      </w:pPr>
    </w:p>
    <w:p>
      <w:pPr>
        <w:ind w:left="1380" w:hanging="374"/>
        <w:spacing w:after="0"/>
        <w:tabs>
          <w:tab w:leader="none" w:pos="138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Related equipment and facilities depreciation expenses.</w:t>
      </w:r>
    </w:p>
    <w:p>
      <w:pPr>
        <w:spacing w:after="0" w:line="212"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services are performed.</w:t>
      </w:r>
    </w:p>
    <w:p>
      <w:pPr>
        <w:spacing w:after="0" w:line="182" w:lineRule="exact"/>
        <w:rPr>
          <w:sz w:val="20"/>
          <w:szCs w:val="20"/>
          <w:color w:val="auto"/>
        </w:rPr>
      </w:pPr>
    </w:p>
    <w:p>
      <w:pPr>
        <w:ind w:right="60" w:firstLine="509"/>
        <w:spacing w:after="0" w:line="270" w:lineRule="auto"/>
        <w:rPr>
          <w:sz w:val="20"/>
          <w:szCs w:val="20"/>
          <w:color w:val="auto"/>
        </w:rPr>
      </w:pPr>
      <w:r>
        <w:rPr>
          <w:rFonts w:ascii="Arial" w:cs="Arial" w:eastAsia="Arial" w:hAnsi="Arial"/>
          <w:sz w:val="16"/>
          <w:szCs w:val="16"/>
          <w:color w:val="auto"/>
        </w:rPr>
        <w:t>We expect our research and development expenses to increase substantially for the foreseeable future as we continue to invest in research and development activities to advance our product candidates and our clinical programs and expand our product candidate pipeline. The process of conducting the necessary preclinical and clinical research to obtain regulatory approval is costly and time-consuming.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The actual probability of success for our product candidates may be affected by a variety of factors, including the safety and efficacy of our product candidates, the quality and consistency in their manufacture, investment in our clinical programs and competition with other products. As a result of these variables, we are unable to determine the duration and completion costs of our research and development projects and programs or when and to what extent we will generate revenue from the commercialization and sale of our product candidates. We may never succeed in achieving regulatory approval for any of our product candidates.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04"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Our general and administrative expenses consist primarily of personnel-related expenses for personnel in our executive, finance, corporate and other administrative functions, intellectual property and patent costs, facilities and other allocated expenses, other expenses for outside professional services, including legal, human resources, audit and accounting services and insurance costs. Personnel-related expenses consist of salaries, benefits and equity-based compensation. Our general and administrative expenses have increased as a result of operating as a public company, including additional costs (i) to comply with the rules and regulations of the SEC and those of The Nasdaq Global Market, (ii) for legal and auditing services, (iii) for additional insurance,</w:t>
      </w:r>
    </w:p>
    <w:p>
      <w:pPr>
        <w:spacing w:after="0" w:line="1" w:lineRule="exact"/>
        <w:rPr>
          <w:sz w:val="20"/>
          <w:szCs w:val="20"/>
          <w:color w:val="auto"/>
        </w:rPr>
      </w:pPr>
    </w:p>
    <w:p>
      <w:pPr>
        <w:ind w:right="60" w:firstLine="8"/>
        <w:spacing w:after="0" w:line="234" w:lineRule="auto"/>
        <w:tabs>
          <w:tab w:leader="none" w:pos="305"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investor relations activities and (v) for other administrative and professional services. We also expect our intellectual property expenses to increase as we expand our intellectual property portfolio.</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Interest Income</w:t>
      </w:r>
    </w:p>
    <w:p>
      <w:pPr>
        <w:spacing w:after="0" w:line="104"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Interest income consists primarily of interest earned on our cash and cash equivalent balances. Our interest income has not been significant to date and we do not expect any material changes.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20" w:type="dxa"/>
            <w:vAlign w:val="bottom"/>
            <w:gridSpan w:val="5"/>
          </w:tcPr>
          <w:p>
            <w:pPr>
              <w:jc w:val="center"/>
              <w:ind w:right="41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3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4"/>
                <w:szCs w:val="14"/>
                <w:b w:val="1"/>
                <w:bCs w:val="1"/>
                <w:color w:val="auto"/>
                <w:w w:val="99"/>
              </w:rPr>
              <w:t>March 31,</w:t>
            </w: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Change</w:t>
            </w:r>
          </w:p>
        </w:tc>
      </w:tr>
      <w:tr>
        <w:trPr>
          <w:trHeight w:val="169"/>
        </w:trPr>
        <w:tc>
          <w:tcPr>
            <w:tcW w:w="3640" w:type="dxa"/>
            <w:vAlign w:val="bottom"/>
          </w:tcPr>
          <w:p>
            <w:pPr>
              <w:spacing w:after="0"/>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3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364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16,923</w:t>
            </w:r>
          </w:p>
        </w:tc>
        <w:tc>
          <w:tcPr>
            <w:tcW w:w="22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10,423</w:t>
            </w:r>
          </w:p>
        </w:tc>
        <w:tc>
          <w:tcPr>
            <w:tcW w:w="2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6,500</w:t>
            </w:r>
          </w:p>
        </w:tc>
        <w:tc>
          <w:tcPr>
            <w:tcW w:w="100" w:type="dxa"/>
            <w:vAlign w:val="bottom"/>
          </w:tcPr>
          <w:p>
            <w:pPr>
              <w:spacing w:after="0"/>
              <w:rPr>
                <w:sz w:val="17"/>
                <w:szCs w:val="17"/>
                <w:color w:val="auto"/>
              </w:rPr>
            </w:pPr>
          </w:p>
        </w:tc>
      </w:tr>
      <w:tr>
        <w:trPr>
          <w:trHeight w:val="203"/>
        </w:trPr>
        <w:tc>
          <w:tcPr>
            <w:tcW w:w="36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7,423</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8,374</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(951 )</w:t>
            </w:r>
          </w:p>
        </w:tc>
      </w:tr>
      <w:tr>
        <w:trPr>
          <w:trHeight w:val="196"/>
        </w:trPr>
        <w:tc>
          <w:tcPr>
            <w:tcW w:w="364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24,346</w:t>
            </w:r>
          </w:p>
        </w:tc>
        <w:tc>
          <w:tcPr>
            <w:tcW w:w="22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18,797</w:t>
            </w:r>
          </w:p>
        </w:tc>
        <w:tc>
          <w:tcPr>
            <w:tcW w:w="20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5,549</w:t>
            </w:r>
          </w:p>
        </w:tc>
        <w:tc>
          <w:tcPr>
            <w:tcW w:w="100" w:type="dxa"/>
            <w:vAlign w:val="bottom"/>
            <w:tcBorders>
              <w:top w:val="single" w:sz="8" w:color="CFF0FC"/>
            </w:tcBorders>
          </w:tcPr>
          <w:p>
            <w:pPr>
              <w:spacing w:after="0"/>
              <w:rPr>
                <w:sz w:val="17"/>
                <w:szCs w:val="17"/>
                <w:color w:val="auto"/>
              </w:rPr>
            </w:pPr>
          </w:p>
        </w:tc>
      </w:tr>
      <w:tr>
        <w:trPr>
          <w:trHeight w:val="196"/>
        </w:trPr>
        <w:tc>
          <w:tcPr>
            <w:tcW w:w="3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(24,346</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(18,797</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(5,549</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6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(13 )</w:t>
            </w:r>
          </w:p>
        </w:tc>
      </w:tr>
      <w:tr>
        <w:trPr>
          <w:trHeight w:val="203"/>
        </w:trPr>
        <w:tc>
          <w:tcPr>
            <w:tcW w:w="364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7"/>
                <w:szCs w:val="17"/>
                <w:color w:val="auto"/>
              </w:rPr>
            </w:pPr>
          </w:p>
        </w:tc>
        <w:tc>
          <w:tcPr>
            <w:tcW w:w="118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1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(2 )</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r>
      <w:tr>
        <w:trPr>
          <w:trHeight w:val="203"/>
        </w:trPr>
        <w:tc>
          <w:tcPr>
            <w:tcW w:w="36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640" w:type="dxa"/>
            <w:vAlign w:val="bottom"/>
          </w:tcPr>
          <w:p>
            <w:pPr>
              <w:spacing w:after="0" w:line="196" w:lineRule="exact"/>
              <w:rPr>
                <w:sz w:val="20"/>
                <w:szCs w:val="20"/>
                <w:color w:val="auto"/>
              </w:rPr>
            </w:pPr>
            <w:r>
              <w:rPr>
                <w:rFonts w:ascii="Arial" w:cs="Arial" w:eastAsia="Arial" w:hAnsi="Arial"/>
                <w:sz w:val="18"/>
                <w:szCs w:val="18"/>
                <w:color w:val="auto"/>
              </w:rPr>
              <w:t>Total other income (expense)</w:t>
            </w:r>
          </w:p>
        </w:tc>
        <w:tc>
          <w:tcPr>
            <w:tcW w:w="3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(4 )</w:t>
            </w:r>
          </w:p>
        </w:tc>
      </w:tr>
      <w:tr>
        <w:trPr>
          <w:trHeight w:val="236"/>
        </w:trPr>
        <w:tc>
          <w:tcPr>
            <w:tcW w:w="36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w w:val="97"/>
              </w:rPr>
              <w:t>Consolidated net loss and comprehensive loss</w:t>
            </w: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(24,254</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(18,701</w:t>
            </w:r>
          </w:p>
        </w:tc>
        <w:tc>
          <w:tcPr>
            <w:tcW w:w="20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(5,553</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-1085215</wp:posOffset>
            </wp:positionV>
            <wp:extent cx="6858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-1085215</wp:posOffset>
            </wp:positionV>
            <wp:extent cx="6032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-1085215</wp:posOffset>
            </wp:positionV>
            <wp:extent cx="6032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-296545</wp:posOffset>
            </wp:positionV>
            <wp:extent cx="685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-296545</wp:posOffset>
            </wp:positionV>
            <wp:extent cx="6032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-296545</wp:posOffset>
            </wp:positionV>
            <wp:extent cx="6032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-25400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allocated by CAB program for the periods indicated:</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5"/>
        </w:trPr>
        <w:tc>
          <w:tcPr>
            <w:tcW w:w="4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4"/>
                <w:szCs w:val="14"/>
                <w:color w:val="auto"/>
              </w:rPr>
            </w:pPr>
          </w:p>
        </w:tc>
      </w:tr>
      <w:tr>
        <w:trPr>
          <w:trHeight w:val="169"/>
        </w:trPr>
        <w:tc>
          <w:tcPr>
            <w:tcW w:w="4380" w:type="dxa"/>
            <w:vAlign w:val="bottom"/>
          </w:tcPr>
          <w:p>
            <w:pPr>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4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External expenses:</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BA3011 (AXL-ADC)</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4,717</w:t>
            </w:r>
          </w:p>
        </w:tc>
        <w:tc>
          <w:tcPr>
            <w:tcW w:w="4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4,573</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c>
          <w:tcPr>
            <w:tcW w:w="60" w:type="dxa"/>
            <w:vAlign w:val="bottom"/>
          </w:tcPr>
          <w:p>
            <w:pPr>
              <w:spacing w:after="0"/>
              <w:rPr>
                <w:sz w:val="17"/>
                <w:szCs w:val="17"/>
                <w:color w:val="auto"/>
              </w:rPr>
            </w:pPr>
          </w:p>
        </w:tc>
      </w:tr>
      <w:tr>
        <w:trPr>
          <w:trHeight w:val="203"/>
        </w:trPr>
        <w:tc>
          <w:tcPr>
            <w:tcW w:w="43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BA3021 (ROR2-ADC)</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1,788</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1,328</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460</w:t>
            </w:r>
          </w:p>
        </w:tc>
        <w:tc>
          <w:tcPr>
            <w:tcW w:w="60" w:type="dxa"/>
            <w:vAlign w:val="bottom"/>
            <w:shd w:val="clear" w:color="auto" w:fill="CFF0FC"/>
          </w:tcPr>
          <w:p>
            <w:pPr>
              <w:spacing w:after="0"/>
              <w:rPr>
                <w:sz w:val="17"/>
                <w:szCs w:val="17"/>
                <w:color w:val="auto"/>
              </w:rPr>
            </w:pPr>
          </w:p>
        </w:tc>
      </w:tr>
      <w:tr>
        <w:trPr>
          <w:trHeight w:val="203"/>
        </w:trPr>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Other CAB Programs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5,932</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1,720</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4,212</w:t>
            </w:r>
          </w:p>
        </w:tc>
        <w:tc>
          <w:tcPr>
            <w:tcW w:w="60" w:type="dxa"/>
            <w:vAlign w:val="bottom"/>
          </w:tcPr>
          <w:p>
            <w:pPr>
              <w:spacing w:after="0"/>
              <w:rPr>
                <w:sz w:val="17"/>
                <w:szCs w:val="17"/>
                <w:color w:val="auto"/>
              </w:rPr>
            </w:pPr>
          </w:p>
        </w:tc>
      </w:tr>
      <w:tr>
        <w:trPr>
          <w:trHeight w:val="196"/>
        </w:trPr>
        <w:tc>
          <w:tcPr>
            <w:tcW w:w="4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external expenses</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12,437</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7,621</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4,816</w:t>
            </w:r>
          </w:p>
        </w:tc>
        <w:tc>
          <w:tcPr>
            <w:tcW w:w="60" w:type="dxa"/>
            <w:vAlign w:val="bottom"/>
            <w:shd w:val="clear" w:color="auto" w:fill="CFF0FC"/>
          </w:tcPr>
          <w:p>
            <w:pPr>
              <w:spacing w:after="0"/>
              <w:rPr>
                <w:sz w:val="17"/>
                <w:szCs w:val="17"/>
                <w:color w:val="auto"/>
              </w:rPr>
            </w:pPr>
          </w:p>
        </w:tc>
      </w:tr>
      <w:tr>
        <w:trPr>
          <w:trHeight w:val="203"/>
        </w:trPr>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Personnel and related</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2,436</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1,233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1,203</w:t>
            </w:r>
          </w:p>
        </w:tc>
        <w:tc>
          <w:tcPr>
            <w:tcW w:w="60" w:type="dxa"/>
            <w:vAlign w:val="bottom"/>
          </w:tcPr>
          <w:p>
            <w:pPr>
              <w:spacing w:after="0"/>
              <w:rPr>
                <w:sz w:val="17"/>
                <w:szCs w:val="17"/>
                <w:color w:val="auto"/>
              </w:rPr>
            </w:pPr>
          </w:p>
        </w:tc>
      </w:tr>
      <w:tr>
        <w:trPr>
          <w:trHeight w:val="203"/>
        </w:trPr>
        <w:tc>
          <w:tcPr>
            <w:tcW w:w="43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Equity-based compensation</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1,300</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954</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346</w:t>
            </w:r>
          </w:p>
        </w:tc>
        <w:tc>
          <w:tcPr>
            <w:tcW w:w="60" w:type="dxa"/>
            <w:vAlign w:val="bottom"/>
            <w:shd w:val="clear" w:color="auto" w:fill="CFF0FC"/>
          </w:tcPr>
          <w:p>
            <w:pPr>
              <w:spacing w:after="0"/>
              <w:rPr>
                <w:sz w:val="17"/>
                <w:szCs w:val="17"/>
                <w:color w:val="auto"/>
              </w:rPr>
            </w:pPr>
          </w:p>
        </w:tc>
      </w:tr>
      <w:tr>
        <w:trPr>
          <w:trHeight w:val="203"/>
        </w:trPr>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Facilities and other</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750</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615</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w:t>
            </w:r>
          </w:p>
        </w:tc>
        <w:tc>
          <w:tcPr>
            <w:tcW w:w="60" w:type="dxa"/>
            <w:vAlign w:val="bottom"/>
          </w:tcPr>
          <w:p>
            <w:pPr>
              <w:spacing w:after="0"/>
              <w:rPr>
                <w:sz w:val="17"/>
                <w:szCs w:val="17"/>
                <w:color w:val="auto"/>
              </w:rPr>
            </w:pPr>
          </w:p>
        </w:tc>
      </w:tr>
      <w:tr>
        <w:trPr>
          <w:trHeight w:val="236"/>
        </w:trPr>
        <w:tc>
          <w:tcPr>
            <w:tcW w:w="43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16,923</w:t>
            </w:r>
          </w:p>
        </w:tc>
        <w:tc>
          <w:tcPr>
            <w:tcW w:w="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10,423</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6,500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-24765</wp:posOffset>
            </wp:positionV>
            <wp:extent cx="431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431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342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342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342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342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Research and development expenses were $16.9 million and $10.4 million for the three months ended March 31, 2022 and 2021, respectively. The increase of $6.5 million was primarily driven by a $4.8 million increase in external expenses, including a $2.6 million increase in pre-clinical development including manufacturing and IND enabling studies for pipeline CAB programs, a $1.6 million increase related to clinical development for CTLA-4, and a $0.6 million increase in external costs due to manufacturing and clinical development for mecbotamab vedotin (BA3011) and ozuriftamab vedotin (BA3021). In addition, personnel related costs increased $1.2 million due to an increase in headcount to support ongoing development activities for our programs and stock-based compensation increased $0.3 million due to awards issued in connection with our 2020 Equity Incentive Plan.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04" w:lineRule="exact"/>
        <w:rPr>
          <w:sz w:val="20"/>
          <w:szCs w:val="20"/>
          <w:color w:val="auto"/>
        </w:rPr>
      </w:pPr>
    </w:p>
    <w:p>
      <w:pPr>
        <w:ind w:right="260" w:firstLine="509"/>
        <w:spacing w:after="0" w:line="271" w:lineRule="auto"/>
        <w:rPr>
          <w:sz w:val="20"/>
          <w:szCs w:val="20"/>
          <w:color w:val="auto"/>
        </w:rPr>
      </w:pPr>
      <w:r>
        <w:rPr>
          <w:rFonts w:ascii="Arial" w:cs="Arial" w:eastAsia="Arial" w:hAnsi="Arial"/>
          <w:sz w:val="16"/>
          <w:szCs w:val="16"/>
          <w:color w:val="auto"/>
        </w:rPr>
        <w:t>General and administrative expenses were $7.4 million and $8.4 million for the three months ended March 31, 2022 and 2021, respectively. The decrease of $1.0 million was primarily driven by a $1.4 million decrease in stock-based compensation related to awards issued under our 2020 Equity Incentive Plan, offset by an increase of $0.3 million in audit and legal services, and a $0.1 million increase in personnel related expenses.</w:t>
      </w: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52" w:right="41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Interest Income</w:t>
      </w:r>
    </w:p>
    <w:p>
      <w:pPr>
        <w:spacing w:after="0" w:line="104"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Interest income was $85,000 and $98,000 for the three months ended March 31, 2022 and 2021, respectively. The decrease of $13,000 was due to lower average cash and cash equivalent balances.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We have incurred aggregate net losses and negative cash flows from operations since our inception and anticipate we will continue to incur net losses for the foreseeable future. As of March 31, 2022, we had cash and cash equivalents of $219.4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04" w:lineRule="exact"/>
        <w:rPr>
          <w:sz w:val="20"/>
          <w:szCs w:val="20"/>
          <w:color w:val="auto"/>
        </w:rPr>
      </w:pPr>
    </w:p>
    <w:p>
      <w:pPr>
        <w:ind w:right="140" w:firstLine="509"/>
        <w:spacing w:after="0" w:line="294" w:lineRule="auto"/>
        <w:rPr>
          <w:sz w:val="20"/>
          <w:szCs w:val="20"/>
          <w:color w:val="auto"/>
        </w:rPr>
      </w:pPr>
      <w:r>
        <w:rPr>
          <w:rFonts w:ascii="Arial" w:cs="Arial" w:eastAsia="Arial" w:hAnsi="Arial"/>
          <w:sz w:val="16"/>
          <w:szCs w:val="16"/>
          <w:color w:val="auto"/>
        </w:rPr>
        <w:t>On April 22, 2020, we received proceeds from a loan pursuant to the Paycheck Protection Program of the CARES Act, "the PPP Loan", in the amount of $0.7 million from City National Bank, as lender. In July 2021, we were notified by our lender that our PPP Loan had been fully forgiven by the U.S. Small Business Administration and that there was no remaining balance on the PPP Loan. We recorded the forgiveness as other income in July 2021.</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04" w:lineRule="exact"/>
        <w:rPr>
          <w:sz w:val="20"/>
          <w:szCs w:val="20"/>
          <w:color w:val="auto"/>
        </w:rPr>
      </w:pPr>
    </w:p>
    <w:p>
      <w:pPr>
        <w:ind w:right="40" w:firstLine="509"/>
        <w:spacing w:after="0" w:line="291" w:lineRule="auto"/>
        <w:rPr>
          <w:sz w:val="20"/>
          <w:szCs w:val="20"/>
          <w:color w:val="auto"/>
        </w:rPr>
      </w:pPr>
      <w:r>
        <w:rPr>
          <w:rFonts w:ascii="Arial" w:cs="Arial" w:eastAsia="Arial" w:hAnsi="Arial"/>
          <w:sz w:val="17"/>
          <w:szCs w:val="17"/>
          <w:color w:val="auto"/>
        </w:rPr>
        <w:t>Our primary uses of cash are to fund operating expenses, which consist primarily of research and development expenses related to our programs and related personnel costs. The timing and amount of future funding requirements depends on many factors, including the following:</w:t>
      </w:r>
    </w:p>
    <w:p>
      <w:pPr>
        <w:spacing w:after="0" w:line="39" w:lineRule="exact"/>
        <w:rPr>
          <w:sz w:val="20"/>
          <w:szCs w:val="20"/>
          <w:color w:val="auto"/>
        </w:rPr>
      </w:pPr>
    </w:p>
    <w:p>
      <w:pPr>
        <w:ind w:left="1000" w:right="400" w:hanging="368"/>
        <w:spacing w:after="0" w:line="261"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initiation, scope, rate of progress, results and costs of our preclinical studies, clinical trials and other related activities for our product candidates;</w:t>
      </w:r>
    </w:p>
    <w:p>
      <w:pPr>
        <w:spacing w:after="0" w:line="62" w:lineRule="exact"/>
        <w:rPr>
          <w:rFonts w:ascii="Arial" w:cs="Arial" w:eastAsia="Arial" w:hAnsi="Arial"/>
          <w:sz w:val="18"/>
          <w:szCs w:val="18"/>
          <w:color w:val="auto"/>
        </w:rPr>
      </w:pPr>
    </w:p>
    <w:p>
      <w:pPr>
        <w:ind w:left="1000" w:right="240" w:hanging="368"/>
        <w:spacing w:after="0" w:line="261"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and establishing commercial supplies and sales, marketing and distribution capabilities;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costs of capital expenditures to support our research and development efforts;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characteristics of other product candidates that we pursue;</w:t>
      </w:r>
    </w:p>
    <w:p>
      <w:pPr>
        <w:spacing w:after="0" w:line="103" w:lineRule="exact"/>
        <w:rPr>
          <w:rFonts w:ascii="Arial" w:cs="Arial" w:eastAsia="Arial" w:hAnsi="Arial"/>
          <w:sz w:val="18"/>
          <w:szCs w:val="18"/>
          <w:color w:val="auto"/>
        </w:rPr>
      </w:pPr>
    </w:p>
    <w:p>
      <w:pPr>
        <w:ind w:left="1000" w:right="140" w:hanging="368"/>
        <w:spacing w:after="0" w:line="248"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73" w:lineRule="exact"/>
        <w:rPr>
          <w:rFonts w:ascii="Arial" w:cs="Arial" w:eastAsia="Arial" w:hAnsi="Arial"/>
          <w:sz w:val="18"/>
          <w:szCs w:val="18"/>
          <w:color w:val="auto"/>
        </w:rPr>
      </w:pPr>
    </w:p>
    <w:p>
      <w:pPr>
        <w:ind w:left="1000" w:hanging="36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receipt and amount of sales from our potential products;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scientific and medical personnel;</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competing products that may limit market penetration of our product candidates;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03" w:lineRule="exact"/>
        <w:rPr>
          <w:rFonts w:ascii="Arial" w:cs="Arial" w:eastAsia="Arial" w:hAnsi="Arial"/>
          <w:sz w:val="18"/>
          <w:szCs w:val="18"/>
          <w:color w:val="auto"/>
        </w:rPr>
      </w:pPr>
    </w:p>
    <w:p>
      <w:pPr>
        <w:ind w:left="1000" w:right="480" w:hanging="368"/>
        <w:spacing w:after="0" w:line="261"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any collaboration, licensing, or other arrangements into which we may enter in the future, including the timing of receipt of any milestone or royalty payments under these agreements;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compliance and administrative costs associated with being a public company; and</w:t>
      </w:r>
    </w:p>
    <w:p>
      <w:pPr>
        <w:spacing w:after="0" w:line="103" w:lineRule="exact"/>
        <w:rPr>
          <w:rFonts w:ascii="Arial" w:cs="Arial" w:eastAsia="Arial" w:hAnsi="Arial"/>
          <w:sz w:val="18"/>
          <w:szCs w:val="18"/>
          <w:color w:val="auto"/>
        </w:rPr>
      </w:pPr>
    </w:p>
    <w:p>
      <w:pPr>
        <w:ind w:left="1000" w:right="60" w:hanging="368"/>
        <w:spacing w:after="0" w:line="261"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although we have no commitments or agreements relating to any of these types of transactions.</w:t>
      </w:r>
    </w:p>
    <w:p>
      <w:pPr>
        <w:spacing w:after="0" w:line="171"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Based on our current operating plan, our current cash and cash equivalents are expected to be sufficient to fund our ongoing operations into the second half of 2024. However, we have based this estimate on assumptions that may prove to be wrong, and we could utilize our available capital resources sooner than we currently expect.</w:t>
      </w:r>
    </w:p>
    <w:p>
      <w:pPr>
        <w:spacing w:after="0" w:line="182"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In addition, we will require additional funding in order to complete development of our product candidates and commercialize our products, if approved. We may seek to raise any necessary additional capital through a combination of public or private equity offerings, debt financings, collaborations, strategic alliances, licensing arrangements and other marketing and distribution arrangements. We cannot assure you that, in the event we require additional financing,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Because of the numerous risks and uncertainties associated with the development and commercialization of our product candidates, we are unable to estimate the amounts of increased capital outlays and operating expenditures associated with our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9" w:name="page20"/>
    <w:bookmarkEnd w:id="19"/>
    <w:p>
      <w:pPr>
        <w:spacing w:after="0" w:line="269" w:lineRule="auto"/>
        <w:rPr>
          <w:sz w:val="20"/>
          <w:szCs w:val="20"/>
          <w:color w:val="auto"/>
        </w:rPr>
      </w:pPr>
      <w:r>
        <w:rPr>
          <w:rFonts w:ascii="Arial" w:cs="Arial" w:eastAsia="Arial" w:hAnsi="Arial"/>
          <w:sz w:val="16"/>
          <w:szCs w:val="16"/>
          <w:color w:val="auto"/>
        </w:rPr>
        <w:t>current and anticipated preclinical studies and clinical trials.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For example, market volatility resulting from a variety of causes, including the COVID-19 pandemic, supply chain disruptions and the recent conflict between Russia and Ukraine, could adversely impact our ability to access capital as and when needed. We may choose to raise additional capital through the issuance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our investors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summarizes our cash flows for the periods indicated:</w:t>
      </w:r>
    </w:p>
    <w:p>
      <w:pPr>
        <w:spacing w:after="0" w:line="203"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48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3"/>
          </w:tcPr>
          <w:p>
            <w:pPr>
              <w:jc w:val="center"/>
              <w:ind w:right="10"/>
              <w:spacing w:after="0"/>
              <w:rPr>
                <w:sz w:val="20"/>
                <w:szCs w:val="20"/>
                <w:color w:val="auto"/>
              </w:rPr>
            </w:pPr>
            <w:r>
              <w:rPr>
                <w:rFonts w:ascii="Arial" w:cs="Arial" w:eastAsia="Arial" w:hAnsi="Arial"/>
                <w:sz w:val="13"/>
                <w:szCs w:val="13"/>
                <w:b w:val="1"/>
                <w:bCs w:val="1"/>
                <w:color w:val="auto"/>
                <w:w w:val="74"/>
              </w:rPr>
              <w:t>thousands)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used in:</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(25,136 )</w:t>
            </w:r>
          </w:p>
        </w:tc>
        <w:tc>
          <w:tcPr>
            <w:tcW w:w="100" w:type="dxa"/>
            <w:vAlign w:val="bottom"/>
          </w:tcPr>
          <w:p>
            <w:pPr>
              <w:spacing w:after="0"/>
              <w:rPr>
                <w:sz w:val="17"/>
                <w:szCs w:val="17"/>
                <w:color w:val="auto"/>
              </w:rPr>
            </w:pPr>
          </w:p>
        </w:tc>
        <w:tc>
          <w:tcPr>
            <w:tcW w:w="420" w:type="dxa"/>
            <w:vAlign w:val="bottom"/>
          </w:tcPr>
          <w:p>
            <w:pPr>
              <w:jc w:val="center"/>
              <w:ind w:right="23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(14,994 )</w:t>
            </w:r>
          </w:p>
        </w:tc>
      </w:tr>
      <w:tr>
        <w:trPr>
          <w:trHeight w:val="203"/>
        </w:trPr>
        <w:tc>
          <w:tcPr>
            <w:tcW w:w="48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(10 )</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(501 )</w:t>
            </w:r>
          </w:p>
        </w:tc>
      </w:tr>
      <w:tr>
        <w:trPr>
          <w:trHeight w:val="203"/>
        </w:trPr>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(405 )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(1,911 )</w:t>
            </w:r>
          </w:p>
        </w:tc>
      </w:tr>
      <w:tr>
        <w:trPr>
          <w:trHeight w:val="236"/>
        </w:trPr>
        <w:tc>
          <w:tcPr>
            <w:tcW w:w="48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(25,551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center"/>
              <w:ind w:right="23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(17,406</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-25400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104"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Net cash used in operating activities totaled $25.1 million for the three months ended March 31, 2022, which consisted of a consolidated net loss of $24.3 million, a net change of $4.8 million in our operating assets and liabilities and $3.9 million of non-cash transactions. The net change in our operating assets and liabilities was primarily due to a decrease in accounts payable and accrued expenses of $2.4 million, offset by an increase in prepaid expenses and other assets of $2.3 million. The non-cash transactions primarily consisted of $3.6 million of stock-based compensation and non-cash charges of $0.3 million related to depreciation and amortization.</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cash used in operating activities for the three months ended March 31, 2021 was $15 million, which consisted of a consolidated net loss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$18.7 million, a net change of $1.2 million in our operating assets and liabilities and $4.8 million of non-cash transactions. The net change in our operating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assets and liabilities was primarily due to an increase in prepaid expenses and other assets of $1.3 million. The non-cash transactions primarily consisted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$4.6 million of stock-based compensation related to the issuance of RSUs and stock options in the fourth quarter of 2020 and non-cash charges of $0.3</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million related to depreciation and amortization.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04"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Cash used in investing activities was immaterial for the three months ended March 31, 2022 and $0.5 million for the three months ended March 31, 2021, respectively, related to the purchase of property and equipment.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04"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Net cash used in financing activities was $0.4 million for the three months ended March 31, 2022, which consisted primarily of the payment of taxes related to the net settlement of restricted stock units.</w:t>
      </w:r>
    </w:p>
    <w:p>
      <w:pPr>
        <w:spacing w:after="0" w:line="171"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Net cash provided by financing activities was $1.9 million for the three months ended March 31, 2021, which consisted primarily of our payment of offering costs related to our 2020 IPO.</w:t>
      </w: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spacing w:after="0" w:line="16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see the section entitled “Management’s Discussion and Analysis of Financial Condition and Results of Operations — Critical Accounting Policies and Estimates” contained in our Annual Report on Form 10-K for the year ended December 31, 2021. There have not been any material changes to the critical accounting policies discussed therein during the three months ended March 31,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not entered into any off-balance sheet arrangements, as defined in the rules and regulations of the SEC.</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jc w:val="both"/>
        <w:ind w:right="140" w:firstLine="509"/>
        <w:spacing w:after="0" w:line="270" w:lineRule="auto"/>
        <w:rPr>
          <w:sz w:val="20"/>
          <w:szCs w:val="20"/>
          <w:color w:val="auto"/>
        </w:rPr>
      </w:pPr>
      <w:r>
        <w:rPr>
          <w:rFonts w:ascii="Arial" w:cs="Arial" w:eastAsia="Arial" w:hAnsi="Arial"/>
          <w:sz w:val="17"/>
          <w:szCs w:val="17"/>
          <w:color w:val="auto"/>
        </w:rPr>
        <w:t>We are exposed to market risks in the ordinary course of our business. We had cash, cash equivalents and short-term investments of $219.4 million and $245.0 million as of March 31, 2022 and December 31, 2021, respectively, which consisted of bank deposits and money market funds. Such interest-bearing instruments carry a degree of interest rate risk; however, historical fluctuations of interest income have not been significant.</w:t>
      </w:r>
    </w:p>
    <w:p>
      <w:pPr>
        <w:spacing w:after="0" w:line="56" w:lineRule="exact"/>
        <w:rPr>
          <w:sz w:val="20"/>
          <w:szCs w:val="20"/>
          <w:color w:val="auto"/>
        </w:rPr>
      </w:pPr>
    </w:p>
    <w:p>
      <w:pPr>
        <w:jc w:val="both"/>
        <w:ind w:right="160" w:firstLine="509"/>
        <w:spacing w:after="0" w:line="261" w:lineRule="auto"/>
        <w:rPr>
          <w:sz w:val="20"/>
          <w:szCs w:val="20"/>
          <w:color w:val="auto"/>
        </w:rPr>
      </w:pPr>
      <w:r>
        <w:rPr>
          <w:rFonts w:ascii="Arial" w:cs="Arial" w:eastAsia="Arial" w:hAnsi="Arial"/>
          <w:sz w:val="18"/>
          <w:szCs w:val="18"/>
          <w:color w:val="auto"/>
        </w:rPr>
        <w:t>We do not enter into investments for trading or speculative purposes and we do not currently utilize derivative financial instruments to manage our interest rate exposure. We have not historically been exposed to material risks due to changes in interest rates.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Our contracts with customers are primarily denominated in U.S. dollars, with a small amount denominated in foreign currencies. As such, fluctuations in foreign currency exchange rates may cause us to recognize transaction gains and losses in our statement of operations. To date, foreign currency transaction gains and losses have not been material to our condensed consolidated financial statements, and we have not engaged in any foreign currency hedging transactions.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20" w:firstLine="509"/>
        <w:spacing w:after="0" w:line="250" w:lineRule="auto"/>
        <w:rPr>
          <w:sz w:val="20"/>
          <w:szCs w:val="20"/>
          <w:color w:val="auto"/>
        </w:rPr>
      </w:pPr>
      <w:r>
        <w:rPr>
          <w:rFonts w:ascii="Arial" w:cs="Arial" w:eastAsia="Arial" w:hAnsi="Arial"/>
          <w:sz w:val="17"/>
          <w:szCs w:val="17"/>
          <w:color w:val="auto"/>
        </w:rPr>
        <w:t>As required by Rules 13a-15(b) and 15d-15(b) of the Exchange Act, our management, with the participation of our Chief Executive Officer and our Chief Financial Officer, evaluated the effectiveness of our disclosure controls and procedures as of March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2022, our Chief Executive Officer and our Chief Financial Officer concluded that, as of such date, our disclosure controls and procedures were effective at the reasonable assurance level.</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2022 that have materially affected, or are reasonably likely to materially affect, our internal control over financial reporting.</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From time to time, we may be subject to various claims and suits arising in the ordinary course of business. We are not currently a party to any legal proceedings the outcome of which we believe, if determined adversely to us, would individually or in the aggregate have a material adverse effect on our business, operating results or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0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Investing in our common stock involves a high degree of risk. You should carefully consider all information in this Quarterly Report on Form 10-Q, including our condensed consolidated financial statements and related notes appearing elsewhere in this prospectus and “Management’s Discussion and Analysis of Financial Condition and Results of Operations,” before purchasing our common stock. These risks are discussed more fully in the section titled “Risk Factors.” These risks and uncertainties include, but are not limited to, the following:</w:t>
      </w:r>
    </w:p>
    <w:p>
      <w:pPr>
        <w:spacing w:after="0" w:line="80" w:lineRule="exact"/>
        <w:rPr>
          <w:sz w:val="20"/>
          <w:szCs w:val="20"/>
          <w:color w:val="auto"/>
        </w:rPr>
      </w:pPr>
    </w:p>
    <w:p>
      <w:pPr>
        <w:ind w:left="1000" w:right="180" w:hanging="368"/>
        <w:spacing w:after="0" w:line="261"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a clinical-stage biopharmaceutical company with a limited operating history and no products approved for commercial sale, and we have a history of significant losses and expect to continue to incur significant losses for the foreseeable future.</w:t>
      </w:r>
    </w:p>
    <w:p>
      <w:pPr>
        <w:spacing w:after="0" w:line="62" w:lineRule="exact"/>
        <w:rPr>
          <w:rFonts w:ascii="Arial" w:cs="Arial" w:eastAsia="Arial" w:hAnsi="Arial"/>
          <w:sz w:val="18"/>
          <w:szCs w:val="18"/>
          <w:color w:val="auto"/>
        </w:rPr>
      </w:pPr>
    </w:p>
    <w:p>
      <w:pPr>
        <w:ind w:left="1000" w:right="360" w:hanging="368"/>
        <w:spacing w:after="0" w:line="248"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and if we fail to raise such capital when needed, or on acceptable terms, we may be forced to delay, reduce or eliminate one or more of our research and drug development programs or future commercialization efforts.</w:t>
      </w:r>
    </w:p>
    <w:p>
      <w:pPr>
        <w:spacing w:after="0" w:line="73" w:lineRule="exact"/>
        <w:rPr>
          <w:rFonts w:ascii="Arial" w:cs="Arial" w:eastAsia="Arial" w:hAnsi="Arial"/>
          <w:sz w:val="18"/>
          <w:szCs w:val="18"/>
          <w:color w:val="auto"/>
        </w:rPr>
      </w:pPr>
    </w:p>
    <w:p>
      <w:pPr>
        <w:ind w:left="1000" w:hanging="36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product candidates may fail in development or suffer delays that adversely affect their commercial viability.</w:t>
      </w:r>
    </w:p>
    <w:p>
      <w:pPr>
        <w:spacing w:after="0" w:line="11" w:lineRule="exact"/>
        <w:rPr>
          <w:rFonts w:ascii="Arial" w:cs="Arial" w:eastAsia="Arial" w:hAnsi="Arial"/>
          <w:sz w:val="18"/>
          <w:szCs w:val="18"/>
          <w:color w:val="auto"/>
        </w:rPr>
      </w:pPr>
    </w:p>
    <w:p>
      <w:pPr>
        <w:ind w:left="1000" w:right="420"/>
        <w:spacing w:after="0" w:line="243" w:lineRule="auto"/>
        <w:rPr>
          <w:rFonts w:ascii="Arial" w:cs="Arial" w:eastAsia="Arial" w:hAnsi="Arial"/>
          <w:sz w:val="18"/>
          <w:szCs w:val="18"/>
          <w:color w:val="auto"/>
        </w:rPr>
      </w:pPr>
      <w:r>
        <w:rPr>
          <w:rFonts w:ascii="Arial" w:cs="Arial" w:eastAsia="Arial" w:hAnsi="Arial"/>
          <w:sz w:val="18"/>
          <w:szCs w:val="18"/>
          <w:color w:val="auto"/>
        </w:rPr>
        <w:t>We are substantially dependent on the success of our patented CAB technology platform, and our future success depends heavily on the successful development of this platform.</w:t>
      </w:r>
    </w:p>
    <w:p>
      <w:pPr>
        <w:spacing w:after="0" w:line="77" w:lineRule="exact"/>
        <w:rPr>
          <w:rFonts w:ascii="Arial" w:cs="Arial" w:eastAsia="Arial" w:hAnsi="Arial"/>
          <w:sz w:val="18"/>
          <w:szCs w:val="18"/>
          <w:color w:val="auto"/>
        </w:rPr>
      </w:pPr>
    </w:p>
    <w:p>
      <w:pPr>
        <w:ind w:left="1000" w:right="20" w:hanging="368"/>
        <w:spacing w:after="0" w:line="261"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expend our resources to pursue particular product candidates and fail to capitalize on product candidates that may be more profitable or for which there is a greater likelihood of success.</w:t>
      </w:r>
    </w:p>
    <w:p>
      <w:pPr>
        <w:spacing w:after="0" w:line="62" w:lineRule="exact"/>
        <w:rPr>
          <w:rFonts w:ascii="Arial" w:cs="Arial" w:eastAsia="Arial" w:hAnsi="Arial"/>
          <w:sz w:val="18"/>
          <w:szCs w:val="18"/>
          <w:color w:val="auto"/>
        </w:rPr>
      </w:pPr>
    </w:p>
    <w:p>
      <w:pPr>
        <w:ind w:left="1000" w:right="560" w:hanging="368"/>
        <w:spacing w:after="0" w:line="261"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 may not be receptive to our product candidates because they are based on our novel therapeutic modality, and we may not generate any future revenue from the sale or licensing of product candidates.</w:t>
      </w:r>
    </w:p>
    <w:p>
      <w:pPr>
        <w:spacing w:after="0" w:line="62" w:lineRule="exact"/>
        <w:rPr>
          <w:rFonts w:ascii="Arial" w:cs="Arial" w:eastAsia="Arial" w:hAnsi="Arial"/>
          <w:sz w:val="18"/>
          <w:szCs w:val="18"/>
          <w:color w:val="auto"/>
        </w:rPr>
      </w:pPr>
    </w:p>
    <w:p>
      <w:pPr>
        <w:ind w:left="1000" w:right="240" w:hanging="368"/>
        <w:spacing w:after="0" w:line="261"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62" w:lineRule="exact"/>
        <w:rPr>
          <w:rFonts w:ascii="Arial" w:cs="Arial" w:eastAsia="Arial" w:hAnsi="Arial"/>
          <w:sz w:val="18"/>
          <w:szCs w:val="18"/>
          <w:color w:val="auto"/>
        </w:rPr>
      </w:pPr>
    </w:p>
    <w:p>
      <w:pPr>
        <w:ind w:left="1000" w:right="100" w:hanging="368"/>
        <w:spacing w:after="0" w:line="291"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rFonts w:ascii="Arial" w:cs="Arial" w:eastAsia="Arial" w:hAnsi="Arial"/>
          <w:sz w:val="17"/>
          <w:szCs w:val="17"/>
          <w:color w:val="auto"/>
        </w:rPr>
      </w:pPr>
    </w:p>
    <w:p>
      <w:pPr>
        <w:ind w:left="1000" w:right="960" w:hanging="368"/>
        <w:spacing w:after="0" w:line="261"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the commencement and completion of clinical trials could increase costs and delay or prevent regulatory approval and commercialization of our product candidates.</w:t>
      </w:r>
    </w:p>
    <w:p>
      <w:pPr>
        <w:spacing w:after="0" w:line="62" w:lineRule="exact"/>
        <w:rPr>
          <w:rFonts w:ascii="Arial" w:cs="Arial" w:eastAsia="Arial" w:hAnsi="Arial"/>
          <w:sz w:val="18"/>
          <w:szCs w:val="18"/>
          <w:color w:val="auto"/>
        </w:rPr>
      </w:pPr>
    </w:p>
    <w:p>
      <w:pPr>
        <w:ind w:left="1000" w:right="60" w:hanging="368"/>
        <w:spacing w:after="0" w:line="261"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face competition from entities that have developed or may develop product candidates for cancer, including companies developing novel treatments and technology platforms.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be unable to obtain U.S. or foreign regulatory approval and, as a result, unable to commercialize our product candidates.</w:t>
      </w:r>
    </w:p>
    <w:p>
      <w:pPr>
        <w:spacing w:after="0" w:line="115" w:lineRule="exact"/>
        <w:rPr>
          <w:rFonts w:ascii="Arial" w:cs="Arial" w:eastAsia="Arial" w:hAnsi="Arial"/>
          <w:sz w:val="17"/>
          <w:szCs w:val="17"/>
          <w:color w:val="auto"/>
        </w:rPr>
      </w:pPr>
    </w:p>
    <w:p>
      <w:pPr>
        <w:jc w:val="both"/>
        <w:ind w:left="1000" w:right="100" w:hanging="368"/>
        <w:spacing w:after="0" w:line="294"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intend to seek approval from the FDA or comparable foreign regulatory authorities through the use of accelerated approval pathways, if available, and if we are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39" w:lineRule="exact"/>
        <w:rPr>
          <w:rFonts w:ascii="Arial" w:cs="Arial" w:eastAsia="Arial" w:hAnsi="Arial"/>
          <w:sz w:val="16"/>
          <w:szCs w:val="16"/>
          <w:color w:val="auto"/>
        </w:rPr>
      </w:pPr>
    </w:p>
    <w:p>
      <w:pPr>
        <w:ind w:left="1000" w:right="60" w:hanging="368"/>
        <w:spacing w:after="0" w:line="244"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Even if we receive regulatory approval for any of our product candidates, we will be subject to ongoing regulatory obligations and continued regulatory review, which may result in significant additional expense.</w:t>
      </w: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22" w:name="page23"/>
    <w:bookmarkEnd w:id="22"/>
    <w:p>
      <w:pPr>
        <w:ind w:left="1000" w:right="560" w:hanging="368"/>
        <w:spacing w:after="0" w:line="261"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to attract and retain qualified senior management and key scientific personnel, our business may be materially and adversely affected.</w:t>
      </w:r>
    </w:p>
    <w:p>
      <w:pPr>
        <w:spacing w:after="0" w:line="62" w:lineRule="exact"/>
        <w:rPr>
          <w:rFonts w:ascii="Arial" w:cs="Arial" w:eastAsia="Arial" w:hAnsi="Arial"/>
          <w:sz w:val="18"/>
          <w:szCs w:val="18"/>
          <w:color w:val="auto"/>
        </w:rPr>
      </w:pPr>
    </w:p>
    <w:p>
      <w:pPr>
        <w:ind w:left="1000" w:right="140" w:hanging="368"/>
        <w:spacing w:after="0" w:line="324"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16" w:lineRule="exact"/>
        <w:rPr>
          <w:rFonts w:ascii="Arial" w:cs="Arial" w:eastAsia="Arial" w:hAnsi="Arial"/>
          <w:sz w:val="16"/>
          <w:szCs w:val="16"/>
          <w:color w:val="auto"/>
        </w:rPr>
      </w:pPr>
    </w:p>
    <w:p>
      <w:pPr>
        <w:ind w:left="1000" w:hanging="368"/>
        <w:spacing w:after="0" w:line="248"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portion of our research and development activities take place in China, and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spacing w:after="0" w:line="73" w:lineRule="exact"/>
        <w:rPr>
          <w:rFonts w:ascii="Arial" w:cs="Arial" w:eastAsia="Arial" w:hAnsi="Arial"/>
          <w:sz w:val="18"/>
          <w:szCs w:val="18"/>
          <w:color w:val="auto"/>
        </w:rPr>
      </w:pPr>
    </w:p>
    <w:p>
      <w:pPr>
        <w:ind w:left="1000" w:right="40" w:hanging="368"/>
        <w:spacing w:after="0" w:line="248"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risks related to health epidemics and outbreaks, including the COVID-19 pandemic, which could significantly disrupt our preclinical studies and could affect enrollment of patients in our clinical trials. Continuation and increasing severity of these conditions could delay or prevent our receipt of necessary regulatory approvals.</w:t>
      </w:r>
    </w:p>
    <w:p>
      <w:pPr>
        <w:spacing w:after="0" w:line="73" w:lineRule="exact"/>
        <w:rPr>
          <w:rFonts w:ascii="Arial" w:cs="Arial" w:eastAsia="Arial" w:hAnsi="Arial"/>
          <w:sz w:val="18"/>
          <w:szCs w:val="18"/>
          <w:color w:val="auto"/>
        </w:rPr>
      </w:pPr>
    </w:p>
    <w:p>
      <w:pPr>
        <w:jc w:val="both"/>
        <w:ind w:left="1000" w:right="120" w:hanging="368"/>
        <w:spacing w:after="0" w:line="248"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to enter into collaborations with third parties for the development and commercialization of certain of our product candidates, or if our current and future collaborations are not successful, we may not be able to capitalize on the market potential of our patented technology platform and resulting product candidates.</w:t>
      </w:r>
    </w:p>
    <w:p>
      <w:pPr>
        <w:spacing w:after="0" w:line="73" w:lineRule="exact"/>
        <w:rPr>
          <w:rFonts w:ascii="Arial" w:cs="Arial" w:eastAsia="Arial" w:hAnsi="Arial"/>
          <w:sz w:val="18"/>
          <w:szCs w:val="18"/>
          <w:color w:val="auto"/>
        </w:rPr>
      </w:pPr>
    </w:p>
    <w:p>
      <w:pPr>
        <w:ind w:left="1000" w:hanging="368"/>
        <w:spacing w:after="0" w:line="248"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73" w:lineRule="exact"/>
        <w:rPr>
          <w:rFonts w:ascii="Arial" w:cs="Arial" w:eastAsia="Arial" w:hAnsi="Arial"/>
          <w:sz w:val="18"/>
          <w:szCs w:val="18"/>
          <w:color w:val="auto"/>
        </w:rPr>
      </w:pPr>
    </w:p>
    <w:p>
      <w:pPr>
        <w:ind w:left="1000" w:right="20" w:hanging="368"/>
        <w:spacing w:after="0" w:line="248"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w:t>
      </w:r>
    </w:p>
    <w:p>
      <w:pPr>
        <w:spacing w:after="0" w:line="73" w:lineRule="exact"/>
        <w:rPr>
          <w:rFonts w:ascii="Arial" w:cs="Arial" w:eastAsia="Arial" w:hAnsi="Arial"/>
          <w:sz w:val="18"/>
          <w:szCs w:val="18"/>
          <w:color w:val="auto"/>
        </w:rPr>
      </w:pPr>
    </w:p>
    <w:p>
      <w:pPr>
        <w:ind w:left="1000" w:hanging="3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future issuance of equity or of debt securities that are convertible into equity will dilute our share capital.</w:t>
      </w:r>
    </w:p>
    <w:p>
      <w:pPr>
        <w:spacing w:after="0" w:line="103" w:lineRule="exact"/>
        <w:rPr>
          <w:rFonts w:ascii="Arial" w:cs="Arial" w:eastAsia="Arial" w:hAnsi="Arial"/>
          <w:sz w:val="18"/>
          <w:szCs w:val="18"/>
          <w:color w:val="auto"/>
        </w:rPr>
      </w:pPr>
    </w:p>
    <w:p>
      <w:pPr>
        <w:ind w:left="1000" w:right="520" w:hanging="368"/>
        <w:spacing w:after="0" w:line="324"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08"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no products approved for commercial sale. We have a history of significant losses and we expect to continue to incur significant losses for the foreseeable future, which together with our limited operating history, makes it difficult to assess our future viability.</w:t>
      </w:r>
    </w:p>
    <w:p>
      <w:pPr>
        <w:spacing w:after="0" w:line="74" w:lineRule="exact"/>
        <w:rPr>
          <w:sz w:val="20"/>
          <w:szCs w:val="20"/>
          <w:color w:val="auto"/>
        </w:rPr>
      </w:pPr>
    </w:p>
    <w:p>
      <w:pPr>
        <w:ind w:right="60" w:firstLine="509"/>
        <w:spacing w:after="0" w:line="271" w:lineRule="auto"/>
        <w:rPr>
          <w:sz w:val="20"/>
          <w:szCs w:val="20"/>
          <w:color w:val="auto"/>
        </w:rPr>
      </w:pPr>
      <w:r>
        <w:rPr>
          <w:rFonts w:ascii="Arial" w:cs="Arial" w:eastAsia="Arial" w:hAnsi="Arial"/>
          <w:sz w:val="16"/>
          <w:szCs w:val="16"/>
          <w:color w:val="auto"/>
        </w:rPr>
        <w:t>We are a Phase 2 clinical-stage biopharmaceutical company with a limited operating history upon which you can evaluate our business and prospects. We have no products approved for commercial sale and have not generated any revenue from product sales.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and ozuriftamab vedotin,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As a result, it may be more difficult for you to assess our future viability than it could be if we had a longer operating history.</w:t>
      </w:r>
    </w:p>
    <w:p>
      <w:pPr>
        <w:spacing w:after="0" w:line="169" w:lineRule="exact"/>
        <w:rPr>
          <w:sz w:val="20"/>
          <w:szCs w:val="20"/>
          <w:color w:val="auto"/>
        </w:rPr>
      </w:pPr>
    </w:p>
    <w:p>
      <w:pPr>
        <w:ind w:right="80" w:firstLine="509"/>
        <w:spacing w:after="0" w:line="266" w:lineRule="auto"/>
        <w:rPr>
          <w:sz w:val="20"/>
          <w:szCs w:val="20"/>
          <w:color w:val="auto"/>
        </w:rPr>
      </w:pPr>
      <w:r>
        <w:rPr>
          <w:rFonts w:ascii="Arial" w:cs="Arial" w:eastAsia="Arial" w:hAnsi="Arial"/>
          <w:sz w:val="16"/>
          <w:szCs w:val="16"/>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$95.4 million and $35.9 million for the years ended December 31, 2021 and 2020, respectively. For the three months ended March 31, 2022 and 2021, our net losses were $24.3 million and $18.7 million, respectively. As of March 31, 2022, we had an accumulated deficit of $210.6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We expect our</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expenses, and the potential for losses, to increase substantially as we conduct clinical trials of our lead product candidates and seek to expand our pipeline.</w:t>
      </w:r>
    </w:p>
    <w:p>
      <w:pPr>
        <w:spacing w:after="0" w:line="235"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However, the amount of our future expenses and potential losses is uncertain. Our ability to achieve profitability, if ever, will depend on, among other things, our successfully developing product candidates, obtaining regulatory approvals to market and commercialize product candidates, manufacturing any approved products on commercially reasonable terms and potentially establishing a sales and marketing organization or suitable third-party alternatives to commercialize any approved product. If we, or our existing or future collaborators, are unable to develop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283" w:lineRule="exact"/>
        <w:rPr>
          <w:sz w:val="20"/>
          <w:szCs w:val="20"/>
          <w:color w:val="auto"/>
        </w:rPr>
      </w:pPr>
    </w:p>
    <w:p>
      <w:pPr>
        <w:ind w:right="100"/>
        <w:spacing w:after="0" w:line="356"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spacing w:after="0" w:line="1"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The development of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mecbotamab vedotin, ozuriftamab vedotin and BA3071 and advance our other programs.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comparable foreign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spacing w:after="0" w:line="180"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As of March 31, 2022, we had approximately $219.4 million in cash and cash equivalents. Based on our current operating plan, our current cash and cash equivalents are expected to be sufficient to fund our ongoing operations into the second half of 2024.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5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plan to use our existing cash and cash equivalents to fund the research and development of our product candidates and development programs, and to fund working capital and other general corporate purposes. Advancing the development of our product candidates will require a significant amount of capital. Our existing cash and cash equivalents may not be sufficient to fund any of our product candidates through regulatory approval. Because the length of time and activities associated with successful research and development of any individual product candidate are highly uncertain, we are unable to estimate the actual funds we will require for development, marketing approval and commercialization activities. The timing and amount of our operating expenditures will depend largely on:</w:t>
      </w:r>
    </w:p>
    <w:p>
      <w:pPr>
        <w:spacing w:after="0" w:line="81" w:lineRule="exact"/>
        <w:rPr>
          <w:sz w:val="20"/>
          <w:szCs w:val="20"/>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progress of our ongoing clinical trials for mecbotamab vedotin and ozuriftamab vedotin;</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progress of the clinical development efforts for BA3071;</w:t>
      </w:r>
    </w:p>
    <w:p>
      <w:pPr>
        <w:spacing w:after="0" w:line="103" w:lineRule="exact"/>
        <w:rPr>
          <w:rFonts w:ascii="Arial" w:cs="Arial" w:eastAsia="Arial" w:hAnsi="Arial"/>
          <w:sz w:val="18"/>
          <w:szCs w:val="18"/>
          <w:color w:val="auto"/>
        </w:rPr>
      </w:pPr>
    </w:p>
    <w:p>
      <w:pPr>
        <w:ind w:left="1000" w:right="280" w:hanging="368"/>
        <w:spacing w:after="0" w:line="261"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progress of our current and future collaborators with whom we have entered or may in the future enter into collaborations and research and development agreements;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amount of target specific indication and milestone payments we may receive under our collaboration agreements;</w:t>
      </w:r>
    </w:p>
    <w:p>
      <w:pPr>
        <w:spacing w:after="0" w:line="103" w:lineRule="exact"/>
        <w:rPr>
          <w:rFonts w:ascii="Arial" w:cs="Arial" w:eastAsia="Arial" w:hAnsi="Arial"/>
          <w:sz w:val="18"/>
          <w:szCs w:val="18"/>
          <w:color w:val="auto"/>
        </w:rPr>
      </w:pPr>
    </w:p>
    <w:p>
      <w:pPr>
        <w:ind w:left="1000" w:right="340" w:hanging="368"/>
        <w:spacing w:after="0" w:line="261"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our current licenses, collaboration and research and development programs or possibly establish new collaboration arrangements;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03" w:lineRule="exact"/>
        <w:rPr>
          <w:rFonts w:ascii="Arial" w:cs="Arial" w:eastAsia="Arial" w:hAnsi="Arial"/>
          <w:sz w:val="18"/>
          <w:szCs w:val="18"/>
          <w:color w:val="auto"/>
        </w:rPr>
      </w:pPr>
    </w:p>
    <w:p>
      <w:pPr>
        <w:ind w:left="1000" w:right="720" w:hanging="368"/>
        <w:spacing w:after="0" w:line="244"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of our product candidates and satisfy our obligations as a public company.</w:t>
      </w: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 w:name="page25"/>
    <w:bookmarkEnd w:id="24"/>
    <w:p>
      <w:pPr>
        <w:ind w:firstLine="509"/>
        <w:spacing w:after="0" w:line="251" w:lineRule="auto"/>
        <w:rPr>
          <w:sz w:val="20"/>
          <w:szCs w:val="20"/>
          <w:color w:val="auto"/>
        </w:rPr>
      </w:pPr>
      <w:r>
        <w:rPr>
          <w:rFonts w:ascii="Arial" w:cs="Arial" w:eastAsia="Arial" w:hAnsi="Arial"/>
          <w:sz w:val="17"/>
          <w:szCs w:val="17"/>
          <w:color w:val="auto"/>
        </w:rPr>
        <w:t>If we are unable to obtain funding on a timely basis, including under our current or future collaborations, or on acceptable terms, we may have to delay, reduce or terminate our research and development programs and preclinical studies or clinical trials, limit strategic opportunities or undergo reductions in our workforce or other corporate restructuring activities. We may seek to raise any necessary additional capital through a combination of public or private equity offerings, debt financings, collaborations, strategic alliances, licensing arrangements and other marketing and distribution arrangements. We cannot assure you that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08"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i w:val="1"/>
          <w:iCs w:val="1"/>
          <w:color w:val="auto"/>
        </w:rPr>
        <w:t>Our current product candidates are in various stages of development. Our product candidates may fail in development or suffer delays that adversely affect their commercial viability. If we or our existing or future collaborators are unable to complete development of, obtain regulatory approval for or commercialize our product candidates or experience significant delays in doing so, our business will be materially harmed.</w:t>
      </w:r>
    </w:p>
    <w:p>
      <w:pPr>
        <w:spacing w:after="0" w:line="39" w:lineRule="exact"/>
        <w:rPr>
          <w:sz w:val="20"/>
          <w:szCs w:val="20"/>
          <w:color w:val="auto"/>
        </w:rPr>
      </w:pPr>
    </w:p>
    <w:p>
      <w:pPr>
        <w:ind w:right="80" w:firstLine="509"/>
        <w:spacing w:after="0" w:line="269" w:lineRule="auto"/>
        <w:rPr>
          <w:sz w:val="20"/>
          <w:szCs w:val="20"/>
          <w:color w:val="auto"/>
        </w:rPr>
      </w:pPr>
      <w:r>
        <w:rPr>
          <w:rFonts w:ascii="Arial" w:cs="Arial" w:eastAsia="Arial" w:hAnsi="Arial"/>
          <w:sz w:val="16"/>
          <w:szCs w:val="16"/>
          <w:color w:val="auto"/>
        </w:rPr>
        <w:t>We have no products on the market and our product candidates are in various stages of development. We are currently conducting Phase 2 clinical trials of mecbotamab vedotin and ozuriftamab vedotin; we expect first patient dosed in our Phase 1 trials of BA3071 in the first half of 2022 and various other product candidates are in earlier stages of development.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efficacy, purity and potency of our product candidates. In addition, the FDA may not agree with our clinical trial plans. For example, we have initiated potentially registration-enabling Phase 2 trials for mecbotamab vedotin in treatment-refractory sarcoma patients and PD-1 refractory NSCLC patients. The FDA has reviewed the trial designs but has not opined on whether the Phase 2 clinical trials will in fact be sufficient to support regulatory approval. However, we intend to ask the FDA to consider this further at the planned interim data review point or points. We cannot assure you that the FDA will agree that such data will be sufficient to support approval. Any product candidate can unexpectedly fail at any stage of preclinical or clinical development and the historical failure rate for product candidates is high. The results from preclinical testing of a product candidate may not predict the results that will be obtained in later clinical trials of the product candidate. We or our existing or future collaborators may experience issues that delay or prevent clinical testing and regulatory approval of, or our ability to commercialize, product candidates, including:</w:t>
      </w:r>
    </w:p>
    <w:p>
      <w:pPr>
        <w:spacing w:after="0" w:line="60" w:lineRule="exact"/>
        <w:rPr>
          <w:sz w:val="20"/>
          <w:szCs w:val="20"/>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our clinical trials resulting from factors including those related to the COVID-19 pandemic;</w:t>
      </w:r>
    </w:p>
    <w:p>
      <w:pPr>
        <w:spacing w:after="0" w:line="103" w:lineRule="exact"/>
        <w:rPr>
          <w:rFonts w:ascii="Arial" w:cs="Arial" w:eastAsia="Arial" w:hAnsi="Arial"/>
          <w:sz w:val="18"/>
          <w:szCs w:val="18"/>
          <w:color w:val="auto"/>
        </w:rPr>
      </w:pPr>
    </w:p>
    <w:p>
      <w:pPr>
        <w:ind w:left="1000" w:right="60" w:hanging="368"/>
        <w:spacing w:after="0" w:line="261"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or inconclusive results from preclinical testing or clinical trials leading to a decision or requirement to conduct additional preclinical testing or clinical trials or abandon a program;</w:t>
      </w:r>
    </w:p>
    <w:p>
      <w:pPr>
        <w:spacing w:after="0" w:line="62" w:lineRule="exact"/>
        <w:rPr>
          <w:rFonts w:ascii="Arial" w:cs="Arial" w:eastAsia="Arial" w:hAnsi="Arial"/>
          <w:sz w:val="18"/>
          <w:szCs w:val="18"/>
          <w:color w:val="auto"/>
        </w:rPr>
      </w:pPr>
    </w:p>
    <w:p>
      <w:pPr>
        <w:ind w:left="1000" w:right="20" w:hanging="368"/>
        <w:spacing w:after="0" w:line="261"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product-related side effects experienced by participants in clinical trials or by individuals using therapeutic biologics that share characteristics with our product candidates;</w:t>
      </w:r>
    </w:p>
    <w:p>
      <w:pPr>
        <w:spacing w:after="0" w:line="62" w:lineRule="exact"/>
        <w:rPr>
          <w:rFonts w:ascii="Arial" w:cs="Arial" w:eastAsia="Arial" w:hAnsi="Arial"/>
          <w:sz w:val="18"/>
          <w:szCs w:val="18"/>
          <w:color w:val="auto"/>
        </w:rPr>
      </w:pPr>
    </w:p>
    <w:p>
      <w:pPr>
        <w:ind w:left="1000" w:right="360" w:hanging="368"/>
        <w:spacing w:after="0" w:line="324"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delays in submitting INDs or comparable foreign applications or delays or failure in obtaining the necessary approvals from regulators or institutional review boards, or IRBs, to commence a clinical trial, or a suspension or termination of a clinical trial once commenced;</w:t>
      </w:r>
    </w:p>
    <w:p>
      <w:pPr>
        <w:spacing w:after="0" w:line="16" w:lineRule="exact"/>
        <w:rPr>
          <w:rFonts w:ascii="Arial" w:cs="Arial" w:eastAsia="Arial" w:hAnsi="Arial"/>
          <w:sz w:val="16"/>
          <w:szCs w:val="16"/>
          <w:color w:val="auto"/>
        </w:rPr>
      </w:pPr>
    </w:p>
    <w:p>
      <w:pPr>
        <w:ind w:left="1000" w:hanging="368"/>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conditions imposed by the FDA or comparable foreign authorities, including the EMA, regarding the scope or design of clinical trials;</w:t>
      </w:r>
    </w:p>
    <w:p>
      <w:pPr>
        <w:spacing w:after="0" w:line="115" w:lineRule="exact"/>
        <w:rPr>
          <w:rFonts w:ascii="Arial" w:cs="Arial" w:eastAsia="Arial" w:hAnsi="Arial"/>
          <w:sz w:val="17"/>
          <w:szCs w:val="17"/>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enrolling patients in clinical trials;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 drop-out rates of patients;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inadequate drug materials or other supplies necessary for the conduct of our clinical trials;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5" w:name="page26"/>
    <w:bookmarkEnd w:id="25"/>
    <w:p>
      <w:pPr>
        <w:ind w:left="1000" w:hanging="36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poor effectiveness of our product candidates during clinical trials;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deficiencies in our third-party manufacturers’ manufacturing processes or facilities;</w:t>
      </w:r>
    </w:p>
    <w:p>
      <w:pPr>
        <w:spacing w:after="0" w:line="103" w:lineRule="exact"/>
        <w:rPr>
          <w:rFonts w:ascii="Arial" w:cs="Arial" w:eastAsia="Arial" w:hAnsi="Arial"/>
          <w:sz w:val="18"/>
          <w:szCs w:val="18"/>
          <w:color w:val="auto"/>
        </w:rPr>
      </w:pPr>
    </w:p>
    <w:p>
      <w:pPr>
        <w:ind w:left="1000" w:right="300" w:hanging="368"/>
        <w:spacing w:after="0" w:line="324"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success or further approval of competitor products approved in indications in which we undertake development of our product candidates, which may change the standard of care or change the standard for approval of our product candidates in our proposed indications;</w:t>
      </w:r>
    </w:p>
    <w:p>
      <w:pPr>
        <w:spacing w:after="0" w:line="16" w:lineRule="exact"/>
        <w:rPr>
          <w:rFonts w:ascii="Arial" w:cs="Arial" w:eastAsia="Arial" w:hAnsi="Arial"/>
          <w:sz w:val="16"/>
          <w:szCs w:val="16"/>
          <w:color w:val="auto"/>
        </w:rPr>
      </w:pPr>
    </w:p>
    <w:p>
      <w:pPr>
        <w:ind w:left="1000" w:right="260" w:hanging="368"/>
        <w:spacing w:after="0" w:line="261"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any third-party contractors, investigators or contract research organizations, or CROs,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1000" w:right="400" w:hanging="368"/>
        <w:spacing w:after="0" w:line="261"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or product candidates in particular; or</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 including the EMA.</w:t>
      </w:r>
    </w:p>
    <w:p>
      <w:pPr>
        <w:spacing w:after="0" w:line="212"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Because CABs represent a new generation of antibodies, a delay or failure in development of any CAB product candidate could represent a major set-back for our patented technology platform and for our company generally.</w:t>
      </w:r>
    </w:p>
    <w:p>
      <w:pPr>
        <w:spacing w:after="0" w:line="27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We are substantially dependent on the success of our patented CAB technology platform, and our future success depends heavily on the successful development of this platform.</w:t>
      </w:r>
    </w:p>
    <w:p>
      <w:pPr>
        <w:spacing w:after="0" w:line="63"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We use our CAB technology platform to develop product candidates for cancer therapies. Any failures or setbacks involving our CAB technology platform, including adverse events, could have a detrimental impact on all of our product candidates and our research pipeline. For example, we may uncover a previously unknown risk associated with CABs or other issues that may be more problematic than we currently believe, which may prolong the period of observation required for obtaining, necessitate additional clinical testing or result in the failure to obtain, regulatory approval. If our CAB technology is not safe in certain product candidates, we would be required to abandon or redesign all of our current product candidates, which could have a material adverse effect on our business, financial condition, results of operations and prospects.</w:t>
      </w:r>
    </w:p>
    <w:p>
      <w:pPr>
        <w:spacing w:after="0" w:line="28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patented CAB technology platform to continue to build a pipeline of product candidates and develop marketable products.</w:t>
      </w:r>
    </w:p>
    <w:p>
      <w:pPr>
        <w:spacing w:after="0" w:line="63"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We are using our patented technology platform to develop CABs in oncology indications with our lead product candidates mecbotamab vedotin and ozuriftamab vedotin, as well as continuing to build our pipeline of product candidates. Our business depends not only on our ability to successfully develop, obtain regulatory approval for, and commercialize the product candidates we currently have in clinical and preclinical development, but to continue to generate new product candidates through our platform. Even if we are successful in continuing to build our pipeline and further progress the clinical development of our current product candidates, any additional product candidates may not be suitable for clinical development, including as a result of harmful side effects, manufacturing issues, limited efficacy or other characteristics that indicate that they are unlikely to be products that will succeed in clinical development, receive marketing approval or achieve market acceptance. If we cannot validate our technology platform by successfully commercializing CAB product candidates, we may not be able to obtain product, licensing or collaboration revenue in future periods, which would adversely affect our business, financial condition, results of operations and prospects.</w:t>
      </w:r>
    </w:p>
    <w:p>
      <w:pPr>
        <w:spacing w:after="0" w:line="29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We may expend our resources to pursue particular product candidates and fail to capitalize on product candidates that may be more profitable or for which there is a greater likelihood of success.</w:t>
      </w:r>
    </w:p>
    <w:p>
      <w:pPr>
        <w:spacing w:after="0" w:line="63"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color w:val="auto"/>
        </w:rPr>
        <w:t>As a result of our limited financial and managerial resources, we must make strategic decisions as to which targets and product candidates to pursue and may forego or delay pursuit of opportunities with other targets or product candidates or for other indications that later prove to have greater commercial potential.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programs and product candidates for specific targets or indications may not yield any commercially viable products. Our understanding and evaluation of biological targets for the discovery and development of new CAB product candidates may fail to identify challenges encountered in subsequent preclinical and clinical development. If we do not accurately evaluate the likelihood of clinical trial success,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6" w:name="page27"/>
    <w:bookmarkEnd w:id="26"/>
    <w:p>
      <w:pPr>
        <w:ind w:right="600"/>
        <w:spacing w:after="0" w:line="261" w:lineRule="auto"/>
        <w:rPr>
          <w:sz w:val="20"/>
          <w:szCs w:val="20"/>
          <w:color w:val="auto"/>
        </w:rPr>
      </w:pPr>
      <w:r>
        <w:rPr>
          <w:rFonts w:ascii="Arial" w:cs="Arial" w:eastAsia="Arial" w:hAnsi="Arial"/>
          <w:sz w:val="18"/>
          <w:szCs w:val="18"/>
          <w:b w:val="1"/>
          <w:bCs w:val="1"/>
          <w:i w:val="1"/>
          <w:iCs w:val="1"/>
          <w:color w:val="auto"/>
        </w:rPr>
        <w:t>If the market opportunities for any product that we develop are smaller than we believe they are, our revenue may be adversely affected and our business may suffer.</w:t>
      </w:r>
    </w:p>
    <w:p>
      <w:pPr>
        <w:spacing w:after="0" w:line="63" w:lineRule="exact"/>
        <w:rPr>
          <w:sz w:val="20"/>
          <w:szCs w:val="20"/>
          <w:color w:val="auto"/>
        </w:rPr>
      </w:pPr>
    </w:p>
    <w:p>
      <w:pPr>
        <w:ind w:right="240" w:firstLine="509"/>
        <w:spacing w:after="0" w:line="253" w:lineRule="auto"/>
        <w:rPr>
          <w:sz w:val="20"/>
          <w:szCs w:val="20"/>
          <w:color w:val="auto"/>
        </w:rPr>
      </w:pPr>
      <w:r>
        <w:rPr>
          <w:rFonts w:ascii="Arial" w:cs="Arial" w:eastAsia="Arial" w:hAnsi="Arial"/>
          <w:sz w:val="17"/>
          <w:szCs w:val="17"/>
          <w:color w:val="auto"/>
        </w:rPr>
        <w:t>We focus our product candidate development on therapeutic CAB antibodies for the treatment of various oncology indications, such as soft tissue and bone sarcoma, NSCLC, melanoma, ovarian cancer, and head and neck cancer among others. Our projections of addressable patient populations that may benefit from treatment with our product candidates are based on our estimates. These estimates, which have been derived from a variety of sources, including scientific literature, surveys of clinics, physician interviews,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In addition, the subset of patients that are likely to respond to our product candidates, as identified by our quantitative biomarker assay/Target Membrane Percent Score ("TmPS"), may not correspond with and may be smaller than what market data may indicate.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88"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The market may not be receptive to our product candidates because they are based on our novel therapeutic modality, and we may not generate any future revenue from the sale or licensing of product candidates.</w:t>
      </w:r>
    </w:p>
    <w:p>
      <w:pPr>
        <w:spacing w:after="0" w:line="63"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The product candidates that we are developing are primarily based on our patented CAB technology platform, which uses new technologies to create our novel therapeutic approach. Market participants with significant influence over acceptance of new treatments, such as physicians and third-party payors, may not adopt a product or treatment based on our patented technology platform, and we may not be able to convince patients, the medical community and third-party payors to accept and use, or to provide favorable reimbursement for, any product candidates developed by us or our existing or future collaborators. Market acceptance of our product candidates will depend on, among other factors:</w:t>
      </w:r>
    </w:p>
    <w:p>
      <w:pPr>
        <w:spacing w:after="0" w:line="66" w:lineRule="exact"/>
        <w:rPr>
          <w:sz w:val="20"/>
          <w:szCs w:val="20"/>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our receipt of any marketing and commercialization approvals;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of any approvals and the countries in which approvals are obtained;</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safety and efficacy of our product candidates;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our product candidates;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or warnings contained in any labeling approved by the FDA or other regulatory authority, including the EMA;</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patients to obtain biopsies to determine the TmPS score for treatment eligibility;</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our product candidates;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patients to accept any new methods of administration;</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any physician education programs;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adequate government and third-party payor reimbursement;</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pricing of our products, particularly as compared to alternative treatments; and</w:t>
      </w:r>
    </w:p>
    <w:p>
      <w:pPr>
        <w:spacing w:after="0" w:line="103" w:lineRule="exact"/>
        <w:rPr>
          <w:rFonts w:ascii="Arial" w:cs="Arial" w:eastAsia="Arial" w:hAnsi="Arial"/>
          <w:sz w:val="18"/>
          <w:szCs w:val="18"/>
          <w:color w:val="auto"/>
        </w:rPr>
      </w:pPr>
    </w:p>
    <w:p>
      <w:pPr>
        <w:ind w:left="1000" w:right="300" w:hanging="368"/>
        <w:spacing w:after="0" w:line="261"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of alternative effective treatments for the disease indications our product candidates are intended to treat and the relative risks, benefits and costs of those treatments.</w:t>
      </w:r>
    </w:p>
    <w:p>
      <w:pPr>
        <w:spacing w:after="0" w:line="171"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If any product candidate we commercialize fails to achieve market acceptance, it could have a material and adverse effect on our business, financial condition, results of operations and prospects.</w:t>
      </w:r>
    </w:p>
    <w:p>
      <w:pPr>
        <w:spacing w:after="0" w:line="27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63" w:lineRule="exact"/>
        <w:rPr>
          <w:sz w:val="20"/>
          <w:szCs w:val="20"/>
          <w:color w:val="auto"/>
        </w:rPr>
      </w:pPr>
    </w:p>
    <w:p>
      <w:pPr>
        <w:ind w:right="20" w:firstLine="509"/>
        <w:spacing w:after="0" w:line="251" w:lineRule="auto"/>
        <w:rPr>
          <w:sz w:val="20"/>
          <w:szCs w:val="20"/>
          <w:color w:val="auto"/>
        </w:rPr>
      </w:pPr>
      <w:r>
        <w:rPr>
          <w:rFonts w:ascii="Arial" w:cs="Arial" w:eastAsia="Arial" w:hAnsi="Arial"/>
          <w:sz w:val="17"/>
          <w:szCs w:val="17"/>
          <w:color w:val="auto"/>
        </w:rPr>
        <w:t>Positive and promising results from preclinical studies and early-stage clinical trials may not be predictive of results from late-stage clinical trials or from clinical trials of the same product candidates for the treatment of other indications.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 Moreover, success in clinical trials in a particular indication does not guarantee that a product candidate will be successful for the treatment of other indications. Many companies in the biopharmaceutical industry have suffered significant setbacks in late-stage clinical trials after achieving encouraging or positive results in early-stage development. We cannot assure you that we will not face similar setbacks in our ongoing or planned clinical trials, including in our Phase 2 clinical trials of mecbotamab vedotin for the treatment of soft tissue and bone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7" w:name="page28"/>
    <w:bookmarkEnd w:id="27"/>
    <w:p>
      <w:pPr>
        <w:ind w:right="740"/>
        <w:spacing w:after="0" w:line="261" w:lineRule="auto"/>
        <w:rPr>
          <w:sz w:val="20"/>
          <w:szCs w:val="20"/>
          <w:color w:val="auto"/>
        </w:rPr>
      </w:pPr>
      <w:r>
        <w:rPr>
          <w:rFonts w:ascii="Arial" w:cs="Arial" w:eastAsia="Arial" w:hAnsi="Arial"/>
          <w:sz w:val="18"/>
          <w:szCs w:val="18"/>
          <w:color w:val="auto"/>
        </w:rPr>
        <w:t>sarcoma and for the treatment of PD-1 refractory NSCLC, in our Phase 2 clinical trial of ozuriftamab vedotin for the treatment of PD-1 refractory melanoma and NSCLC and in any subsequent or post-marketing confirmatory clinical trials.</w:t>
      </w:r>
    </w:p>
    <w:p>
      <w:pPr>
        <w:spacing w:after="0" w:line="63" w:lineRule="exact"/>
        <w:rPr>
          <w:sz w:val="20"/>
          <w:szCs w:val="20"/>
          <w:color w:val="auto"/>
        </w:rPr>
      </w:pPr>
    </w:p>
    <w:p>
      <w:pPr>
        <w:ind w:right="40" w:firstLine="509"/>
        <w:spacing w:after="0" w:line="269" w:lineRule="auto"/>
        <w:rPr>
          <w:sz w:val="20"/>
          <w:szCs w:val="20"/>
          <w:color w:val="auto"/>
        </w:rPr>
      </w:pPr>
      <w:r>
        <w:rPr>
          <w:rFonts w:ascii="Arial" w:cs="Arial" w:eastAsia="Arial" w:hAnsi="Arial"/>
          <w:sz w:val="16"/>
          <w:szCs w:val="16"/>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will agree with our clinical trial plans. For example, we have initiated potentially registration-enabling Phase 2 trials for mecbotamab vedotin in treatment-refractory sarcoma patients and PD-1 refractory NSCLC. The FDA has reviewed the trial designs but has not opined on whether the Phase 2 clinical trials will in fact be sufficient to support regulatory approval. However, we intend to ask the FDA to consider this further at the planned interim data review point or points. We cannot assure you that the FDA will agree that such data will be sufficient to support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spacing w:after="0" w:line="63" w:lineRule="exact"/>
        <w:rPr>
          <w:sz w:val="20"/>
          <w:szCs w:val="20"/>
          <w:color w:val="auto"/>
        </w:rPr>
      </w:pPr>
    </w:p>
    <w:p>
      <w:pPr>
        <w:ind w:right="80" w:firstLine="509"/>
        <w:spacing w:after="0" w:line="252" w:lineRule="auto"/>
        <w:rPr>
          <w:sz w:val="20"/>
          <w:szCs w:val="20"/>
          <w:color w:val="auto"/>
        </w:rPr>
      </w:pPr>
      <w:r>
        <w:rPr>
          <w:rFonts w:ascii="Arial" w:cs="Arial" w:eastAsia="Arial" w:hAnsi="Arial"/>
          <w:sz w:val="17"/>
          <w:szCs w:val="17"/>
          <w:color w:val="auto"/>
        </w:rPr>
        <w:t>Furthermore, while multi-center investigator-initiated clinical trials of mecbotamab vedotin and ozuriftamab vedotin in patients with platinum-resistant ovarian cancer are expected to enroll patients in Canada in the first half of 2022, we do not control the design or administration of these or any other investigator-initiated trials that may be conducted, nor the submission or approval of any IND or foreign equivalent required to conduct any such trials. Any investigator-initiated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investigator-initiated trials are inconsistent with, or different from, the results of our ongoing or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investigator-initiated trials could be useful to inform our own clinical development efforts, there is no guarantee that we will be able to use the data from these trials to form the basis for regulatory approval of our product candidates.</w:t>
      </w:r>
    </w:p>
    <w:p>
      <w:pPr>
        <w:spacing w:after="0" w:line="291" w:lineRule="exact"/>
        <w:rPr>
          <w:sz w:val="20"/>
          <w:szCs w:val="20"/>
          <w:color w:val="auto"/>
        </w:rPr>
      </w:pPr>
    </w:p>
    <w:p>
      <w:pPr>
        <w:ind w:right="260"/>
        <w:spacing w:after="0" w:line="324" w:lineRule="auto"/>
        <w:rPr>
          <w:sz w:val="20"/>
          <w:szCs w:val="20"/>
          <w:color w:val="auto"/>
        </w:rPr>
      </w:pPr>
      <w:r>
        <w:rPr>
          <w:rFonts w:ascii="Arial" w:cs="Arial" w:eastAsia="Arial" w:hAnsi="Arial"/>
          <w:sz w:val="16"/>
          <w:szCs w:val="16"/>
          <w:b w:val="1"/>
          <w:bCs w:val="1"/>
          <w:i w:val="1"/>
          <w:iCs w:val="1"/>
          <w:color w:val="auto"/>
        </w:rPr>
        <w:t>Preliminary, preplanned interim and topline data from our clinical trials that we announce or publish from time to time may change as more patient data become available and/or are subject to audit and verification procedures that could result in material changes in the final data.</w:t>
      </w:r>
    </w:p>
    <w:p>
      <w:pPr>
        <w:spacing w:after="0" w:line="16"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From time to time, we may publicly disclose preliminary, preplanned interim or topline data from our clinical trials. These data and related findings and conclusions may only reflect certain endpoints rather than all endpoints and are subject to change.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preliminary results that we report may differ from future results of the same studies, or different conclusions or considerations may qualify such results, once additional data have been received and fully evaluated. Topline data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preplanned interim analyses of the clinical trials we may complete, which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167"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preplanned interim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8" w:name="page29"/>
    <w:bookmarkEnd w:id="28"/>
    <w:p>
      <w:pPr>
        <w:ind w:right="120"/>
        <w:spacing w:after="0" w:line="261" w:lineRule="auto"/>
        <w:rPr>
          <w:sz w:val="20"/>
          <w:szCs w:val="20"/>
          <w:color w:val="auto"/>
        </w:rPr>
      </w:pPr>
      <w:r>
        <w:rPr>
          <w:rFonts w:ascii="Arial" w:cs="Arial" w:eastAsia="Arial" w:hAnsi="Arial"/>
          <w:sz w:val="18"/>
          <w:szCs w:val="18"/>
          <w:b w:val="1"/>
          <w:bCs w:val="1"/>
          <w:i w:val="1"/>
          <w:iCs w:val="1"/>
          <w:color w:val="auto"/>
        </w:rPr>
        <w:t>Delays in the commencement and completion of clinical trials could increase costs and delay or prevent regulatory approval and commercialization of our product candidates.</w:t>
      </w:r>
    </w:p>
    <w:p>
      <w:pPr>
        <w:spacing w:after="0" w:line="63" w:lineRule="exact"/>
        <w:rPr>
          <w:sz w:val="20"/>
          <w:szCs w:val="20"/>
          <w:color w:val="auto"/>
        </w:rPr>
      </w:pPr>
    </w:p>
    <w:p>
      <w:pPr>
        <w:jc w:val="both"/>
        <w:ind w:right="200" w:firstLine="509"/>
        <w:spacing w:after="0" w:line="270" w:lineRule="auto"/>
        <w:rPr>
          <w:sz w:val="20"/>
          <w:szCs w:val="20"/>
          <w:color w:val="auto"/>
        </w:rPr>
      </w:pPr>
      <w:r>
        <w:rPr>
          <w:rFonts w:ascii="Arial" w:cs="Arial" w:eastAsia="Arial" w:hAnsi="Arial"/>
          <w:sz w:val="17"/>
          <w:szCs w:val="17"/>
          <w:color w:val="auto"/>
        </w:rPr>
        <w:t>We cannot guarantee that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spacing w:after="0" w:line="56" w:lineRule="exact"/>
        <w:rPr>
          <w:sz w:val="20"/>
          <w:szCs w:val="20"/>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preclinical data;</w:t>
      </w:r>
    </w:p>
    <w:p>
      <w:pPr>
        <w:spacing w:after="0" w:line="103" w:lineRule="exact"/>
        <w:rPr>
          <w:rFonts w:ascii="Arial" w:cs="Arial" w:eastAsia="Arial" w:hAnsi="Arial"/>
          <w:sz w:val="18"/>
          <w:szCs w:val="18"/>
          <w:color w:val="auto"/>
        </w:rPr>
      </w:pPr>
    </w:p>
    <w:p>
      <w:pPr>
        <w:ind w:left="1000" w:right="60" w:hanging="368"/>
        <w:spacing w:after="0" w:line="261"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receiving the required regulatory clearance from the appropriate regulatory authorities to commence clinical trials or amend clinical trial protocols, including any objections to our INDs or protocol amendments from the FDA;</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reaching, or a failure to reach, a consensus with regulatory authorities on study design;</w:t>
      </w:r>
    </w:p>
    <w:p>
      <w:pPr>
        <w:spacing w:after="0" w:line="103" w:lineRule="exact"/>
        <w:rPr>
          <w:rFonts w:ascii="Arial" w:cs="Arial" w:eastAsia="Arial" w:hAnsi="Arial"/>
          <w:sz w:val="18"/>
          <w:szCs w:val="18"/>
          <w:color w:val="auto"/>
        </w:rPr>
      </w:pPr>
    </w:p>
    <w:p>
      <w:pPr>
        <w:ind w:left="1000" w:right="200" w:hanging="368"/>
        <w:spacing w:after="0" w:line="261"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terms with prospective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obtaining IRB approval at each site;</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challenges in recruiting suitable patients to participate in a trial;</w:t>
      </w:r>
    </w:p>
    <w:p>
      <w:pPr>
        <w:spacing w:after="0" w:line="103" w:lineRule="exact"/>
        <w:rPr>
          <w:rFonts w:ascii="Arial" w:cs="Arial" w:eastAsia="Arial" w:hAnsi="Arial"/>
          <w:sz w:val="18"/>
          <w:szCs w:val="18"/>
          <w:color w:val="auto"/>
        </w:rPr>
      </w:pPr>
    </w:p>
    <w:p>
      <w:pPr>
        <w:ind w:left="1000" w:right="380" w:hanging="368"/>
        <w:spacing w:after="0" w:line="261"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clinical trials to ensure adequate statistical power to detect statistically significant treatment effects;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having patients complete a trial or return for post-treatment follow-up;</w:t>
      </w:r>
    </w:p>
    <w:p>
      <w:pPr>
        <w:spacing w:after="0" w:line="103" w:lineRule="exact"/>
        <w:rPr>
          <w:rFonts w:ascii="Arial" w:cs="Arial" w:eastAsia="Arial" w:hAnsi="Arial"/>
          <w:sz w:val="18"/>
          <w:szCs w:val="18"/>
          <w:color w:val="auto"/>
        </w:rPr>
      </w:pPr>
    </w:p>
    <w:p>
      <w:pPr>
        <w:ind w:left="1000" w:right="140" w:hanging="368"/>
        <w:spacing w:after="0" w:line="261"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CROs or clinical trial sites failing to comply with regulatory requirements or meet their contractual obligations to us in a timely manner, or at all, deviating from the protocol or dropping out of a clinical trial;</w:t>
      </w:r>
    </w:p>
    <w:p>
      <w:pPr>
        <w:spacing w:after="0" w:line="62" w:lineRule="exact"/>
        <w:rPr>
          <w:rFonts w:ascii="Arial" w:cs="Arial" w:eastAsia="Arial" w:hAnsi="Arial"/>
          <w:sz w:val="18"/>
          <w:szCs w:val="18"/>
          <w:color w:val="auto"/>
        </w:rPr>
      </w:pPr>
    </w:p>
    <w:p>
      <w:pPr>
        <w:ind w:left="1000" w:right="240" w:hanging="368"/>
        <w:spacing w:after="0" w:line="261"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safety issues, including occurrence of treatment emergent adverse events, or TEAEs, associated with the product candidate that are viewed to outweigh the product candidate’s potential benefits;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adding new clinical trial sites;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ambiguous or negative interim results;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difficulties in manufacturing sufficient quantities of acceptable product candidate for use in clinical trials in a timely manner, or at all; or</w:t>
      </w:r>
    </w:p>
    <w:p>
      <w:pPr>
        <w:spacing w:after="0" w:line="115" w:lineRule="exact"/>
        <w:rPr>
          <w:rFonts w:ascii="Arial" w:cs="Arial" w:eastAsia="Arial" w:hAnsi="Arial"/>
          <w:sz w:val="17"/>
          <w:szCs w:val="17"/>
          <w:color w:val="auto"/>
        </w:rPr>
      </w:pPr>
    </w:p>
    <w:p>
      <w:pPr>
        <w:ind w:left="1000" w:hanging="368"/>
        <w:spacing w:after="0" w:line="24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COVID-19 pandemic, which continues to adversely affect the pace of patient enrollment in clinical trials, also has caused clinical sites to redirect personnel and resources to focus on immediate and often unplanned numbers and needs of COVID-19 patients. In addition, the pandemic may result in clinical site closures, delays to patient enrollment, patients discontinuing their treatment or follow up visits or changes to trial protocols.</w:t>
      </w:r>
    </w:p>
    <w:p>
      <w:pPr>
        <w:spacing w:after="0" w:line="188"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by a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spacing w:after="0" w:line="167"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In addition, data obtained from trials and studies are susceptible to varying interpretations, and regulators may not interpret our data as favorably as we do, which may delay, limit or prevent regulatory approval. Our clinical trial results may not be successful, or even if successful, may not lead to regulatory approval.</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9" w:name="page30"/>
    <w:bookmarkEnd w:id="29"/>
    <w:p>
      <w:pPr>
        <w:ind w:right="580"/>
        <w:spacing w:after="0" w:line="261"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63"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We may encounter delays or difficulties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 For example, we may face difficulty enrolling a sufficient number of patients in a timely manner in our clinical trials for mecbotamab vedotin and ozuriftamab vedotin due to the limited number of suitable patients meeting the required AXL or ROR2 tumor membrane expression levels.</w:t>
      </w:r>
    </w:p>
    <w:p>
      <w:pPr>
        <w:spacing w:after="0" w:line="66"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Patient enrollment and retention in clinical trials depends on many factors, including the size and nature of the patient population, the nature of the trial protocol, our ability to recruit clinical trial investigators with the appropriate competencies and experience, delays in enrollment due to travel or quarantine policies, or other factors, related to the COVID-19 pandemic or other epidemics or pandemics,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including criteria related to biomarkers, our ability to obtain and maintain patient consents, including any additional consents necessary for enrollment of adolescent patients, and our ability to successfully complete prerequisite studies before enrolling certain patient populations. Furthermore, any negative results or new safety signals we may report in clinical trials of our product candidates may make it difficult or impossible to recruit and retain patients in other clinical trials we are conducting. Similarly, negative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spacing w:after="0" w:line="7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Delays or failures in planned patient enrollment or retention may result in increased costs, program delays or both, which could have a harmful effect on our ability to develop our product candidates or could render further development impossible. In addition, we rely on clinical trial sites to ensure timely conduct of our clinical trials and, while we have entered into agreements governing their services, we are limited in our ability to compel their actual performance.</w:t>
      </w:r>
    </w:p>
    <w:p>
      <w:pPr>
        <w:spacing w:after="0" w:line="296" w:lineRule="exact"/>
        <w:rPr>
          <w:sz w:val="20"/>
          <w:szCs w:val="20"/>
          <w:color w:val="auto"/>
        </w:rPr>
      </w:pPr>
    </w:p>
    <w:p>
      <w:pPr>
        <w:ind w:right="500"/>
        <w:spacing w:after="0" w:line="356" w:lineRule="auto"/>
        <w:rPr>
          <w:sz w:val="20"/>
          <w:szCs w:val="20"/>
          <w:color w:val="auto"/>
        </w:rPr>
      </w:pPr>
      <w:r>
        <w:rPr>
          <w:rFonts w:ascii="Arial" w:cs="Arial" w:eastAsia="Arial" w:hAnsi="Arial"/>
          <w:sz w:val="15"/>
          <w:szCs w:val="15"/>
          <w:b w:val="1"/>
          <w:bCs w:val="1"/>
          <w:i w:val="1"/>
          <w:iCs w:val="1"/>
          <w:color w:val="auto"/>
        </w:rPr>
        <w:t>Our product candidates may cause undesirable and unforeseen side effects or have other properties impacting safety that could halt their clinical development, delay or prevent their regulatory approval, limit their commercial potential or result in significant negative consequences.</w:t>
      </w:r>
    </w:p>
    <w:p>
      <w:pPr>
        <w:spacing w:after="0" w:line="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and potential product liability claims. Such side effects could also affect patient recruitment or the ability of enrolled patients to complete the trial. Many compounds developed in the biopharmaceutical industry that initially showed promise in early-stage testing for treating cancer have later been found to cause side effects that prevented their further development. Any of these occurrences may materially and adversely affect our business, financial condition, results of operations and prospects.</w:t>
      </w:r>
    </w:p>
    <w:p>
      <w:pPr>
        <w:spacing w:after="0" w:line="189"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auto"/>
        </w:rPr>
        <w:t>In our clinical trials for mecbotamab vedotin and ozuriftamab vedotin, we have observed adverse events such as reversible myelosuppression, transient liver enzyme elevations, pyrexia, or fever, metabolic disturbances and peripheral neuropathy.</w:t>
      </w:r>
    </w:p>
    <w:p>
      <w:pPr>
        <w:spacing w:after="0" w:line="171"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For our current and future clinical trials, we have contracted with and expect to continue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w:t>
      </w:r>
    </w:p>
    <w:p>
      <w:pPr>
        <w:spacing w:after="0" w:line="189"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 For example, while we believe that mecbotamab vedotin and ozuriftamab vedotin have demonstrated manageable tolerability profiles thus far, we cannot assure you that these and our other product candidates will not cause more severe side effects in a greater proportion of patients.</w:t>
      </w:r>
    </w:p>
    <w:p>
      <w:pPr>
        <w:spacing w:after="0" w:line="189"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In addition, mecbotamab vedotin and ozuriftamab vedotin are being studied in combination with other therapies, which may exacerbate adverse events associated with the therapy. Patients treated with mecbotamab vedotin, ozuriftamab vedotin or our other product candidates may also be undergoing surgical, radiation or chemotherapy treatments, which can cause side effects or adverse events that are unrelated to our product candidate but may still impact the success of our clinical trials.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0" w:name="page31"/>
    <w:bookmarkEnd w:id="30"/>
    <w:p>
      <w:pPr>
        <w:ind w:right="80" w:firstLine="509"/>
        <w:spacing w:after="0" w:line="243" w:lineRule="auto"/>
        <w:rPr>
          <w:sz w:val="20"/>
          <w:szCs w:val="20"/>
          <w:color w:val="auto"/>
        </w:rPr>
      </w:pPr>
      <w:r>
        <w:rPr>
          <w:rFonts w:ascii="Arial" w:cs="Arial" w:eastAsia="Arial" w:hAnsi="Arial"/>
          <w:sz w:val="18"/>
          <w:szCs w:val="18"/>
          <w:color w:val="auto"/>
        </w:rPr>
        <w:t>The inclusion of critically ill patients in our clinical trials may result in deaths or other adverse medical events due to other therapies or medications that such patients may be using or due to the gravity of such patients’ illnesses. For example, some of the late-stage patients enrolled in our mecbotamab vedotin and ozuriftamab vedotin clinical trials may die or experience major clinical events either during the course of our clinical trials or after participating in such trials due mainly to the gravity of their illness, which has occurred in the past.</w:t>
      </w:r>
    </w:p>
    <w:p>
      <w:pPr>
        <w:spacing w:after="0" w:line="188"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In the event that any of our product candidates receive regulatory approval, and we or others later identify undesirable and unforeseen side effects caused by such product, negative consequences, including any of the following, could occur:</w:t>
      </w:r>
    </w:p>
    <w:p>
      <w:pPr>
        <w:spacing w:after="0" w:line="63" w:lineRule="exact"/>
        <w:rPr>
          <w:sz w:val="20"/>
          <w:szCs w:val="20"/>
          <w:color w:val="auto"/>
        </w:rPr>
      </w:pPr>
    </w:p>
    <w:p>
      <w:pPr>
        <w:ind w:left="1000" w:right="620" w:hanging="368"/>
        <w:spacing w:after="0" w:line="261"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suspend, limit or withdraw their approval of such product, or seek an injunction against its manufacture or distribution;</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conduct additional clinical trials or post-approval studies;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03" w:lineRule="exact"/>
        <w:rPr>
          <w:rFonts w:ascii="Arial" w:cs="Arial" w:eastAsia="Arial" w:hAnsi="Arial"/>
          <w:sz w:val="18"/>
          <w:szCs w:val="18"/>
          <w:color w:val="auto"/>
        </w:rPr>
      </w:pPr>
    </w:p>
    <w:p>
      <w:pPr>
        <w:ind w:left="1000" w:right="480" w:hanging="368"/>
        <w:spacing w:after="0" w:line="261"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1000" w:right="140" w:hanging="368"/>
        <w:spacing w:after="0" w:line="324"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such as a boxed warning or a contraindication, or issue safety alerts, Dear Healthcare Provider letters, press releases or other communications containing warnings or other safety information about the product;</w:t>
      </w:r>
    </w:p>
    <w:p>
      <w:pPr>
        <w:spacing w:after="0" w:line="16" w:lineRule="exact"/>
        <w:rPr>
          <w:rFonts w:ascii="Arial" w:cs="Arial" w:eastAsia="Arial" w:hAnsi="Arial"/>
          <w:sz w:val="16"/>
          <w:szCs w:val="16"/>
          <w:color w:val="auto"/>
        </w:rPr>
      </w:pPr>
    </w:p>
    <w:p>
      <w:pPr>
        <w:ind w:left="1000" w:right="620" w:hanging="368"/>
        <w:spacing w:after="0" w:line="261"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implement a REMs and/or create a Medication Guide outlining the risks of such side effects for distribution to patients, a communication plan for healthcare providers and/or other elements to assure safe use;</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jc w:val="both"/>
        <w:ind w:right="20" w:firstLine="509"/>
        <w:spacing w:after="0" w:line="294" w:lineRule="auto"/>
        <w:rPr>
          <w:sz w:val="20"/>
          <w:szCs w:val="20"/>
          <w:color w:val="auto"/>
        </w:rPr>
      </w:pPr>
      <w:r>
        <w:rPr>
          <w:rFonts w:ascii="Arial" w:cs="Arial" w:eastAsia="Arial" w:hAnsi="Arial"/>
          <w:sz w:val="16"/>
          <w:szCs w:val="16"/>
          <w:color w:val="auto"/>
        </w:rPr>
        <w:t>Any of these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prove to be unsafe, our business, financial condition, results of operations and prospects may be materially and adversely affected.</w:t>
      </w:r>
    </w:p>
    <w:p>
      <w:pPr>
        <w:spacing w:after="0" w:line="25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We are developing certain of our product candidates in combination with other therapies, and regulatory approval, safety or supply issues with these other therapies may delay or prevent the development and approval of our product candidates.</w:t>
      </w:r>
    </w:p>
    <w:p>
      <w:pPr>
        <w:spacing w:after="0" w:line="6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Currently, we are evaluating the use of each of mecbotamab vedotin and ozuriftamab vedotin in combination with an anti-PD-1 inhibitor and plan to evaluate the use of BA3071 in combination with an anti-PD-1 inhibitor. In the future, we may explore the use of these or our other product candidates in combination with other therapies.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foreign regulatory authorities in other jurisdictions may require us to conduct additional clinical trials. The occurrence of any of these risks could result in our product candidates, if approved, being removed from the market or being less successful commercially.</w:t>
      </w:r>
    </w:p>
    <w:p>
      <w:pPr>
        <w:spacing w:after="0" w:line="19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Where we develop a product candidate for use in combination with a therapy that has not been approved by the FDA, EMA or comparable foreign regulatory authorities in other jurisdictions, we will not be able to market our product candidate for use in combination with such an unapproved therapy, unless and until the unapproved therapy receives regulatory approval. It is expected that BA3071 will also be evaluated in combination with an anti-PD-1 antibody in late stage development for solid tumor patients.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16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If the FDA, EMA or comparable foreign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1" w:name="page32"/>
    <w:bookmarkEnd w:id="31"/>
    <w:p>
      <w:pPr>
        <w:ind w:right="180"/>
        <w:spacing w:after="0" w:line="301" w:lineRule="auto"/>
        <w:rPr>
          <w:sz w:val="20"/>
          <w:szCs w:val="20"/>
          <w:color w:val="auto"/>
        </w:rPr>
      </w:pPr>
      <w:r>
        <w:rPr>
          <w:rFonts w:ascii="Arial" w:cs="Arial" w:eastAsia="Arial" w:hAnsi="Arial"/>
          <w:sz w:val="15"/>
          <w:szCs w:val="15"/>
          <w:b w:val="1"/>
          <w:bCs w:val="1"/>
          <w:i w:val="1"/>
          <w:iCs w:val="1"/>
          <w:color w:val="auto"/>
        </w:rPr>
        <w:t>If safe and effective use of any of our product candidates, such as mecbotamab vedotin and ozuriftamab vedotin, depends on a companion diagnostic test, then the FDA generally will require approval or clearance of that companion diagnostic at the same time that the FDA approves our product candidates, if at all. If we are unable to successfully develop companion diagnostic tests for our product candidates, experience significant delays in doing so, rely on third parties in the development of such companion diagnostic tests, or do not obtain or face delays in obtaining FDA approval of a companion diagnostic test, the full commercial potential of our product candidates and our ability to generate revenue will be materially impaired.</w:t>
      </w:r>
    </w:p>
    <w:p>
      <w:pPr>
        <w:spacing w:after="0" w:line="39"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We are exploring predictive biomarkers to determine patient selection for our clinical trials. Specifically, to help inform which patients may be most suitable for treatment with mecbotamab vedotin and ozuriftamab vedotin, we have developed a quantitative biomarker assay that has been validated in accordance with CLIA requirements, the TmPS, which measures AXL and ROR2 expression levels on the tumor membrane and cytoplasm. We are using both AXL and ROR2 TmPS scores in our ongoing clinical trials and they may be used for patient selection in future clinical trials. If the AXL and ROR2 TmPS scores prove to be a useful method for patient selection, we will incorporate the specific diagnostic test into our registrational studies and partner with the appropriate diagnostic provider to codevelop a companion diagnostic.</w:t>
      </w:r>
    </w:p>
    <w:p>
      <w:pPr>
        <w:spacing w:after="0" w:line="67"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If use of a companion diagnostic test is essential for the safe and effective use of any of our product candidates, such as mecbotamab vedotin and ozuriftamab vedotin, then the FDA generally will require approval or clearance of that companion diagnostic at the same time that the FDA approves our product candidates, if at all. The FDA has generally required in vitro companion diagnostics intended to select the patients who will respond to cancer treatment to obtain a PMA for that diagnostic simultaneously with approval of the therapeutic. The process of obtaining or creating such diagnostic and obtaining PMA approval is time-consuming and costly and a delay in diagnostic approval could delay drug approval.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policies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adversely affect our business, financial condition, results of operations and prospects.</w:t>
      </w:r>
    </w:p>
    <w:p>
      <w:pPr>
        <w:spacing w:after="0" w:line="77"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expect to rely on third parties for the design, development and manufacture of companion diagnostic tests for our product candidates that require such tests. If the FDA, EMA or a comparable foreign regulatory authority requires approval of a companion diagnostic for any of our product candidates, whether before or after it obtains marketing approval, we, and/or future collaborators, may encounter difficulties in developing and obtaining approval for such product candidate. If we or our third-party collaborators experience any delay in developing or obtaining regulatory approval of a companion diagnostic,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mecbotamab vedotin and ozuriftamab vedotin.</w:t>
      </w:r>
    </w:p>
    <w:p>
      <w:pPr>
        <w:spacing w:after="0" w:line="29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39" w:lineRule="exact"/>
        <w:rPr>
          <w:sz w:val="20"/>
          <w:szCs w:val="20"/>
          <w:color w:val="auto"/>
        </w:rPr>
      </w:pPr>
    </w:p>
    <w:p>
      <w:pPr>
        <w:ind w:right="80" w:firstLine="509"/>
        <w:spacing w:after="0" w:line="272" w:lineRule="auto"/>
        <w:rPr>
          <w:sz w:val="20"/>
          <w:szCs w:val="20"/>
          <w:color w:val="auto"/>
        </w:rPr>
      </w:pPr>
      <w:r>
        <w:rPr>
          <w:rFonts w:ascii="Arial" w:cs="Arial" w:eastAsia="Arial" w:hAnsi="Arial"/>
          <w:sz w:val="16"/>
          <w:szCs w:val="16"/>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and will develop product candidates and processes competitive with our product candidates. We believe that a significant number of products are currently under development, and may become commercially available in the future, for the treatment of conditions for which we are developing product candidates. We believe that while our patented CAB technology platform, its associated intellectual property and our scientific and technical know -how give us a competitive advantage in this space, competition from many sources remains. Our success will partially depend on our ability to develop and protect therapeutics that are safer and more effective than competing products. Our commercial opportunity and success will be reduced or eliminated if competing products are safer, more effective or less expensive than the therapeutics we develop.</w:t>
      </w:r>
    </w:p>
    <w:p>
      <w:pPr>
        <w:spacing w:after="0" w:line="168"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Although we do not believe competing companies have selective CAB technology, there is a wide array of activity in multiple areas of immune-based cellular therapies for oncology including CAR-T and T-cell receptor therapies. Certain companies are also pursuing antibody therapies in immuno-oncology, ADCs and various prodrug biologic products designed to be preferentially activated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2" w:name="page33"/>
    <w:bookmarkEnd w:id="32"/>
    <w:p>
      <w:pPr>
        <w:spacing w:after="0" w:line="255" w:lineRule="auto"/>
        <w:rPr>
          <w:sz w:val="20"/>
          <w:szCs w:val="20"/>
          <w:color w:val="auto"/>
        </w:rPr>
      </w:pPr>
      <w:r>
        <w:rPr>
          <w:rFonts w:ascii="Arial" w:cs="Arial" w:eastAsia="Arial" w:hAnsi="Arial"/>
          <w:sz w:val="17"/>
          <w:szCs w:val="17"/>
          <w:color w:val="auto"/>
        </w:rPr>
        <w:t>at tumor sites. There are several FDA approved ADC products and several companies in various stages of clinical development of ADCs mostly directed at oncology indications, a key feature of our product candidates mecbotamab vedotin and ozuriftamab vedotin. There are also companies developing technologies designed to deliver biologics and chemotherapeutic agents with some targeting capabilities. In addition, if any of our product candidates are approved in oncology indications, they may compete with existing biologics and small molecule therapies, or may be used in combination with existing therapies. There are also many other therapies under development that are intended to treat the same cancers that we are targeting or may target with our CAB platform, including through approaches that could prove to be more effective, have fewer side effects, be cheaper to manufacture, be more convenient to administer or have other advantages over any products resulting from our technologies.</w:t>
      </w:r>
    </w:p>
    <w:p>
      <w:pPr>
        <w:spacing w:after="0" w:line="180"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Many of our competitors, either alone or with strategic partners, have significantly greater financial, technical, manufacturing, marketing, sales and supply resources or experience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71" w:lineRule="exact"/>
        <w:rPr>
          <w:sz w:val="20"/>
          <w:szCs w:val="20"/>
          <w:color w:val="auto"/>
        </w:rPr>
      </w:pPr>
    </w:p>
    <w:p>
      <w:pPr>
        <w:ind w:right="260" w:firstLine="509"/>
        <w:spacing w:after="0" w:line="276" w:lineRule="auto"/>
        <w:rPr>
          <w:sz w:val="20"/>
          <w:szCs w:val="20"/>
          <w:color w:val="auto"/>
        </w:rPr>
      </w:pPr>
      <w:r>
        <w:rPr>
          <w:rFonts w:ascii="Arial" w:cs="Arial" w:eastAsia="Arial" w:hAnsi="Arial"/>
          <w:sz w:val="16"/>
          <w:szCs w:val="16"/>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62" w:lineRule="exact"/>
        <w:rPr>
          <w:sz w:val="20"/>
          <w:szCs w:val="20"/>
          <w:color w:val="auto"/>
        </w:rPr>
      </w:pPr>
    </w:p>
    <w:p>
      <w:pPr>
        <w:ind w:right="180" w:firstLine="509"/>
        <w:spacing w:after="0" w:line="284" w:lineRule="auto"/>
        <w:rPr>
          <w:sz w:val="20"/>
          <w:szCs w:val="20"/>
          <w:color w:val="auto"/>
        </w:rPr>
      </w:pPr>
      <w:r>
        <w:rPr>
          <w:rFonts w:ascii="Arial" w:cs="Arial" w:eastAsia="Arial" w:hAnsi="Arial"/>
          <w:sz w:val="16"/>
          <w:szCs w:val="16"/>
          <w:color w:val="auto"/>
        </w:rPr>
        <w:t>Our commercial opportunity could be substantially limited in the event that our competitors develop and commercialize products that are more effective, safer, less toxic or more convenient than products we may develop. In geographies that are critical to our commercial success, competitors may also obtain regulatory approvals before us, resulting in our competitors building a strong market position in advance of our products’ entry. Such competitors could also recruit our employees, which could negatively impact our level of expertise and our ability to execute our business plan.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biologic product candidates for which we intend to seek approval may face competition through an abbreviated pathway.</w:t>
      </w:r>
    </w:p>
    <w:p>
      <w:pPr>
        <w:spacing w:after="0" w:line="104"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The ACA includes a subtitle called the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product candidates.</w:t>
      </w:r>
    </w:p>
    <w:p>
      <w:pPr>
        <w:spacing w:after="0" w:line="76"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There is a risk that any product candidates we may develop that are approved as a biological product under a BLA would not qualify for the 12-year period of exclusivity or that this exclusivity could be shortened due to congressional action or otherwise, or that the FDA will not consider any product candidates we may develop to be reference products for competing products, potentially creating the opportunity for generic competition sooner than anticipated.</w:t>
      </w:r>
    </w:p>
    <w:p>
      <w:pPr>
        <w:spacing w:after="0" w:line="296"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failure could have a material and adverse effect on our business, financial condition, results of operations and prospects.</w:t>
      </w:r>
    </w:p>
    <w:p>
      <w:pPr>
        <w:spacing w:after="0" w:line="63" w:lineRule="exact"/>
        <w:rPr>
          <w:sz w:val="20"/>
          <w:szCs w:val="20"/>
          <w:color w:val="auto"/>
        </w:rPr>
      </w:pPr>
    </w:p>
    <w:p>
      <w:pPr>
        <w:jc w:val="both"/>
        <w:ind w:right="100" w:firstLine="509"/>
        <w:spacing w:after="0"/>
        <w:rPr>
          <w:sz w:val="20"/>
          <w:szCs w:val="20"/>
          <w:color w:val="auto"/>
        </w:rPr>
      </w:pPr>
      <w:r>
        <w:rPr>
          <w:rFonts w:ascii="Arial" w:cs="Arial" w:eastAsia="Arial" w:hAnsi="Arial"/>
          <w:sz w:val="18"/>
          <w:szCs w:val="18"/>
          <w:color w:val="auto"/>
        </w:rPr>
        <w:t>We expect to be exposed to significant product liability risks inherent in the development, testing and manufacturing of our product candidates and products, if approved. Product liability claims could delay or prevent completion of our development programs. If we succeed in marketing products, such claims could result in an FDA investigation of the safety and effectiveness of our</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3" w:name="page34"/>
    <w:bookmarkEnd w:id="33"/>
    <w:p>
      <w:pPr>
        <w:spacing w:after="0" w:line="270" w:lineRule="auto"/>
        <w:rPr>
          <w:sz w:val="20"/>
          <w:szCs w:val="20"/>
          <w:color w:val="auto"/>
        </w:rPr>
      </w:pPr>
      <w:r>
        <w:rPr>
          <w:rFonts w:ascii="Arial" w:cs="Arial" w:eastAsia="Arial" w:hAnsi="Arial"/>
          <w:sz w:val="16"/>
          <w:szCs w:val="16"/>
          <w:color w:val="auto"/>
        </w:rPr>
        <w:t>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In addition, we may be subject to liability based on the actions of our existing or future collaborators in connection with their development of products using our CAB technology. Furthermore, clinical trial and product liability insurance is becoming increasingly expensive. As a result, we may be unable to maintain sufficient insurance at a reasonable cost to protect us against losses caused by product liability claims that could have a material and adverse effect on our business, financial condition, results of operations and prospects.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obtain U.S. or foreign regulatory approval and, as a result, unable to commercialize our product candidates.</w:t>
      </w:r>
    </w:p>
    <w:p>
      <w:pPr>
        <w:spacing w:after="0" w:line="104"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approval process are required to be successfully completed in the United States and in many foreign jurisdictions before a new drug or therapeutic biologic can be marketed. Satisfaction of these and other regulatory requirements is costly, lengthy, time-consuming, uncertain and subject to unanticipated delays. We have not previously submitted a BLA to the FDA, or similar drug approval filings to comparable foreign regulatory authorities, for any product candidate, and it is possible that none of the product candidates we may develop will obtain the regulatory approvals necessary for us or our existing or future collaborators to begin selling them.</w:t>
      </w:r>
    </w:p>
    <w:p>
      <w:pPr>
        <w:spacing w:after="0" w:line="181"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have not completed any large-scale or pivotal clinical trials nor managed the regulatory approval process with the FDA or any other regulatory authority. The time required to obtain FDA and other approvals is unpredictable but typically takes many years following the commencement of clinical trials, depending upon the type, complexity and novelty of the product candidate, and numerous other factors including the substantial discretion of regulatory authorities. The standards that the FDA and its foreign counterparts, including the EMA, use when regulating us and our existing or future collaborators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our product candidates could fail to receive regulatory approval for many reasons including the following:</w:t>
      </w:r>
    </w:p>
    <w:p>
      <w:pPr>
        <w:spacing w:after="0" w:line="104" w:lineRule="exact"/>
        <w:rPr>
          <w:sz w:val="20"/>
          <w:szCs w:val="20"/>
          <w:color w:val="auto"/>
        </w:rPr>
      </w:pPr>
    </w:p>
    <w:p>
      <w:pPr>
        <w:ind w:left="1000" w:hanging="36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03" w:lineRule="exact"/>
        <w:rPr>
          <w:rFonts w:ascii="Arial" w:cs="Arial" w:eastAsia="Arial" w:hAnsi="Arial"/>
          <w:sz w:val="18"/>
          <w:szCs w:val="18"/>
          <w:color w:val="auto"/>
        </w:rPr>
      </w:pPr>
    </w:p>
    <w:p>
      <w:pPr>
        <w:ind w:left="1000" w:right="80" w:hanging="368"/>
        <w:spacing w:after="0" w:line="261"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pure and potent for its proposed indication;</w:t>
      </w:r>
    </w:p>
    <w:p>
      <w:pPr>
        <w:spacing w:after="0" w:line="62" w:lineRule="exact"/>
        <w:rPr>
          <w:rFonts w:ascii="Arial" w:cs="Arial" w:eastAsia="Arial" w:hAnsi="Arial"/>
          <w:sz w:val="18"/>
          <w:szCs w:val="18"/>
          <w:color w:val="auto"/>
        </w:rPr>
      </w:pPr>
    </w:p>
    <w:p>
      <w:pPr>
        <w:ind w:left="1000" w:right="420" w:hanging="368"/>
        <w:spacing w:after="0" w:line="261"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results of clinical trials may fail to achieve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a sufficient response rate or duration of response for a product candidate;</w:t>
      </w:r>
    </w:p>
    <w:p>
      <w:pPr>
        <w:spacing w:after="0" w:line="103" w:lineRule="exact"/>
        <w:rPr>
          <w:rFonts w:ascii="Arial" w:cs="Arial" w:eastAsia="Arial" w:hAnsi="Arial"/>
          <w:sz w:val="18"/>
          <w:szCs w:val="18"/>
          <w:color w:val="auto"/>
        </w:rPr>
      </w:pPr>
    </w:p>
    <w:p>
      <w:pPr>
        <w:ind w:left="1000" w:right="660" w:hanging="368"/>
        <w:spacing w:after="0" w:line="261"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submitted in support of regulatory approval;</w:t>
      </w:r>
    </w:p>
    <w:p>
      <w:pPr>
        <w:spacing w:after="0" w:line="62" w:lineRule="exact"/>
        <w:rPr>
          <w:rFonts w:ascii="Arial" w:cs="Arial" w:eastAsia="Arial" w:hAnsi="Arial"/>
          <w:sz w:val="18"/>
          <w:szCs w:val="18"/>
          <w:color w:val="auto"/>
        </w:rPr>
      </w:pPr>
    </w:p>
    <w:p>
      <w:pPr>
        <w:ind w:left="1000" w:right="280" w:hanging="368"/>
        <w:spacing w:after="0" w:line="291"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data collected from preclinical studies and clinical trials of our product candidates may not be sufficient to support the submission of a BLA or other regulatory submission necessary to obtain regulatory approval in the United States or elsewhere; and</w:t>
      </w:r>
    </w:p>
    <w:p>
      <w:pPr>
        <w:spacing w:after="0" w:line="38" w:lineRule="exact"/>
        <w:rPr>
          <w:rFonts w:ascii="Arial" w:cs="Arial" w:eastAsia="Arial" w:hAnsi="Arial"/>
          <w:sz w:val="17"/>
          <w:szCs w:val="17"/>
          <w:color w:val="auto"/>
        </w:rPr>
      </w:pPr>
    </w:p>
    <w:p>
      <w:pPr>
        <w:ind w:left="1000" w:right="420" w:hanging="36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contractors may not meet the current Good Manufacturing Practices, or cGMPs, and other applicable requirements for manufacturing processes, procedures, documentation and facilities necessary for approval by the FDA or comparable foreign regulatory authorities.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4" w:name="page35"/>
    <w:bookmarkEnd w:id="34"/>
    <w:p>
      <w:pPr>
        <w:ind w:firstLine="509"/>
        <w:spacing w:after="0" w:line="255" w:lineRule="auto"/>
        <w:rPr>
          <w:sz w:val="20"/>
          <w:szCs w:val="20"/>
          <w:color w:val="auto"/>
        </w:rPr>
      </w:pPr>
      <w:r>
        <w:rPr>
          <w:rFonts w:ascii="Arial" w:cs="Arial" w:eastAsia="Arial" w:hAnsi="Arial"/>
          <w:sz w:val="17"/>
          <w:szCs w:val="17"/>
          <w:color w:val="auto"/>
        </w:rPr>
        <w:t>Any delay or failure in obtaining required approvals could have a material and adverse effect on our ability to generate revenues from the particular product candidate for which we are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BLA,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80"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spacing w:after="0" w:line="297"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b w:val="1"/>
          <w:bCs w:val="1"/>
          <w:i w:val="1"/>
          <w:iCs w:val="1"/>
          <w:color w:val="auto"/>
        </w:rPr>
        <w:t>We intend to seek approval from the FDA or comparable foreign regulatory authorities through the use of accelerated approval pathways, if available.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6" w:lineRule="exact"/>
        <w:rPr>
          <w:sz w:val="20"/>
          <w:szCs w:val="20"/>
          <w:color w:val="auto"/>
        </w:rPr>
      </w:pPr>
    </w:p>
    <w:p>
      <w:pPr>
        <w:ind w:right="40" w:firstLine="509"/>
        <w:spacing w:after="0" w:line="267" w:lineRule="auto"/>
        <w:rPr>
          <w:sz w:val="20"/>
          <w:szCs w:val="20"/>
          <w:color w:val="auto"/>
        </w:rPr>
      </w:pPr>
      <w:r>
        <w:rPr>
          <w:rFonts w:ascii="Arial" w:cs="Arial" w:eastAsia="Arial" w:hAnsi="Arial"/>
          <w:sz w:val="16"/>
          <w:szCs w:val="16"/>
          <w:color w:val="auto"/>
        </w:rPr>
        <w:t>We intend to seek accelerated approval for mecbotamab vedotin and ozuriftamab vedotin, and we may seek accelerated approval for one or more of our other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We intend to seek accelerated approval for some of our product candidates on the basis of objective response rate, a surrogate endpoint that we believe is reasonably likely to predict clinical benefit. For products granted accelerated approval, post-marketing confirmatory trials are required to verify and describe the anticipated effect on irreversible morbidity or mortality or other clinical benefit. These confirmatory trials must be completed with due diligence, and the FDA may require that the trial be designed, initiated, and/or fully enrolled prior to approval. If we were to pursue accelerated approval for a product candidate for a disease or condition, we would do so on the basis that there is no available therapy for that disease or condition. If any of our competitors were to receive full approval on the basis of a confirmatory trial for a drug for a disease or condition for which we are seeking accelerated approval before we receive accelerated approval, the disease or condition would no longer qualify as one for which there is no available therapy, and accelerated approval of our product candidate would not occur. Many cancer therapies rely on accelerated approval, and the treatment landscape can change quickly as the FDA converts accelerated approvals to full approvals on the basis of successful confirmatory trials.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62" w:lineRule="exact"/>
        <w:rPr>
          <w:sz w:val="20"/>
          <w:szCs w:val="20"/>
          <w:color w:val="auto"/>
        </w:rPr>
      </w:pPr>
    </w:p>
    <w:p>
      <w:pPr>
        <w:ind w:right="40" w:firstLine="509"/>
        <w:spacing w:after="0" w:line="251" w:lineRule="auto"/>
        <w:rPr>
          <w:sz w:val="20"/>
          <w:szCs w:val="20"/>
          <w:color w:val="auto"/>
        </w:rPr>
      </w:pPr>
      <w:r>
        <w:rPr>
          <w:rFonts w:ascii="Arial" w:cs="Arial" w:eastAsia="Arial" w:hAnsi="Arial"/>
          <w:sz w:val="17"/>
          <w:szCs w:val="17"/>
          <w:color w:val="auto"/>
        </w:rPr>
        <w:t>Prior to seeking accelerated approval for any of our product candidates, we intend to seek feedback from the FDA and will otherwise evaluate our ability to seek and receive accelerated approval. We cannot assure you that after our evaluation of the feedback and other factors we will decide to pursue or submit a BLA for accelerated approval or any other form of expedited development, review or approval. Similarly, we cannot assure you that after subsequent FDA feedback we will continue to pursue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we cannot assure you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35" w:name="page36"/>
    <w:bookmarkEnd w:id="35"/>
    <w:p>
      <w:pPr>
        <w:spacing w:after="0" w:line="243"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80" w:lineRule="exact"/>
        <w:rPr>
          <w:sz w:val="20"/>
          <w:szCs w:val="20"/>
          <w:color w:val="auto"/>
        </w:rPr>
      </w:pPr>
    </w:p>
    <w:p>
      <w:pPr>
        <w:ind w:right="120" w:firstLine="509"/>
        <w:spacing w:after="0" w:line="254" w:lineRule="auto"/>
        <w:rPr>
          <w:sz w:val="20"/>
          <w:szCs w:val="20"/>
          <w:color w:val="auto"/>
        </w:rPr>
      </w:pPr>
      <w:r>
        <w:rPr>
          <w:rFonts w:ascii="Arial" w:cs="Arial" w:eastAsia="Arial" w:hAnsi="Arial"/>
          <w:sz w:val="17"/>
          <w:szCs w:val="17"/>
          <w:color w:val="auto"/>
        </w:rPr>
        <w:t>Any regulatory approvals that we or our existing or future collaborators obtain for our product candidates may also be subject to limitations on the approved indicated uses for which a product may be marketed or to conditions of approval, or contain requirements for potentially costly post-marketing testing, including “Phase 4” clinical trials, and surveillance to monitor the safety and efficacy of the product candidate. Furthermore, any regulatory approval to market a product may be subject to limitations on the labeling of the product or may require safety warnings or other restrictions. In addition, the FDA has the authority to require a REMS plan as part of a BLA or after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81"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the FDA’s Good Clinical Practices, or GCP, for any clinical trials that we conduct post-approval. The manufacturer and manufacturing facilities we use to make a future product, if any, will also be subject to periodic review and inspection by the FDA and other regulatory agencies, including for continued compliance with cGMP requirements. Any product promotion and advertising will also be subject to regulatory requirements and continuing regulatory review.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76" w:lineRule="exact"/>
        <w:rPr>
          <w:sz w:val="20"/>
          <w:szCs w:val="20"/>
          <w:color w:val="auto"/>
        </w:rPr>
      </w:pPr>
    </w:p>
    <w:p>
      <w:pPr>
        <w:ind w:left="1000" w:hanging="36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the product from the market or voluntary or mandatory product recalls;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fines, warning or untitled letters or holds on clinical trials;</w:t>
      </w:r>
    </w:p>
    <w:p>
      <w:pPr>
        <w:spacing w:after="0" w:line="103" w:lineRule="exact"/>
        <w:rPr>
          <w:rFonts w:ascii="Arial" w:cs="Arial" w:eastAsia="Arial" w:hAnsi="Arial"/>
          <w:sz w:val="18"/>
          <w:szCs w:val="18"/>
          <w:color w:val="auto"/>
        </w:rPr>
      </w:pPr>
    </w:p>
    <w:p>
      <w:pPr>
        <w:ind w:left="1000" w:right="580" w:hanging="368"/>
        <w:spacing w:after="0" w:line="261"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 of approval or refusal by the FDA or comparable regulatory authorities in other jurisdictions to approve pending applications or supplements to approved applications filed by us, our current collaborator or any future strategic partners;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suspension or revocation of product license approvals;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The FDA’s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these regulations impose constraints on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results of operations and prospects.</w:t>
      </w:r>
    </w:p>
    <w:p>
      <w:pPr>
        <w:spacing w:after="0" w:line="26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3"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80"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Our ability to commercialize any products successfully also will depend in part on the extent to which reimbursement for these products and related treatments will be available from government authorities, private health insurers and other organizations. Even if</w:t>
      </w: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6" w:name="page37"/>
    <w:bookmarkEnd w:id="36"/>
    <w:p>
      <w:pPr>
        <w:ind w:right="120"/>
        <w:spacing w:after="0" w:line="255" w:lineRule="auto"/>
        <w:rPr>
          <w:sz w:val="20"/>
          <w:szCs w:val="20"/>
          <w:color w:val="auto"/>
        </w:rPr>
      </w:pPr>
      <w:r>
        <w:rPr>
          <w:rFonts w:ascii="Arial" w:cs="Arial" w:eastAsia="Arial" w:hAnsi="Arial"/>
          <w:sz w:val="17"/>
          <w:szCs w:val="17"/>
          <w:color w:val="auto"/>
        </w:rPr>
        <w:t>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w:t>
      </w:r>
    </w:p>
    <w:p>
      <w:pPr>
        <w:spacing w:after="0" w:line="180"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products. For example, in the United States,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81"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of using step therapy for Part B drugs beginning January 1, 2020. This final rule codified CMS’s policy change that was effective January 1, 2019.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8"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our existing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w:t>
      </w:r>
    </w:p>
    <w:p>
      <w:pPr>
        <w:spacing w:after="0" w:line="184" w:lineRule="exact"/>
        <w:rPr>
          <w:sz w:val="20"/>
          <w:szCs w:val="20"/>
          <w:color w:val="auto"/>
        </w:rPr>
      </w:pPr>
    </w:p>
    <w:p>
      <w:pPr>
        <w:ind w:right="160" w:firstLine="509"/>
        <w:spacing w:after="0" w:line="269" w:lineRule="auto"/>
        <w:rPr>
          <w:sz w:val="20"/>
          <w:szCs w:val="20"/>
          <w:color w:val="auto"/>
        </w:rPr>
      </w:pPr>
      <w:r>
        <w:rPr>
          <w:rFonts w:ascii="Arial" w:cs="Arial" w:eastAsia="Arial" w:hAnsi="Arial"/>
          <w:sz w:val="16"/>
          <w:szCs w:val="16"/>
          <w:color w:val="auto"/>
        </w:rPr>
        <w:t>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be insufficient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United States. Third-party payors often rely upon Medicare coverage policy and payment limitations in setting their own reimbursement rates. If reimbursement of any product candidate approved for marketing is unavailable or limited in scope or amount, or if pricing is set at unsatisfactory levels, our business, financial condition, results of operations or prospects could be materially and adversely affected, and our ability to commercialize such products, once approved, could be materially impaired.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04" w:lineRule="exact"/>
        <w:rPr>
          <w:sz w:val="20"/>
          <w:szCs w:val="20"/>
          <w:color w:val="auto"/>
        </w:rPr>
      </w:pPr>
    </w:p>
    <w:p>
      <w:pPr>
        <w:ind w:right="440" w:firstLine="509"/>
        <w:spacing w:after="0"/>
        <w:rPr>
          <w:sz w:val="20"/>
          <w:szCs w:val="20"/>
          <w:color w:val="auto"/>
        </w:rPr>
      </w:pPr>
      <w:r>
        <w:rPr>
          <w:rFonts w:ascii="Arial" w:cs="Arial" w:eastAsia="Arial" w:hAnsi="Arial"/>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7" w:name="page38"/>
    <w:bookmarkEnd w:id="37"/>
    <w:p>
      <w:pPr>
        <w:ind w:right="40"/>
        <w:spacing w:after="0" w:line="253" w:lineRule="auto"/>
        <w:rPr>
          <w:sz w:val="20"/>
          <w:szCs w:val="20"/>
          <w:color w:val="auto"/>
        </w:rPr>
      </w:pPr>
      <w:r>
        <w:rPr>
          <w:rFonts w:ascii="Arial" w:cs="Arial" w:eastAsia="Arial" w:hAnsi="Arial"/>
          <w:sz w:val="17"/>
          <w:szCs w:val="17"/>
          <w:color w:val="auto"/>
        </w:rPr>
        <w:t>for uses that are not approved by the FDA or such other regulatory agencies as reflected in the product’s approved labeling. For example, if we receive marketing approval for mecbotamab vedotin as a treatment for soft tissue and bone sarcoma, physicians may nevertheless use our product for their patients in a manner that is inconsistent with the approved labeling. If we are found to have promoted such off-label uses, we may become subject to significant liability. Moreover, although we believe that our product candidates may be safer or more effective than other therapies, unless we conduct head-to-head comparative studies, we will not be able to make any claims of superiority.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financial condition, results of operations and prospects.</w:t>
      </w:r>
    </w:p>
    <w:p>
      <w:pPr>
        <w:spacing w:after="0" w:line="292"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b w:val="1"/>
          <w:bCs w:val="1"/>
          <w:i w:val="1"/>
          <w:iCs w:val="1"/>
          <w:color w:val="auto"/>
        </w:rPr>
        <w:t>Disruptions at the FDA, the SEC and other government agencies caused by, among other factors,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6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In addition, government funding of the Securities and Exchange Commission, or SEC, and other government agencies on which our operations may rely, including those that fund research and development activities, is subject to the political process, which is inherently fluid and unpredictable.</w:t>
      </w:r>
    </w:p>
    <w:p>
      <w:pPr>
        <w:spacing w:after="0" w:line="189" w:lineRule="exact"/>
        <w:rPr>
          <w:sz w:val="20"/>
          <w:szCs w:val="20"/>
          <w:color w:val="auto"/>
        </w:rPr>
      </w:pPr>
    </w:p>
    <w:p>
      <w:pPr>
        <w:ind w:right="60" w:firstLine="509"/>
        <w:spacing w:after="0" w:line="269"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and subsequently, on March 18, 2020, the FDA announced its intention to temporarily postpone routine surveillance inspections of domestic manufacturing facilities. Subsequently, on July 20, 2020, the FDA announced its intention to resume certain domestic on-site inspections,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In addition, on April 15, 2021, the FDA issued a guidance document in which the FDA outlined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is otherwise limited by travel restrictions, but where the FDA determines that a remote evaluation would still be appropriate. Regulatory authorities outside the United States may adopt similar restrictions or other policy measures in response to the COVID-19 pandemic.</w:t>
      </w:r>
    </w:p>
    <w:p>
      <w:pPr>
        <w:spacing w:after="0" w:line="168"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Additionally, as of June 23, 2020, the FDA noted it was continuing to ensure timely reviews of applications for medical products during the COVID-19 pandemic in line with its user fee performance goals. On July 16, 2020, the FDA noted that it is continuing to expedite oncology product development with its staff teleworking full-time.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299"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63" w:lineRule="exact"/>
        <w:rPr>
          <w:sz w:val="20"/>
          <w:szCs w:val="20"/>
          <w:color w:val="auto"/>
        </w:rPr>
      </w:pPr>
    </w:p>
    <w:p>
      <w:pPr>
        <w:ind w:right="140" w:firstLine="509"/>
        <w:spacing w:after="0" w:line="267" w:lineRule="auto"/>
        <w:rPr>
          <w:sz w:val="20"/>
          <w:szCs w:val="20"/>
          <w:color w:val="auto"/>
        </w:rPr>
      </w:pPr>
      <w:r>
        <w:rPr>
          <w:rFonts w:ascii="Arial" w:cs="Arial" w:eastAsia="Arial" w:hAnsi="Arial"/>
          <w:sz w:val="16"/>
          <w:szCs w:val="16"/>
          <w:color w:val="auto"/>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8" w:name="page39"/>
    <w:bookmarkEnd w:id="38"/>
    <w:p>
      <w:pPr>
        <w:ind w:right="100"/>
        <w:spacing w:after="0" w:line="243" w:lineRule="auto"/>
        <w:rPr>
          <w:sz w:val="20"/>
          <w:szCs w:val="20"/>
          <w:color w:val="auto"/>
        </w:rPr>
      </w:pPr>
      <w:r>
        <w:rPr>
          <w:rFonts w:ascii="Arial" w:cs="Arial" w:eastAsia="Arial" w:hAnsi="Arial"/>
          <w:sz w:val="18"/>
          <w:szCs w:val="18"/>
          <w:color w:val="auto"/>
        </w:rPr>
        <w:t>jurisdictions where the trials are conducted. We cannot assure you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296"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suppliers and vendors may engage in misconduct or other improper activities, including noncompliance with regulatory standards and requirements.</w:t>
      </w:r>
    </w:p>
    <w:p>
      <w:pPr>
        <w:spacing w:after="0" w:line="63"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consultants, suppliers and vendors may engage in fraudulent conduct or other illegal activity. Misconduct by these parties could include intentional, reckless and/or negligent conduct or disclosure of unauthorized activities to us that violates: (i) FDA laws and regulations, including those laws that require the reporting of true, complete and accurate information to the FDA, (ii) manufacturing standards, (iii) federal and state healthcare fraud and abuse laws and regulations or (iv)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 including exclusion from government healthcare programs, and serious harm to our reputation.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04"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81"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For example, in March 2010, the ACA was enacted, which substantially changed the way healthcare is financed by both the government and private insurers and significantly impacted the U.S. pharmaceutical industry. Among other things, the ACA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By way of example, the ACA increased manufacturers’ rebate liability under the Medicaid Drug Rebate Program, imposed a significant annual fee on companies that manufacture or import branded prescription drug products and required manufacturers to provide a discount off the negotiated price of prescriptions filled by beneficiaries in the Medicare Part D coverage gap, referred to as the “donut hole,” which is now 70% of the negotiated price. There have been executive, legislative and judicial efforts to modify, repeal, or otherwise invalidate all, or certain provisions of, the ACA. For example, the Tax Cuts and Jobs Act, among other things, included a provision that repealed, effective January 1, 2019, the tax-based shared responsibility payment imposed by the ACA on certain individuals who fail to maintain qualifying health coverage for all or part of a year that is commonly referred to as the “individual mandate.” On June 17, 2021, the U.S. Supreme Court dismissed a challenge on procedural grounds that argued the ACA is unconstitutional in its entirety because the “individual mandate” was repealed by Congress. Thus, the ACA will remain in effect in its current form. It is possible that the ACA will be subject to judicial or Congressional challenges in the future. It is unclear how the any future challenges to the ACA and the healthcare reform measures of the Biden administration will impact the ACA and our business. We are continuing to monitor any changes to the ACA that, in turn, may potentially impact our business in the future.</w:t>
      </w:r>
    </w:p>
    <w:p>
      <w:pPr>
        <w:spacing w:after="0" w:line="79" w:lineRule="exact"/>
        <w:rPr>
          <w:sz w:val="20"/>
          <w:szCs w:val="20"/>
          <w:color w:val="auto"/>
        </w:rPr>
      </w:pPr>
    </w:p>
    <w:p>
      <w:pPr>
        <w:ind w:right="40" w:firstLine="509"/>
        <w:spacing w:after="0" w:line="266"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These changes included aggregate reductions to Medicare payments to providers of 2% per fiscal year. These reductions went into effect on April 1, 2013 and, due to subsequent legislative amendments to the statute, will remain in effect through 2030 unless additional Congressional action is taken, with the exception of a temporary suspension from May 1, 2020 through March 31, 2022, and a reduction to the sequestration cut to 1% from April 1, 2022 to June 30, 2022, due to the COVID-19 pandemic.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 Moreover, there has been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9" w:name="page40"/>
    <w:bookmarkEnd w:id="39"/>
    <w:p>
      <w:pPr>
        <w:ind w:right="40"/>
        <w:spacing w:after="0" w:line="243" w:lineRule="auto"/>
        <w:rPr>
          <w:sz w:val="20"/>
          <w:szCs w:val="20"/>
          <w:color w:val="auto"/>
        </w:rPr>
      </w:pPr>
      <w:r>
        <w:rPr>
          <w:rFonts w:ascii="Arial" w:cs="Arial" w:eastAsia="Arial" w:hAnsi="Arial"/>
          <w:sz w:val="18"/>
          <w:szCs w:val="18"/>
          <w:color w:val="auto"/>
        </w:rPr>
        <w:t>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spacing w:after="0" w:line="80" w:lineRule="exact"/>
        <w:rPr>
          <w:sz w:val="20"/>
          <w:szCs w:val="20"/>
          <w:color w:val="auto"/>
        </w:rPr>
      </w:pPr>
    </w:p>
    <w:p>
      <w:pPr>
        <w:ind w:right="120" w:firstLine="509"/>
        <w:spacing w:after="0" w:line="272" w:lineRule="auto"/>
        <w:rPr>
          <w:sz w:val="20"/>
          <w:szCs w:val="20"/>
          <w:color w:val="auto"/>
        </w:rPr>
      </w:pPr>
      <w:r>
        <w:rPr>
          <w:rFonts w:ascii="Arial" w:cs="Arial" w:eastAsia="Arial" w:hAnsi="Arial"/>
          <w:sz w:val="16"/>
          <w:szCs w:val="16"/>
          <w:color w:val="auto"/>
        </w:rPr>
        <w:t>Furthermore, on September 9, 2021, the Biden administration published a wide-ranging list of policy proposals, most of which would need to be carried out by Congress, to reduce drug prices and drug payment. The HHS plan includes, among other reform measures, proposals to lower prescription drug prices, including by allowing Medicare to negotiate prices and disincentivizing price increases, and to support market changes that strengthen supply chains, promote biosimilars and generic drugs, and increase price transparency. Many similar proposals, including the plans to give Medicare Part D authority to negotiate drug prices, require drug manufacturers to pay rebates on drugs whose prices increase greater than the rate of inflation, and cap out-of-pocket costs, have already been included in policy statements and legislation currently being considered by Congress. It is unclear to what extent these and other statutory, regulatory, and administrative initiatives will be enacted and implemented, and to what extent these or any future legislation or regulations by the Biden administration will have on our business, including market acceptance, and sales, of our products and product candidates.</w:t>
      </w:r>
    </w:p>
    <w:p>
      <w:pPr>
        <w:spacing w:after="0" w:line="60"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66" w:lineRule="exact"/>
        <w:rPr>
          <w:sz w:val="20"/>
          <w:szCs w:val="20"/>
          <w:color w:val="auto"/>
        </w:rPr>
      </w:pPr>
    </w:p>
    <w:p>
      <w:pPr>
        <w:ind w:right="120" w:firstLine="509"/>
        <w:spacing w:after="0" w:line="284"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47"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8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 It is possible that additional governmental action is taken to address the COVID-19 pandemic. For example, on April 18, 2020, CMS announced that QHP issuers under the ACA may suspend activities related to the collection and reporting of quality data that would have otherwise been reported between May and June 2020 given the challenges healthcare providers are facing responding to the COVID-19 virus.</w:t>
      </w:r>
    </w:p>
    <w:p>
      <w:pPr>
        <w:spacing w:after="0" w:line="81"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97"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81"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0" w:name="page41"/>
    <w:bookmarkEnd w:id="40"/>
    <w:p>
      <w:pPr>
        <w:ind w:right="460"/>
        <w:spacing w:after="0" w:line="261" w:lineRule="auto"/>
        <w:rPr>
          <w:sz w:val="20"/>
          <w:szCs w:val="20"/>
          <w:color w:val="auto"/>
        </w:rPr>
      </w:pPr>
      <w:r>
        <w:rPr>
          <w:rFonts w:ascii="Arial" w:cs="Arial" w:eastAsia="Arial" w:hAnsi="Arial"/>
          <w:sz w:val="18"/>
          <w:szCs w:val="18"/>
          <w:color w:val="auto"/>
        </w:rPr>
        <w:t>sell and distribute our product candidates for which we obtain marketing approval. Restrictions under applicable federal and state healthcare laws and regulations, include the following:</w:t>
      </w:r>
    </w:p>
    <w:p>
      <w:pPr>
        <w:spacing w:after="0" w:line="63" w:lineRule="exact"/>
        <w:rPr>
          <w:sz w:val="20"/>
          <w:szCs w:val="20"/>
          <w:color w:val="auto"/>
        </w:rPr>
      </w:pPr>
    </w:p>
    <w:p>
      <w:pPr>
        <w:ind w:left="1000" w:right="120" w:hanging="368"/>
        <w:spacing w:after="0" w:line="241"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81" w:lineRule="exact"/>
        <w:rPr>
          <w:rFonts w:ascii="Arial" w:cs="Arial" w:eastAsia="Arial" w:hAnsi="Arial"/>
          <w:sz w:val="18"/>
          <w:szCs w:val="18"/>
          <w:color w:val="auto"/>
        </w:rPr>
      </w:pPr>
    </w:p>
    <w:p>
      <w:pPr>
        <w:ind w:left="1000" w:right="20" w:hanging="368"/>
        <w:spacing w:after="0" w:line="279" w:lineRule="auto"/>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U.S. federal false claims and civil monetary penalties laws, including 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51" w:lineRule="exact"/>
        <w:rPr>
          <w:rFonts w:ascii="Arial" w:cs="Arial" w:eastAsia="Arial" w:hAnsi="Arial"/>
          <w:sz w:val="16"/>
          <w:szCs w:val="16"/>
          <w:color w:val="auto"/>
        </w:rPr>
      </w:pPr>
    </w:p>
    <w:p>
      <w:pPr>
        <w:ind w:left="1000" w:right="20" w:hanging="368"/>
        <w:spacing w:after="0" w:line="259"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5" w:lineRule="exact"/>
        <w:rPr>
          <w:rFonts w:ascii="Arial" w:cs="Arial" w:eastAsia="Arial" w:hAnsi="Arial"/>
          <w:sz w:val="17"/>
          <w:szCs w:val="17"/>
          <w:color w:val="auto"/>
        </w:rPr>
      </w:pPr>
    </w:p>
    <w:p>
      <w:pPr>
        <w:ind w:left="1020" w:hanging="38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or HITECH, which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81" w:lineRule="exact"/>
        <w:rPr>
          <w:rFonts w:ascii="Arial" w:cs="Arial" w:eastAsia="Arial" w:hAnsi="Arial"/>
          <w:sz w:val="18"/>
          <w:szCs w:val="18"/>
          <w:color w:val="auto"/>
        </w:rPr>
      </w:pPr>
    </w:p>
    <w:p>
      <w:pPr>
        <w:ind w:left="1000" w:right="800" w:hanging="368"/>
        <w:spacing w:after="0" w:line="261"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and state consumer protection and unfair competition laws, which broadly regulate marketplace activities and activities that potentially harm customers;</w:t>
      </w:r>
    </w:p>
    <w:p>
      <w:pPr>
        <w:spacing w:after="0" w:line="62" w:lineRule="exact"/>
        <w:rPr>
          <w:rFonts w:ascii="Arial" w:cs="Arial" w:eastAsia="Arial" w:hAnsi="Arial"/>
          <w:sz w:val="18"/>
          <w:szCs w:val="18"/>
          <w:color w:val="auto"/>
        </w:rPr>
      </w:pPr>
    </w:p>
    <w:p>
      <w:pPr>
        <w:ind w:left="1000" w:right="140" w:hanging="368"/>
        <w:spacing w:after="0" w:line="279" w:lineRule="auto"/>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U.S. Physician Payments Sunshine Act created under the ACA, and its implementing regulations, which require that certain manufacturers of drugs, devices, medical supplies and therapeutic biologics that are reimbursable under Medicare, Medicaid, and Children’s Health Insurance Programs report annually to the Department of Health and Human Services information related to certain payments and other transfers of value to physicians, as defined by such law, physician assistants, certain types of advance practice nurses and teaching hospitals, as well as ownership and investment interests held by the physicians described above and their immediate family members; and</w:t>
      </w:r>
    </w:p>
    <w:p>
      <w:pPr>
        <w:spacing w:after="0" w:line="51" w:lineRule="exact"/>
        <w:rPr>
          <w:rFonts w:ascii="Arial" w:cs="Arial" w:eastAsia="Arial" w:hAnsi="Arial"/>
          <w:sz w:val="16"/>
          <w:szCs w:val="16"/>
          <w:color w:val="auto"/>
        </w:rPr>
      </w:pPr>
    </w:p>
    <w:p>
      <w:pPr>
        <w:ind w:left="1000" w:right="40" w:hanging="368"/>
        <w:spacing w:after="0" w:line="255"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some state laws require that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80" w:lineRule="exact"/>
        <w:rPr>
          <w:sz w:val="20"/>
          <w:szCs w:val="20"/>
          <w:color w:val="auto"/>
        </w:rPr>
      </w:pPr>
    </w:p>
    <w:p>
      <w:pPr>
        <w:ind w:right="140" w:firstLine="509"/>
        <w:spacing w:after="0" w:line="250" w:lineRule="auto"/>
        <w:rPr>
          <w:sz w:val="20"/>
          <w:szCs w:val="20"/>
          <w:color w:val="auto"/>
        </w:rPr>
      </w:pPr>
      <w:r>
        <w:rPr>
          <w:rFonts w:ascii="Arial" w:cs="Arial" w:eastAsia="Arial" w:hAnsi="Arial"/>
          <w:sz w:val="17"/>
          <w:szCs w:val="17"/>
          <w:color w:val="auto"/>
        </w:rPr>
        <w:t>State and foreign laws also govern the privacy and security of health information in some circumstances, many of which differ from each other in significant ways and often are not preempted by HIPAA, thus complicating compliance efforts. For instance, the collection and use of health data in the European Union is governed by the General Data Protection Regulation, or the GDPR, which extends the geographical scope of European Union data protection law to non-European Union entities under certain conditions, tightens existing European Union data protection principles and creates new obligations for companies and new rights for individuals. Failure to comply with the GDPR may result in substantial fines and other administrative penalties. The GDPR may increase our responsibility and liability in relation to personal data that we possess and we may be required to put in place additional mechanisms ensuring compliance with the GDPR. We comply with the GDPR and the UK GDPR, which, together with the amended UK Data Protection Act 2018, retains the GDPR in United Kingdom national law, the latter regime having the ability to separately fine and penalize violations.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Ongoing developments in the United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1" w:name="page42"/>
    <w:bookmarkEnd w:id="41"/>
    <w:p>
      <w:pPr>
        <w:ind w:right="20"/>
        <w:spacing w:after="0" w:line="267" w:lineRule="auto"/>
        <w:rPr>
          <w:sz w:val="20"/>
          <w:szCs w:val="20"/>
          <w:color w:val="auto"/>
        </w:rPr>
      </w:pPr>
      <w:r>
        <w:rPr>
          <w:rFonts w:ascii="Arial" w:cs="Arial" w:eastAsia="Arial" w:hAnsi="Arial"/>
          <w:sz w:val="16"/>
          <w:szCs w:val="16"/>
          <w:color w:val="auto"/>
        </w:rPr>
        <w:t>Kingdom have created additional uncertainty regarding personal data transfers from the European Economic Area (EEA) to the United Kingdom following the termination of the personal data transfer grace period set out in the EU and United Kingdom Trade and Cooperation Agreement, which ended on June 30, 2021. It is not clear whether (and when) an adequacy decision may be granted by the European Commission enabling data transfers from EU member states to the United Kingdom long term without additional measures. Moreover, in July 2020 the Court of Justice of the European Union (CJEU) invalidated the EU-US Privacy Shield Framework (Privacy Shield) under which personal data could be transferred from the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 In addition, state laws govern the privacy and security of health information in specified circumstances, many of which differ from each other in significant ways and may not have the same effect, thus complicating compliance efforts. Certain state laws may be more stringent or broader in scope, or offer greater individual rights, with respect to personal information, and such laws may differ from each other, all of which may complicate compliance efforts. For example, on June 28, 2018, the State of California enacted the California Consumer Privacy Act, or CCPA,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Additionally, although not effective until January 1, 2023, the CPRA, which expands upon the CCPA, was passed in the November 2020 election. The CCPA has created new individual privacy rights and places increased privacy and security obligations on entities handling personal information. The CPRA significantly modifies the CCPA, including by expanding consumers’ rights with respect to certain personal information and creating a new state agency to oversee implementation and enforcement efforts. The CCPA and CPRA may increase our compliance costs and potential liability, and similar laws have been proposed at the federal level and in other states.</w:t>
      </w:r>
    </w:p>
    <w:p>
      <w:pPr>
        <w:spacing w:after="0" w:line="37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participation in government-funded healthcare programs such as Medicare and Medicaid or similar programs in other countries or jurisdictions, disgorgement, imprisonment, reputational harm and diminished profits.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29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63"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We rely, and expect we will continue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United States or foreign jurisdictions in which we seek to market our products, we or they may be subject to, among other things, fines, warning or untitled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injunctions, civil penalties and criminal prosecution.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04" w:lineRule="exact"/>
        <w:rPr>
          <w:sz w:val="20"/>
          <w:szCs w:val="20"/>
          <w:color w:val="auto"/>
        </w:rPr>
      </w:pPr>
    </w:p>
    <w:p>
      <w:pPr>
        <w:ind w:right="240" w:firstLine="509"/>
        <w:spacing w:after="0" w:line="244" w:lineRule="auto"/>
        <w:rPr>
          <w:sz w:val="20"/>
          <w:szCs w:val="20"/>
          <w:color w:val="auto"/>
        </w:rPr>
      </w:pPr>
      <w:r>
        <w:rPr>
          <w:rFonts w:ascii="Arial" w:cs="Arial" w:eastAsia="Arial" w:hAnsi="Arial"/>
          <w:sz w:val="18"/>
          <w:szCs w:val="18"/>
          <w:color w:val="auto"/>
        </w:rPr>
        <w:t>Certain laws and regulations require us to test our product candidates on animals before initiating clinical trials involving humans. Animal testing activities have been the subject of controversy and adverse publicity. Animal rights groups and other</w:t>
      </w: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2" w:name="page43"/>
    <w:bookmarkEnd w:id="42"/>
    <w:p>
      <w:pPr>
        <w:spacing w:after="0" w:line="248" w:lineRule="auto"/>
        <w:rPr>
          <w:sz w:val="20"/>
          <w:szCs w:val="20"/>
          <w:color w:val="auto"/>
        </w:rPr>
      </w:pPr>
      <w:r>
        <w:rPr>
          <w:rFonts w:ascii="Arial" w:cs="Arial" w:eastAsia="Arial" w:hAnsi="Arial"/>
          <w:sz w:val="18"/>
          <w:szCs w:val="18"/>
          <w:color w:val="auto"/>
        </w:rPr>
        <w:t>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290"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7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9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We and our third-party contractors must comply with environmental, health and safety laws and regulations. A failure to comply with these laws and regulations could expose us to significant costs or liabilities.</w:t>
      </w:r>
    </w:p>
    <w:p>
      <w:pPr>
        <w:spacing w:after="0" w:line="63"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which could exceed our assets and resources.</w:t>
      </w:r>
    </w:p>
    <w:p>
      <w:pPr>
        <w:spacing w:after="0" w:line="162"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insurance for environmental liability that may be asserted against us in connection with our storage or disposal of biological, hazardous or radioactive materials.</w:t>
      </w:r>
    </w:p>
    <w:p>
      <w:pPr>
        <w:spacing w:after="0" w:line="188" w:lineRule="exact"/>
        <w:rPr>
          <w:sz w:val="20"/>
          <w:szCs w:val="20"/>
          <w:color w:val="auto"/>
        </w:rPr>
      </w:pPr>
    </w:p>
    <w:p>
      <w:pPr>
        <w:ind w:right="60" w:firstLine="509"/>
        <w:spacing w:after="0" w:line="294" w:lineRule="auto"/>
        <w:rPr>
          <w:sz w:val="20"/>
          <w:szCs w:val="20"/>
          <w:color w:val="auto"/>
        </w:rPr>
      </w:pPr>
      <w:r>
        <w:rPr>
          <w:rFonts w:ascii="Arial" w:cs="Arial" w:eastAsia="Arial" w:hAnsi="Arial"/>
          <w:sz w:val="16"/>
          <w:szCs w:val="16"/>
          <w:color w:val="auto"/>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attract and retain qualified senior management and key scientific personnel, our business may be materially and adversely affected.</w:t>
      </w:r>
    </w:p>
    <w:p>
      <w:pPr>
        <w:spacing w:after="0" w:line="127"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and clinical and scientific personnel. We are highly dependent upon members of our senior management, including Jay M. Short, Ph.D., our Chairman and Chief Executive Officer and Scott Smith, our President, as well as our senior scientists and other members of our senior management team. The loss of services of any of these individuals could delay or prevent the successful development of our product pipeline, the initiation and completion of our planned clinical trials or the commercialization of product candidates or any future product candidates.</w:t>
      </w:r>
    </w:p>
    <w:p>
      <w:pPr>
        <w:spacing w:after="0" w:line="189"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Competition for qualified personnel in the pharmaceutical, biopharmaceutical and biotechnology field is intense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3" w:name="page44"/>
    <w:bookmarkEnd w:id="43"/>
    <w:p>
      <w:pPr>
        <w:ind w:right="80"/>
        <w:spacing w:after="0" w:line="261" w:lineRule="auto"/>
        <w:rPr>
          <w:sz w:val="20"/>
          <w:szCs w:val="20"/>
          <w:color w:val="auto"/>
        </w:rPr>
      </w:pPr>
      <w:r>
        <w:rPr>
          <w:rFonts w:ascii="Arial" w:cs="Arial" w:eastAsia="Arial" w:hAnsi="Arial"/>
          <w:sz w:val="18"/>
          <w:szCs w:val="18"/>
          <w:color w:val="auto"/>
        </w:rPr>
        <w:t>allegations that they have been improperly solicited or that they have divulged proprietary or other confidential information, or that their former employers own their research output.</w:t>
      </w:r>
    </w:p>
    <w:p>
      <w:pPr>
        <w:spacing w:after="0" w:line="279"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74"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We currently do not have a marketing or sales organization. In order to commercialize our product candidates in the United States and foreign jurisdictions on our own, we must build our marketing, sales, distribution, managerial and other non-technical capabilities or make arrangements with third parties to perform these services, and we may not be successful in doing so. If any of our product candidates receives regulatory approval, we will need to develop internal sales, marketing and distribution capabilities to commercialize such products, which would be expensive and time-consuming, or make arrangements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existing or future collaborators, we will need to establish and maintain marketing and distribution arrangements with third parties, and we cannot assure you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of any approved product. If we are not successful in commercializing any product approved in the future, either on our own or through arrangements with one or more third parties, we may not be able to generate any future product revenue and we would incur significant additional losses.</w:t>
      </w:r>
    </w:p>
    <w:p>
      <w:pPr>
        <w:spacing w:after="0" w:line="288"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3"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order to successfully implement our development and commercialization plans and strategies, and operate as a public company, we expect to need additional development, managerial, operational, financial, sales, marketing and other personnel. Future growth would impose significant added responsibilities on members of management, including:</w:t>
      </w:r>
    </w:p>
    <w:p>
      <w:pPr>
        <w:spacing w:after="0" w:line="74" w:lineRule="exact"/>
        <w:rPr>
          <w:sz w:val="20"/>
          <w:szCs w:val="20"/>
          <w:color w:val="auto"/>
        </w:rPr>
      </w:pPr>
    </w:p>
    <w:p>
      <w:pPr>
        <w:ind w:left="1000" w:hanging="36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03" w:lineRule="exact"/>
        <w:rPr>
          <w:rFonts w:ascii="Arial" w:cs="Arial" w:eastAsia="Arial" w:hAnsi="Arial"/>
          <w:sz w:val="18"/>
          <w:szCs w:val="18"/>
          <w:color w:val="auto"/>
        </w:rPr>
      </w:pPr>
    </w:p>
    <w:p>
      <w:pPr>
        <w:ind w:left="1020" w:hanging="383"/>
        <w:spacing w:after="0" w:line="248"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regulatory review process for mecbotamab vedotin and ozuriftamab vedotin and any other product candidates, while complying with our contractual obligations to contractors and other third parties; and</w:t>
      </w:r>
    </w:p>
    <w:p>
      <w:pPr>
        <w:spacing w:after="0" w:line="73" w:lineRule="exact"/>
        <w:rPr>
          <w:rFonts w:ascii="Arial" w:cs="Arial" w:eastAsia="Arial" w:hAnsi="Arial"/>
          <w:sz w:val="18"/>
          <w:szCs w:val="18"/>
          <w:color w:val="auto"/>
        </w:rPr>
      </w:pPr>
    </w:p>
    <w:p>
      <w:pPr>
        <w:ind w:left="1000" w:hanging="36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12"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Our future financial performance and our ability to successfully develop and, if approved, commercialize mecbotamab vedotin, ozuriftamab vedotin and any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8" w:lineRule="exact"/>
        <w:rPr>
          <w:sz w:val="20"/>
          <w:szCs w:val="20"/>
          <w:color w:val="auto"/>
        </w:rPr>
      </w:pPr>
    </w:p>
    <w:p>
      <w:pPr>
        <w:ind w:right="100" w:firstLine="509"/>
        <w:spacing w:after="0" w:line="250" w:lineRule="auto"/>
        <w:rPr>
          <w:sz w:val="20"/>
          <w:szCs w:val="20"/>
          <w:color w:val="auto"/>
        </w:rPr>
      </w:pPr>
      <w:r>
        <w:rPr>
          <w:rFonts w:ascii="Arial" w:cs="Arial" w:eastAsia="Arial" w:hAnsi="Arial"/>
          <w:sz w:val="17"/>
          <w:szCs w:val="17"/>
          <w:color w:val="auto"/>
        </w:rPr>
        <w:t>To date, we have used the services of outside vendors to augment our capabilities in performing certain tasks, including preclinical and clinical trial management, manufacturing, statistics and analysis and research and development functions. Our growth strategy may also entail expanding our group of such contractors or consultants to assist in implementing these tasks going forward. Because we rely on numerous consultants,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mecbotamab vedotin, ozuriftamab vedotin and any future product candidates or otherwise advance our business. We may not be able to manage our existing outside contractors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mecbotamab vedotin, ozuriftamab vedotin and any future product candidates and, accordingly, may not achieve our research, development and commercialization goals.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4" w:name="page45"/>
    <w:bookmarkEnd w:id="44"/>
    <w:p>
      <w:pPr>
        <w:ind w:right="340"/>
        <w:spacing w:after="0" w:line="261"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63"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federal and state 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287"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consultants, existing or future collaborators, may fail or suffer security or data privacy breaches or other unauthorized or improper access to, use of or destruction of our proprietary and confidential data, employee data or personal data, which could result in additional costs, significant liabilities, harm to our reputation and material disruption of our operations.</w:t>
      </w:r>
    </w:p>
    <w:p>
      <w:pPr>
        <w:spacing w:after="0" w:line="80" w:lineRule="exact"/>
        <w:rPr>
          <w:sz w:val="20"/>
          <w:szCs w:val="20"/>
          <w:color w:val="auto"/>
        </w:rPr>
      </w:pPr>
    </w:p>
    <w:p>
      <w:pPr>
        <w:ind w:right="40" w:firstLine="509"/>
        <w:spacing w:after="0" w:line="268" w:lineRule="auto"/>
        <w:rPr>
          <w:sz w:val="20"/>
          <w:szCs w:val="20"/>
          <w:color w:val="auto"/>
        </w:rPr>
      </w:pPr>
      <w:r>
        <w:rPr>
          <w:rFonts w:ascii="Arial" w:cs="Arial" w:eastAsia="Arial" w:hAnsi="Arial"/>
          <w:sz w:val="16"/>
          <w:szCs w:val="16"/>
          <w:color w:val="auto"/>
        </w:rPr>
        <w:t>Despite the implementation of security measures, our internal computer systems and those of our current and any future CROs, manufacturers, other contractors, consultants, existing or future collaborators and other third-party service providers are vulnerable to damage from various methods, including cybersecurity attacks, breaches, intentional or accidental mistakes or errors, or other technological failures, which can include, among other things, computer viruses, unauthorized access attempts, including third parties gaining access to systems using stolen or inferred credentials, denial-of-service attacks, phishing attempts, service disruptions, natural disasters, fire, terrorism, war and telecommunication and electrical failures. As the cyber-threat landscape evolves, these attacks are growing in frequency, sophistication and intensity, and are becoming increasingly difficult to detect. If such an event were to occur and cause interruptions in our operations or result in the unauthorized acquisition of or access to personally identifiable information or individually identifiable health information (violating certain privacy laws such as HIPAA, HITECH, the CCPA and GDPR), it could result in a material disruption of our product candidate development programs and our business operations and we could incur significant liabilities.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For example, the loss of clinical trial data from completed, ongoing or future clinical trials involving our product candidates could result in delays in our regulatory approval efforts and significantly increase our costs to recover or reproduce the lost data. In addition, because of our approach of running multiple clinical trials in parallel, any breach of our computer systems may result in a loss of data or compromised data integrity across many of our programs in various stages of development.</w:t>
      </w:r>
    </w:p>
    <w:p>
      <w:pPr>
        <w:spacing w:after="0" w:line="169"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or international privacy and security laws.</w:t>
      </w:r>
    </w:p>
    <w:p>
      <w:pPr>
        <w:spacing w:after="0" w:line="18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5" w:name="page46"/>
    <w:bookmarkEnd w:id="45"/>
    <w:p>
      <w:pPr>
        <w:ind w:right="100"/>
        <w:spacing w:after="0" w:line="248" w:lineRule="auto"/>
        <w:rPr>
          <w:sz w:val="20"/>
          <w:szCs w:val="20"/>
          <w:color w:val="auto"/>
        </w:rPr>
      </w:pPr>
      <w:r>
        <w:rPr>
          <w:rFonts w:ascii="Arial" w:cs="Arial" w:eastAsia="Arial" w:hAnsi="Arial"/>
          <w:sz w:val="18"/>
          <w:szCs w:val="18"/>
          <w:b w:val="1"/>
          <w:bCs w:val="1"/>
          <w:i w:val="1"/>
          <w:iCs w:val="1"/>
          <w:color w:val="auto"/>
        </w:rPr>
        <w:t>A portion of our research and development activities take place in China.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spacing w:after="0" w:line="74"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We conduct preclinical research and development activities in China through BioDuro-Sundia, which is U.S. owned, but governed by Chinese laws, rules and regulations. The Chinese legal system is a civil law system based on written statutes. Unlike the common law system, prior court decisions may be cited for reference but have limited precedential value. In addition, the Chinese legal system is based in part on government policies and internal rules, some of which are not published on a timely basis or not published at all, and which may have a retroactive effect. As a result, we may not be aware of our violation of these policies and rules until after the occurrence of the violation. Any administrative and court proceedings in China may be protracted, resulting in substantial costs and diversion of resources and management attention. Since Chinese administrative and court authorities have significant discretion in interpreting and implementing statutory and contractual terms, it may be more difficult to evaluate the outcome of administrative and court proceedings and the level of legal protection we enjoy than in U.S. or EU legal systems.</w:t>
      </w:r>
    </w:p>
    <w:p>
      <w:pPr>
        <w:spacing w:after="0" w:line="181"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Furthermore, we are exposed to the possibility of disruption of our research and development activities in the event of changes in the policies of the United States or Chinese governments, political unrest or unstable economic conditions in China. For example, a trade war could lead to increased costs for clinical materials that are manufactured in China. These interruptions or failures and any restrictive measures resulting from a deterioration of U.S.- China relations could also result in impeding the commercialization of our product candidates and impair our competitive position. Further, we may be exposed to fluctuations in the value of the local currency in China. Future appreciation of the local currency could increase our costs. These uncertainties may impede our ability to enforce the contracts we have entered into and our ability to continue our research and development activities and could materially and adversely affect our business, financial condition and results of operations.</w:t>
      </w:r>
    </w:p>
    <w:p>
      <w:pPr>
        <w:spacing w:after="0" w:line="288" w:lineRule="exact"/>
        <w:rPr>
          <w:sz w:val="20"/>
          <w:szCs w:val="20"/>
          <w:color w:val="auto"/>
        </w:rPr>
      </w:pPr>
    </w:p>
    <w:p>
      <w:pPr>
        <w:ind w:right="380"/>
        <w:spacing w:after="0" w:line="356" w:lineRule="auto"/>
        <w:rPr>
          <w:sz w:val="20"/>
          <w:szCs w:val="20"/>
          <w:color w:val="auto"/>
        </w:rPr>
      </w:pPr>
      <w:r>
        <w:rPr>
          <w:rFonts w:ascii="Arial" w:cs="Arial" w:eastAsia="Arial" w:hAnsi="Arial"/>
          <w:sz w:val="15"/>
          <w:szCs w:val="15"/>
          <w:b w:val="1"/>
          <w:bCs w:val="1"/>
          <w:i w:val="1"/>
          <w:iCs w:val="1"/>
          <w:color w:val="auto"/>
        </w:rPr>
        <w:t>Our current operations are concentrated in two locations. We or the third parties upon whom we depend may be adversely affected by earthquakes, wildfires or other natural disasters, and our business continuity and disaster recovery plans may not adequately protect us from a serious disaster.</w:t>
      </w:r>
    </w:p>
    <w:p>
      <w:pPr>
        <w:spacing w:after="0" w:line="1"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A portion of our current operations are located in our facilities in San Diego, California, and we conduct a portion of our research and development activities in China through our arrangement with BioDuro-Sundia.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headquarters, damaged critical infrastructure, such as our research facilities or the manufacturing facilities of our third-party contract manufacturers, or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 In addition, all of our therapeutic antibodies are manufactured by starting with cells which are stored in a one master cell bank for each antibody manufactured stored in multiple locations.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conducting business internationally.</w:t>
      </w:r>
    </w:p>
    <w:p>
      <w:pPr>
        <w:spacing w:after="0" w:line="10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our collaborators or licensees may seek regulatory approval of our product candidates outside of the United States including in China, the European Union, Australia, New Zealand, and Japan. We conduct preclinical research and development activities in China through BioDuro-Sundia, which is U.S. owned, but governed by Chinese laws. Accordingly, we expect that we will be subject to additional risks related to operating in foreign countries if we obtain the necessary approvals, including:</w:t>
      </w:r>
    </w:p>
    <w:p>
      <w:pPr>
        <w:spacing w:after="0" w:line="80" w:lineRule="exact"/>
        <w:rPr>
          <w:sz w:val="20"/>
          <w:szCs w:val="20"/>
          <w:color w:val="auto"/>
        </w:rPr>
      </w:pPr>
    </w:p>
    <w:p>
      <w:pPr>
        <w:ind w:left="5540" w:right="4300" w:hanging="4908"/>
        <w:spacing w:after="0" w:line="261" w:lineRule="auto"/>
        <w:tabs>
          <w:tab w:leader="none" w:pos="10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regulatory requirements and reimbursement regimes in foreign countries;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6" w:name="page47"/>
    <w:bookmarkEnd w:id="46"/>
    <w:p>
      <w:pPr>
        <w:ind w:left="1000" w:hanging="36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03" w:lineRule="exact"/>
        <w:rPr>
          <w:rFonts w:ascii="Arial" w:cs="Arial" w:eastAsia="Arial" w:hAnsi="Arial"/>
          <w:sz w:val="18"/>
          <w:szCs w:val="18"/>
          <w:color w:val="auto"/>
        </w:rPr>
      </w:pPr>
    </w:p>
    <w:p>
      <w:pPr>
        <w:ind w:left="1000" w:right="400" w:hanging="368"/>
        <w:spacing w:after="0" w:line="261"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regulations;</w:t>
      </w:r>
    </w:p>
    <w:p>
      <w:pPr>
        <w:spacing w:after="0" w:line="103" w:lineRule="exact"/>
        <w:rPr>
          <w:rFonts w:ascii="Arial" w:cs="Arial" w:eastAsia="Arial" w:hAnsi="Arial"/>
          <w:sz w:val="18"/>
          <w:szCs w:val="18"/>
          <w:color w:val="auto"/>
        </w:rPr>
      </w:pPr>
    </w:p>
    <w:p>
      <w:pPr>
        <w:ind w:left="1000" w:right="400" w:hanging="368"/>
        <w:spacing w:after="0" w:line="261"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1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Additionally, in February 2022, armed conflict escalated between Russia and Ukraine. It is not possible to predict the broader consequences of this conflict, which could include further sanctions, embargoes, greater regional instability, geopolitical shifts and other adverse effects on macroeconomic conditions, currency exchange rates, supply chains and financial markets. These and other risks associated with our international operations may materially adversely affect our ability to attain or maintain profitable operations.</w:t>
      </w:r>
    </w:p>
    <w:p>
      <w:pPr>
        <w:spacing w:after="0" w:line="296"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We face risks related to health epidemics and outbreaks, including the COVID-19 pandemic, which could significantly disrupt our preclinical studies and could affect enrollment of patients in our clinical trials. Continuation and increasing severity of these conditions could delay or prevent our receipt of necessary regulatory approvals.</w:t>
      </w:r>
    </w:p>
    <w:p>
      <w:pPr>
        <w:spacing w:after="0" w:line="74"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We face risks related to health epidemics or outbreaks of communicable diseases. For example, in December 2019, a novel strain of coronavirus, SARS-CoV-2, causing a disease referred to as COVID-19, emerged in China. Since then, COVID-19 has spread to multiple countries worldwide, including the United States and member states of the European Union. On March 11, 2020, the World Health Organization declared the outbreak of COVID-19 as a pandemic. The outbreak of such communicable diseases could result in a widespread health crisis that could adversely affect general commercial activity and the economies and financial markets of many countries, which in the case of COVID-19 has occurred. The COVID-19 pandemic has resulted in governments implementing numerous containment measures, such as travel bans and restrictions, particularly quarantines, shelter-in-place or total lock-down orders and business limitations and shutdowns. For example, our primary operations are located in San Diego, California, and San Diego County and the State of California had issued shelter-in-place orders in response to the COVID-19 pandemic. Although some restrictions aimed at minimizing the spread of COVID-19 have been and may from time to time be eased or lifted in the U.S. and other countries, in response to local surges and new waves of infection, including those caused by the spread of the Delta, Omicron and other variants, some countries, states, and local governments have maintained or reinstituted these restrictions, or may reinstitute these restrictions from time to time, in response to rising rates of infection.</w:t>
      </w:r>
    </w:p>
    <w:p>
      <w:pPr>
        <w:spacing w:after="0" w:line="167" w:lineRule="exact"/>
        <w:rPr>
          <w:sz w:val="20"/>
          <w:szCs w:val="20"/>
          <w:color w:val="auto"/>
        </w:rPr>
      </w:pPr>
    </w:p>
    <w:p>
      <w:pPr>
        <w:ind w:right="120" w:firstLine="509"/>
        <w:spacing w:after="0" w:line="284" w:lineRule="auto"/>
        <w:rPr>
          <w:sz w:val="20"/>
          <w:szCs w:val="20"/>
          <w:color w:val="auto"/>
        </w:rPr>
      </w:pPr>
      <w:r>
        <w:rPr>
          <w:rFonts w:ascii="Arial" w:cs="Arial" w:eastAsia="Arial" w:hAnsi="Arial"/>
          <w:sz w:val="16"/>
          <w:szCs w:val="16"/>
          <w:color w:val="auto"/>
        </w:rPr>
        <w:t>We are following, and plan to continue to follow, recommendations from federal, state and local governments regarding workplace policies, practices and procedures. In March 2020, we implemented a remote working policy for many of our employees and began restricting non-essential travel. We are complying with all applicable guidelines for our clinical trials, including remote clinical monitoring. We are continuing to monitor the potential impact of the pandemic, but we cannot be certain what the overall impact will be on our business, financial condition, results of operations and prospects.</w:t>
      </w:r>
    </w:p>
    <w:p>
      <w:pPr>
        <w:spacing w:after="0" w:line="155" w:lineRule="exact"/>
        <w:rPr>
          <w:sz w:val="20"/>
          <w:szCs w:val="20"/>
          <w:color w:val="auto"/>
        </w:rPr>
      </w:pPr>
    </w:p>
    <w:p>
      <w:pPr>
        <w:ind w:right="20" w:firstLine="509"/>
        <w:spacing w:after="0" w:line="250" w:lineRule="auto"/>
        <w:rPr>
          <w:sz w:val="20"/>
          <w:szCs w:val="20"/>
          <w:color w:val="auto"/>
        </w:rPr>
      </w:pPr>
      <w:r>
        <w:rPr>
          <w:rFonts w:ascii="Arial" w:cs="Arial" w:eastAsia="Arial" w:hAnsi="Arial"/>
          <w:sz w:val="17"/>
          <w:szCs w:val="17"/>
          <w:color w:val="auto"/>
        </w:rPr>
        <w:t>In addition, the COVID-19 pandemic is having a severe effect on the clinical trials of many drug candidates of several sponsors. Some trials have been merely delayed, while others have been cancelled. The extent to which the COVID-19 pandemic may impact our preclinical and clinical trial operations will depend on future developments, which are highly uncertain and cannot be predicted with confidence, such as the duration and geographic reach of the outbreak, the severity of COVID-19 (including its variant strains, such as the highly transmissible Delta and Omicron variants), the effectiveness of actions to contain and treat COVID-19 and the rate of vaccination and efficacy of approved vaccines against COVID-19 and its variant strains. To date, we have experienced modest business disruptions, including with respect to the clinical trials we are conducting, and non-material impairments as a result of the pandemic. The continued spread of COVID-19 could adversely impact our clinical trial operations, including our ability to recruit and retain patients and principal investigators and site staff who, as healthcare providers, may have heightened exposure to COVID-19 if an outbreak occurs in their geography. Disruptions or restrictions on our ability to travel to monitor data from our clinical trials, or to conduct clinical trials, or the ability of patients enrolled in our studies to travel, or the ability of staff at study sites to travel, as well as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7" w:name="page48"/>
    <w:bookmarkEnd w:id="47"/>
    <w:p>
      <w:pPr>
        <w:ind w:right="40"/>
        <w:spacing w:after="0" w:line="274" w:lineRule="auto"/>
        <w:rPr>
          <w:sz w:val="20"/>
          <w:szCs w:val="20"/>
          <w:color w:val="auto"/>
        </w:rPr>
      </w:pPr>
      <w:r>
        <w:rPr>
          <w:rFonts w:ascii="Arial" w:cs="Arial" w:eastAsia="Arial" w:hAnsi="Arial"/>
          <w:sz w:val="16"/>
          <w:szCs w:val="16"/>
          <w:color w:val="auto"/>
        </w:rPr>
        <w:t>temporary closures of our facilities or the facilities of our clinical trial partners and their contract manufacturers, would negatively impact our clinical trial activities. In addition, we rely on independent clinical investigators, CROs and other third-party service providers to assist us in managing, monitoring and otherwise carrying out our preclinical studies and clinical trials, including the collection of data from our clinical trials, and the outbreak may affect their ability to devote sufficient time and resources to our programs or to travel to sites to perform work for us. Similarly, our preclinical trials could be delayed and/or disrupted by the COVID-19 pandemic. As a result, the expected timeline for data readouts of our preclinical studies and clinical trials and certain regulatory filings may be negatively impacted, which would adversely affect our ability to obtain regulatory approval for and to commercialize our product candidates, increase our operating expenses and have a material adverse effect on our business, financial condition, results of operations and prospects.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0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We have entered, and may in the future seek to enter, into collaborations with third parties for the development and commercialization of certain of our product candidates. If we fail to enter into such collaborations, or such collaborations are not successful, we may not be able to capitalize on the market potential of our patented technology platform and resulting product candidates.</w:t>
      </w:r>
    </w:p>
    <w:p>
      <w:pPr>
        <w:spacing w:after="0" w:line="56"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We have entered, and may in the future seek to enter, into collaborations with third parties for the development and commercialization of certain of our product candidates. In addition, we may in the future seek third-party collaborators or joint venture partners for development and commercialization of additional CAB product candidates. With respect to our collaborations, and what we expect will be the case with any future license or collaboration agreements, we have, and would expect to have, limited control over the amount and timing of resources that our existing or future collaborators dedicate to the development or commercialization of our product candidates. Our ability to generate revenues from these arrangements will depend on our existing or future collaborators’ willingness to select additional product candidates to license and their abilities and willingness to fulfill their payment obligations and successfully perform the functions assigned to them in these arrangements.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existing collaboration arrangements currently pose, and future collaborations involving our product candidates will pose, the following risks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88" w:lineRule="exact"/>
        <w:rPr>
          <w:sz w:val="20"/>
          <w:szCs w:val="20"/>
          <w:color w:val="auto"/>
        </w:rPr>
      </w:pPr>
    </w:p>
    <w:p>
      <w:pPr>
        <w:ind w:left="1000" w:hanging="36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03" w:lineRule="exact"/>
        <w:rPr>
          <w:rFonts w:ascii="Arial" w:cs="Arial" w:eastAsia="Arial" w:hAnsi="Arial"/>
          <w:sz w:val="18"/>
          <w:szCs w:val="18"/>
          <w:color w:val="auto"/>
        </w:rPr>
      </w:pPr>
    </w:p>
    <w:p>
      <w:pPr>
        <w:ind w:left="1000" w:right="140" w:hanging="368"/>
        <w:spacing w:after="0" w:line="24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due to their acquisition of competitive products or their internal development of competitive products, available funding or other external factors, such as a business combination that diverts resources or creates competing priorities;</w:t>
      </w:r>
    </w:p>
    <w:p>
      <w:pPr>
        <w:spacing w:after="0" w:line="79" w:lineRule="exact"/>
        <w:rPr>
          <w:rFonts w:ascii="Arial" w:cs="Arial" w:eastAsia="Arial" w:hAnsi="Arial"/>
          <w:sz w:val="18"/>
          <w:szCs w:val="18"/>
          <w:color w:val="auto"/>
        </w:rPr>
      </w:pPr>
    </w:p>
    <w:p>
      <w:pPr>
        <w:ind w:left="1000" w:right="460" w:hanging="368"/>
        <w:spacing w:after="0" w:line="291"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1000" w:right="60" w:hanging="368"/>
        <w:spacing w:after="0" w:line="248"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and other alliances could independently develop, or develop with third parties, products that compete directly or indirectly with our product candidate, particularly if the collaborators believe that competitive products are more likely to be successfully developed or can be commercialized under terms that are more economically attractive than ours;</w:t>
      </w:r>
    </w:p>
    <w:p>
      <w:pPr>
        <w:spacing w:after="0" w:line="73" w:lineRule="exact"/>
        <w:rPr>
          <w:rFonts w:ascii="Arial" w:cs="Arial" w:eastAsia="Arial" w:hAnsi="Arial"/>
          <w:sz w:val="18"/>
          <w:szCs w:val="18"/>
          <w:color w:val="auto"/>
        </w:rPr>
      </w:pPr>
    </w:p>
    <w:p>
      <w:pPr>
        <w:ind w:left="1000" w:right="540" w:hanging="368"/>
        <w:spacing w:after="0" w:line="261"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with marketing, manufacturing and distribution rights to one or more products may not commit sufficient resources to or otherwise not perform satisfactorily in carrying out these activities;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03" w:lineRule="exact"/>
        <w:rPr>
          <w:rFonts w:ascii="Arial" w:cs="Arial" w:eastAsia="Arial" w:hAnsi="Arial"/>
          <w:sz w:val="18"/>
          <w:szCs w:val="18"/>
          <w:color w:val="auto"/>
        </w:rPr>
      </w:pPr>
    </w:p>
    <w:p>
      <w:pPr>
        <w:ind w:left="1000" w:hanging="368"/>
        <w:spacing w:after="0" w:line="248"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3" w:lineRule="exact"/>
        <w:rPr>
          <w:rFonts w:ascii="Arial" w:cs="Arial" w:eastAsia="Arial" w:hAnsi="Arial"/>
          <w:sz w:val="18"/>
          <w:szCs w:val="18"/>
          <w:color w:val="auto"/>
        </w:rPr>
      </w:pPr>
    </w:p>
    <w:p>
      <w:pPr>
        <w:ind w:left="1000" w:hanging="36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03" w:lineRule="exact"/>
        <w:rPr>
          <w:rFonts w:ascii="Arial" w:cs="Arial" w:eastAsia="Arial" w:hAnsi="Arial"/>
          <w:sz w:val="18"/>
          <w:szCs w:val="18"/>
          <w:color w:val="auto"/>
        </w:rPr>
      </w:pPr>
    </w:p>
    <w:p>
      <w:pPr>
        <w:ind w:left="1000" w:right="60" w:hanging="368"/>
        <w:spacing w:after="0" w:line="324"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w:t>
      </w:r>
    </w:p>
    <w:p>
      <w:pPr>
        <w:spacing w:after="0" w:line="16" w:lineRule="exact"/>
        <w:rPr>
          <w:rFonts w:ascii="Arial" w:cs="Arial" w:eastAsia="Arial" w:hAnsi="Arial"/>
          <w:sz w:val="16"/>
          <w:szCs w:val="16"/>
          <w:color w:val="auto"/>
        </w:rPr>
      </w:pPr>
    </w:p>
    <w:p>
      <w:pPr>
        <w:ind w:left="1000" w:hanging="36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any intellectual property developed pursuant to our collaborations;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8" w:name="page49"/>
    <w:bookmarkEnd w:id="48"/>
    <w:p>
      <w:pPr>
        <w:jc w:val="both"/>
        <w:ind w:left="1020" w:right="360" w:hanging="383"/>
        <w:spacing w:after="0" w:line="270"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spacing w:after="0" w:line="55" w:lineRule="exact"/>
        <w:rPr>
          <w:rFonts w:ascii="Arial" w:cs="Arial" w:eastAsia="Arial" w:hAnsi="Arial"/>
          <w:sz w:val="17"/>
          <w:szCs w:val="17"/>
          <w:color w:val="auto"/>
        </w:rPr>
      </w:pPr>
    </w:p>
    <w:p>
      <w:pPr>
        <w:ind w:left="1020" w:right="680" w:hanging="38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this may result in a need for additional capital to pursue further development or commercialization of the applicable current or future product candidates; and</w:t>
      </w:r>
    </w:p>
    <w:p>
      <w:pPr>
        <w:spacing w:after="0" w:line="62" w:lineRule="exact"/>
        <w:rPr>
          <w:rFonts w:ascii="Arial" w:cs="Arial" w:eastAsia="Arial" w:hAnsi="Arial"/>
          <w:sz w:val="18"/>
          <w:szCs w:val="18"/>
          <w:color w:val="auto"/>
        </w:rPr>
      </w:pPr>
    </w:p>
    <w:p>
      <w:pPr>
        <w:ind w:left="1000" w:right="160" w:hanging="368"/>
        <w:spacing w:after="0" w:line="261"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sales and marketing activities or other operations may not be in compliance with applicable laws resulting in civil or criminal proceedings.</w:t>
      </w:r>
    </w:p>
    <w:p>
      <w:pPr>
        <w:spacing w:after="0" w:line="171"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spacing w:after="0" w:line="290"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auto"/>
        </w:rPr>
        <w:t>If our existing or future collaborators cease development efforts under our existing or future collaboration agreements, or if any of those agreements are terminated, we may lose committed funding under those agreements and these collaborations may fail to lead to commercial products and the reputation of our patented CAB technology platform may suffer.</w:t>
      </w:r>
    </w:p>
    <w:p>
      <w:pPr>
        <w:spacing w:after="0" w:line="74"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Revenue from research and development collaborations depend upon continuation of the collaborations, initiation and expansion of the number of programs subject to the collaborations, the achievement of milestones and royalties, if any, derived from future products developed from our research. If we are unable to successfully advance the development of our product candidates or achieve milestones, revenue and cash resources from milestone payments under our existing or future collaboration agreements will be substantially less than expected.</w:t>
      </w:r>
    </w:p>
    <w:p>
      <w:pPr>
        <w:spacing w:after="0" w:line="6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ability to advance our product candidates may be limited by third parties on which we rely for certain technologies which we use in certain of our programs. If any third party developing our product candidates or other candidates based on our patented CAB technology platform experiences a delay or failure in development, regulatory approval or commercialization, even if such failure is not due to our CAB technology, it could reflect negatively on us, our other product candidates and our patented CAB technology platform. In addition, if one of our current or future collaborators terminates its agreement with us, we may find it more difficult to attract new collaborators and our perception in the business and financial communities and our stock price could be adversely affected.</w:t>
      </w:r>
    </w:p>
    <w:p>
      <w:pPr>
        <w:spacing w:after="0" w:line="29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We may not be successful in establishing commercialization collaborations, which could adversely affect our ability to commercialize our product candidates, if approved.</w:t>
      </w:r>
    </w:p>
    <w:p>
      <w:pPr>
        <w:spacing w:after="0" w:line="63"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From time to time, we may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Moreover, such arrangements are complex and time-consuming to negotiate, document and implement and they may require substantial resources to maintain.</w:t>
      </w:r>
    </w:p>
    <w:p>
      <w:pPr>
        <w:spacing w:after="0" w:line="189" w:lineRule="exact"/>
        <w:rPr>
          <w:sz w:val="20"/>
          <w:szCs w:val="20"/>
          <w:color w:val="auto"/>
        </w:rPr>
      </w:pPr>
    </w:p>
    <w:p>
      <w:pPr>
        <w:ind w:right="300" w:firstLine="509"/>
        <w:spacing w:after="0" w:line="284" w:lineRule="auto"/>
        <w:rPr>
          <w:sz w:val="20"/>
          <w:szCs w:val="20"/>
          <w:color w:val="auto"/>
        </w:rPr>
      </w:pPr>
      <w:r>
        <w:rPr>
          <w:rFonts w:ascii="Arial" w:cs="Arial" w:eastAsia="Arial" w:hAnsi="Arial"/>
          <w:sz w:val="16"/>
          <w:szCs w:val="16"/>
          <w:color w:val="auto"/>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spacing w:after="0" w:line="263"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If third parties on which we rely to conduct our preclinical and clinical trials,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74" w:lineRule="exact"/>
        <w:rPr>
          <w:sz w:val="20"/>
          <w:szCs w:val="20"/>
          <w:color w:val="auto"/>
        </w:rPr>
      </w:pPr>
    </w:p>
    <w:p>
      <w:pPr>
        <w:ind w:right="200" w:firstLine="509"/>
        <w:spacing w:after="0" w:line="267" w:lineRule="auto"/>
        <w:rPr>
          <w:sz w:val="20"/>
          <w:szCs w:val="20"/>
          <w:color w:val="auto"/>
        </w:rPr>
      </w:pPr>
      <w:r>
        <w:rPr>
          <w:rFonts w:ascii="Arial" w:cs="Arial" w:eastAsia="Arial" w:hAnsi="Arial"/>
          <w:sz w:val="16"/>
          <w:szCs w:val="16"/>
          <w:color w:val="auto"/>
        </w:rPr>
        <w:t>We rely, and expect we will continue to rely, on third-party investigators, CROs, data management organizations and consultants to conduct, supervise and monitor our ongoing clinical trials and preclinical studies. We currently rely on third parties to manage and conduct our clinical trials of mecbotamab vedotin and ozuriftamab vedotin. Because we rely on these third parties and do not have the ability to conduct preclinical studies or clinical trials independently, we have less control over the timing, quality and other aspects of preclinical studies and clinical trials than we would have had we conducted them on our own. These investigators, CROs and consultants are not our employees and we will have limited control over the amount of time and resources that they dedicate to our development programs. These third parties may have contractual relationships with other entities, some of which may be our competitors, which may draw time and resources from our development programs. The third parties with whom we contract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9" w:name="page50"/>
    <w:bookmarkEnd w:id="49"/>
    <w:p>
      <w:pPr>
        <w:ind w:right="440"/>
        <w:spacing w:after="0" w:line="261" w:lineRule="auto"/>
        <w:rPr>
          <w:sz w:val="20"/>
          <w:szCs w:val="20"/>
          <w:color w:val="auto"/>
        </w:rPr>
      </w:pPr>
      <w:r>
        <w:rPr>
          <w:rFonts w:ascii="Arial" w:cs="Arial" w:eastAsia="Arial" w:hAnsi="Arial"/>
          <w:sz w:val="18"/>
          <w:szCs w:val="18"/>
          <w:color w:val="auto"/>
        </w:rPr>
        <w:t>might not be diligent, careful or timely in conducting our preclinical studies or clinical trials, resulting in the preclinical studies or clinical trials being delayed or unsuccessful.</w:t>
      </w:r>
    </w:p>
    <w:p>
      <w:pPr>
        <w:spacing w:after="0" w:line="63"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If we do 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development programs could be delayed and otherwise adversely affected. In all events, we are responsible for ensuring that each of our preclinical studies and clinical trials are conducted in accordance with the general investigational plan, protocols for the trial and regulatory requirements. The FDA requires preclinical studies to be conducted in accordance with GLPs and clinical trials to be conducted in accordance with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adverse development or delay in our preclinical studies and clinical trials could have a material and adverse effect on our business, financial condition, results of operations and prospects.</w:t>
      </w:r>
    </w:p>
    <w:p>
      <w:pPr>
        <w:spacing w:after="0" w:line="29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b w:val="1"/>
          <w:bCs w:val="1"/>
          <w:i w:val="1"/>
          <w:iCs w:val="1"/>
          <w:color w:val="auto"/>
        </w:rPr>
        <w:t>We rely on third parties for the manufacture of our product candidates for preclinical studies and our ongoing clinical trials, and we expect to continue to do so for additional clinical trials and ultimately commercialization. This reliance on third parties increases the risk that we will not have sufficient quantities of our product candidates or products, if approved, or such quantities at an acceptable cost, which could delay, prevent or impair our development or commercialization efforts.</w:t>
      </w:r>
    </w:p>
    <w:p>
      <w:pPr>
        <w:spacing w:after="0" w:line="80" w:lineRule="exact"/>
        <w:rPr>
          <w:sz w:val="20"/>
          <w:szCs w:val="20"/>
          <w:color w:val="auto"/>
        </w:rPr>
      </w:pPr>
    </w:p>
    <w:p>
      <w:pPr>
        <w:ind w:right="20" w:firstLine="509"/>
        <w:spacing w:after="0" w:line="269" w:lineRule="auto"/>
        <w:rPr>
          <w:sz w:val="20"/>
          <w:szCs w:val="20"/>
          <w:color w:val="auto"/>
        </w:rPr>
      </w:pPr>
      <w:r>
        <w:rPr>
          <w:rFonts w:ascii="Arial" w:cs="Arial" w:eastAsia="Arial" w:hAnsi="Arial"/>
          <w:sz w:val="16"/>
          <w:szCs w:val="16"/>
          <w:color w:val="auto"/>
        </w:rPr>
        <w:t>We rely, and expect we will continue to rely, on third-party contract manufacturers to manufacture our preclinical and clinical trial product supplies and the raw materials used to create our product candidates. We do not own manufacturing facilities for producing such supplies, and we do not have long-term manufacturing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 candidates will depend on the severity and duration of the spread of the virus, and the actions undertaken to contain COVID-19 or treat its effects. We cannot assure you that our preclinical and clinical development product supplies or raw materials will not be limited, interrupted, or be of satisfactory quality or continue to be available at acceptable prices. In particular, any replacement of a manufacturer could require significant effort and expertise because there are a limited number of qualified replacements.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third-party manufacture our product candidates.</w:t>
      </w:r>
    </w:p>
    <w:p>
      <w:pPr>
        <w:spacing w:after="0" w:line="168"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If we submit an application for regulatory approval of any of our product candidates, the facilities used by our contract manufacturers to manufacture our product candidates will be subject to inspection by the FDA or other regulatory authorities. If our contract manufacturers cannot successfully manufacture material that conforms to our specifications and the strict regulatory requirements of the FDA or others or if they are unable to maintain a compliance status acceptable to the FDA or other regulatory authorities, approval of our product candidates may be delayed or we may need to find alternative manufacturing facilities, which would significantly impact our ability to develop, obtain regulatory approval for or market our product candidates, if approved.</w:t>
      </w:r>
    </w:p>
    <w:p>
      <w:pPr>
        <w:spacing w:after="0" w:line="189"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expect to continue to rely on third-party manufacturers if we receive regulatory approval for any product candidate. If we are unable to obtain or maintain third-party manufacturing for product candidates, or to do so on commercially reasonable terms, we may not be able to develop and commercialize our product candidates successfully. Even if we are able to establish agreements with third-party manufacturers, reliance on third-party manufacturers entails additional risks, including:</w:t>
      </w:r>
    </w:p>
    <w:p>
      <w:pPr>
        <w:spacing w:after="0" w:line="80" w:lineRule="exact"/>
        <w:rPr>
          <w:sz w:val="20"/>
          <w:szCs w:val="20"/>
          <w:color w:val="auto"/>
        </w:rPr>
      </w:pPr>
    </w:p>
    <w:p>
      <w:pPr>
        <w:ind w:left="1000" w:hanging="368"/>
        <w:spacing w:after="0" w:line="248"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73" w:lineRule="exact"/>
        <w:rPr>
          <w:rFonts w:ascii="Arial" w:cs="Arial" w:eastAsia="Arial" w:hAnsi="Arial"/>
          <w:sz w:val="18"/>
          <w:szCs w:val="18"/>
          <w:color w:val="auto"/>
        </w:rPr>
      </w:pPr>
    </w:p>
    <w:p>
      <w:pPr>
        <w:ind w:left="1000" w:hanging="36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termination or nonrenewal of arrangements or agreements by our third-party contractors at a time that is costly or inconvenient for us;</w:t>
      </w:r>
    </w:p>
    <w:p>
      <w:pPr>
        <w:spacing w:after="0" w:line="126" w:lineRule="exact"/>
        <w:rPr>
          <w:rFonts w:ascii="Arial" w:cs="Arial" w:eastAsia="Arial" w:hAnsi="Arial"/>
          <w:sz w:val="16"/>
          <w:szCs w:val="16"/>
          <w:color w:val="auto"/>
        </w:rPr>
      </w:pPr>
    </w:p>
    <w:p>
      <w:pPr>
        <w:ind w:left="1000" w:hanging="36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0" w:name="page51"/>
    <w:bookmarkEnd w:id="50"/>
    <w:p>
      <w:pPr>
        <w:ind w:left="1000" w:right="660" w:hanging="368"/>
        <w:spacing w:after="0" w:line="261"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not being properly identified;</w:t>
      </w:r>
    </w:p>
    <w:p>
      <w:pPr>
        <w:spacing w:after="0" w:line="62" w:lineRule="exact"/>
        <w:rPr>
          <w:rFonts w:ascii="Arial" w:cs="Arial" w:eastAsia="Arial" w:hAnsi="Arial"/>
          <w:sz w:val="18"/>
          <w:szCs w:val="18"/>
          <w:color w:val="auto"/>
        </w:rPr>
      </w:pPr>
    </w:p>
    <w:p>
      <w:pPr>
        <w:ind w:left="1020" w:right="60" w:hanging="38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12"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In addition, we have no material long-term contracts with our suppliers, and we compete with other companies for raw materials and production. We may experience a significant disruption in the supply of raw materials from current sources or, in the event of a disruption, we may be unable to locate alternative materials suppliers of comparable quality at an acceptable price, or at all. In addition, if we experience significant increased demand, or if we need to replace an existing supplier, we may be unable to locate additional supplies of raw materials on terms that are acceptable to us, or at all, or we may be unable to locate any supplier with sufficient capacity to meet our requirements or to fill our orders in a timely manner. Identifying a suitable supplier is an involved process that requires us to become satisfied with their quality control, responsiveness and service, financial stability and labor and other ethical practices. Even if we are able to expand existing sources, we may encounter delays in production and added costs as a result of the time it takes to train suppliers in our methods, products and quality control standards.</w:t>
      </w:r>
    </w:p>
    <w:p>
      <w:pPr>
        <w:spacing w:after="0" w:line="289"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b w:val="1"/>
          <w:bCs w:val="1"/>
          <w:i w:val="1"/>
          <w:iCs w:val="1"/>
          <w:color w:val="auto"/>
        </w:rPr>
        <w:t>The manufacture of biotechnology products is complex, and manufacturers often encounter difficulties in production. If we or any of our third-party manufacturers encounter any loss of materials or if any of our third-party manufacturers encounter other difficulties, or otherwise fail to comply with their contractual or regulatory obligations, our ability to provide product candidates for clinical trials or our products to patients, once approved, the development or commercialization of our product candidates could be delayed or stopped.</w:t>
      </w:r>
    </w:p>
    <w:p>
      <w:pPr>
        <w:spacing w:after="0" w:line="64" w:lineRule="exact"/>
        <w:rPr>
          <w:sz w:val="20"/>
          <w:szCs w:val="20"/>
          <w:color w:val="auto"/>
        </w:rPr>
      </w:pPr>
    </w:p>
    <w:p>
      <w:pPr>
        <w:ind w:right="60" w:firstLine="509"/>
        <w:spacing w:after="0" w:line="271" w:lineRule="auto"/>
        <w:rPr>
          <w:sz w:val="20"/>
          <w:szCs w:val="20"/>
          <w:color w:val="auto"/>
        </w:rPr>
      </w:pPr>
      <w:r>
        <w:rPr>
          <w:rFonts w:ascii="Arial" w:cs="Arial" w:eastAsia="Arial" w:hAnsi="Arial"/>
          <w:sz w:val="16"/>
          <w:szCs w:val="16"/>
          <w:color w:val="auto"/>
        </w:rPr>
        <w:t>The manufacture of biotechnology products is complex and requires significant expertise and capital investment, including the development of advanced manufacturing techniques and process controls. We and our contract manufacturers must comply with cGMPs, regulations and guidelines for the manufacturing of biologics used in clinical trials and, if approved, marketed products. In order to conduct clinical trials of our product candidates, we and existing and future collaborators will need to manufacture them in large quantities and in accordance with cGMPs. Manufacturers of biotechnology products often encounter difficulties in production, particularly in scaling up and validating initial production. In addition,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 Furthermore, changes in our manufacturing methods may require comparability studies, including clinical bridging studies, which may result in delays to the approval process for our product candidates.</w:t>
      </w:r>
    </w:p>
    <w:p>
      <w:pPr>
        <w:spacing w:after="0" w:line="169"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All of our therapeutic antibodies are manufactured by starting with cells which are stored in a cell bank. We have one master cell bank for each antibody manufactured in accordance with cGMPs, which is stored in multiple locations. We are currently creating multiple working cell banks.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172" w:lineRule="exact"/>
        <w:rPr>
          <w:sz w:val="20"/>
          <w:szCs w:val="20"/>
          <w:color w:val="auto"/>
        </w:rPr>
      </w:pPr>
    </w:p>
    <w:p>
      <w:pPr>
        <w:ind w:right="20" w:firstLine="509"/>
        <w:spacing w:after="0" w:line="265" w:lineRule="auto"/>
        <w:rPr>
          <w:sz w:val="20"/>
          <w:szCs w:val="20"/>
          <w:color w:val="auto"/>
        </w:rPr>
      </w:pPr>
      <w:r>
        <w:rPr>
          <w:rFonts w:ascii="Arial" w:cs="Arial" w:eastAsia="Arial" w:hAnsi="Arial"/>
          <w:sz w:val="16"/>
          <w:szCs w:val="16"/>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For example, the extent to which the COVID-19 pandemic impacts the ability to procure sufficient supplies for the development of our product candidates will depend on the severity and duration of the spread of the virus, and the actions undertaken to contain COVID-19 or treat its effects.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or enforcement actions by regulatory authorities.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financial condition, results of operations and prospects.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08"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b w:val="1"/>
          <w:bCs w:val="1"/>
          <w:i w:val="1"/>
          <w:iCs w:val="1"/>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74"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The patent process is expensive and time-consuming, and we may not be able to apply for patents on certain aspects of our product candidates in a timely fashion, at a reasonable cost, in all jurisdictions,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w:t>
      </w:r>
    </w:p>
    <w:p>
      <w:pPr>
        <w:spacing w:after="0" w:line="169" w:lineRule="exact"/>
        <w:rPr>
          <w:sz w:val="20"/>
          <w:szCs w:val="20"/>
          <w:color w:val="auto"/>
        </w:rPr>
      </w:pPr>
    </w:p>
    <w:p>
      <w:pPr>
        <w:ind w:right="240" w:firstLine="509"/>
        <w:spacing w:after="0"/>
        <w:rPr>
          <w:sz w:val="20"/>
          <w:szCs w:val="20"/>
          <w:color w:val="auto"/>
        </w:rPr>
      </w:pPr>
      <w:r>
        <w:rPr>
          <w:rFonts w:ascii="Arial" w:cs="Arial" w:eastAsia="Arial" w:hAnsi="Arial"/>
          <w:sz w:val="18"/>
          <w:szCs w:val="18"/>
          <w:color w:val="auto"/>
        </w:rPr>
        <w:t>Moreover, the patent position of biotechnology and biopharmaceutical companies can be highly uncertain because it involves complex legal and factual issues.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 Furthermore, even if they are unchallenged, our patents and patent applications may not adequately protect our intellectual property, provide exclusivity for our product candidates, or prevent others from designing around our patent claims.</w:t>
      </w:r>
    </w:p>
    <w:p>
      <w:pPr>
        <w:spacing w:after="0" w:line="189"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 xml:space="preserve">Once granted, patents may remain open to opposition, interference, re-examination,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nullification or derivation action in court or before patent offices or similar proceedings for a given period after allowance or grant, during which time third parties can raise objections against granted patents. In the course of such proceedings, which may continue for a protracted period of time, the patent owner may be compelled to limit the scope of the allowed or granted patent claims thus attacked, or may lose the allowed or granted claims altogether. As of November 2021, there is an ongoing patent opposition proceeding regarding our patent EP2 406 399 at the European Patent Office which is related to a version of methods used for evolving and screening potential product candidates. The Opposition Division revoked EP2 406 399 in its decision dated March 10, 2020 and we filed an appeal on July 20, 2020. In addition, we cannot assure you that:</w:t>
      </w:r>
    </w:p>
    <w:p>
      <w:pPr>
        <w:spacing w:after="0" w:line="72" w:lineRule="exact"/>
        <w:rPr>
          <w:sz w:val="20"/>
          <w:szCs w:val="20"/>
          <w:color w:val="auto"/>
        </w:rPr>
      </w:pPr>
    </w:p>
    <w:p>
      <w:pPr>
        <w:ind w:left="1000" w:hanging="36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obtain, maintain, protect and enforce intellectual property protection for our technologies and product candidates.</w:t>
      </w:r>
    </w:p>
    <w:p>
      <w:pPr>
        <w:spacing w:after="0" w:line="103" w:lineRule="exact"/>
        <w:rPr>
          <w:rFonts w:ascii="Arial" w:cs="Arial" w:eastAsia="Arial" w:hAnsi="Arial"/>
          <w:sz w:val="18"/>
          <w:szCs w:val="18"/>
          <w:color w:val="auto"/>
        </w:rPr>
      </w:pPr>
    </w:p>
    <w:p>
      <w:pPr>
        <w:ind w:left="1000" w:right="240" w:hanging="368"/>
        <w:spacing w:after="0" w:line="261"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1000" w:right="440" w:hanging="368"/>
        <w:spacing w:after="0" w:line="261"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licensors, or our existing or future collaborators are the first to make the inventions covered by each of our issued patents and pending patent applications that we own or license.</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or our licensors, or our existing or future collaborators are the first to file patent applications covering certain aspects of our inventions.</w:t>
      </w:r>
    </w:p>
    <w:p>
      <w:pPr>
        <w:spacing w:after="0" w:line="126" w:lineRule="exact"/>
        <w:rPr>
          <w:rFonts w:ascii="Arial" w:cs="Arial" w:eastAsia="Arial" w:hAnsi="Arial"/>
          <w:sz w:val="16"/>
          <w:szCs w:val="16"/>
          <w:color w:val="auto"/>
        </w:rPr>
      </w:pPr>
    </w:p>
    <w:p>
      <w:pPr>
        <w:ind w:left="1000" w:right="680" w:hanging="368"/>
        <w:spacing w:after="0" w:line="261"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third party may not challenge our patents and, if challenged, that a court would hold that our patents are valid, enforceable and infringed.</w:t>
      </w:r>
    </w:p>
    <w:p>
      <w:pPr>
        <w:spacing w:after="0" w:line="126" w:lineRule="exact"/>
        <w:rPr>
          <w:rFonts w:ascii="Arial" w:cs="Arial" w:eastAsia="Arial" w:hAnsi="Arial"/>
          <w:sz w:val="16"/>
          <w:szCs w:val="16"/>
          <w:color w:val="auto"/>
        </w:rPr>
      </w:pPr>
    </w:p>
    <w:p>
      <w:pPr>
        <w:ind w:left="1000" w:hanging="368"/>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issued patents that we own or have licensed will provide us with any competitive advantage, or will not be challenged by third parties.</w:t>
      </w:r>
    </w:p>
    <w:p>
      <w:pPr>
        <w:spacing w:after="0" w:line="126" w:lineRule="exact"/>
        <w:rPr>
          <w:rFonts w:ascii="Arial" w:cs="Arial" w:eastAsia="Arial" w:hAnsi="Arial"/>
          <w:sz w:val="16"/>
          <w:szCs w:val="16"/>
          <w:color w:val="auto"/>
        </w:rPr>
      </w:pPr>
    </w:p>
    <w:p>
      <w:pPr>
        <w:ind w:left="1000" w:hanging="36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develop or in-license additional proprietary technologies that are patentable.</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Pending patent applications that we own or may license will lead to issued patents.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patents of others will not have a material or adverse effect on our business, financial condition, results of operations and prospects.</w:t>
      </w:r>
    </w:p>
    <w:p>
      <w:pPr>
        <w:spacing w:after="0" w:line="115" w:lineRule="exact"/>
        <w:rPr>
          <w:rFonts w:ascii="Arial" w:cs="Arial" w:eastAsia="Arial" w:hAnsi="Arial"/>
          <w:sz w:val="17"/>
          <w:szCs w:val="17"/>
          <w:color w:val="auto"/>
        </w:rPr>
      </w:pPr>
    </w:p>
    <w:p>
      <w:pPr>
        <w:ind w:left="1000" w:right="20" w:hanging="368"/>
        <w:spacing w:after="0" w:line="258"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commercial markets.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52" w:name="page53"/>
    <w:bookmarkEnd w:id="52"/>
    <w:p>
      <w:pPr>
        <w:ind w:right="20" w:firstLine="509"/>
        <w:spacing w:after="0"/>
        <w:rPr>
          <w:sz w:val="20"/>
          <w:szCs w:val="20"/>
          <w:color w:val="auto"/>
        </w:rPr>
      </w:pPr>
      <w:r>
        <w:rPr>
          <w:rFonts w:ascii="Arial" w:cs="Arial" w:eastAsia="Arial" w:hAnsi="Arial"/>
          <w:sz w:val="18"/>
          <w:szCs w:val="18"/>
          <w:color w:val="auto"/>
        </w:rPr>
        <w:t>If the breadth or strength of protection provided by the patents and patent applications we hold, obtain or pursue with respect to our product candidates is challenged, or if they fail to provide meaningful exclusivity for our product candidates, it could threaten our ability to practice our technologies or commercialize our product candidates. We cannot offer any assurances about which, if any, patents will issue, the breadth of any such patent, or whether any issued patents will be found invalid and unenforceable or will be threatened by third parties. Furthermore, an interference or derivation proceeding can be provoked by a third party or instituted by a patent office or in a court proceeding, to determine who was the first to invent any of the subject matter covered by the patent claims of our applications.</w:t>
      </w:r>
    </w:p>
    <w:p>
      <w:pPr>
        <w:spacing w:after="0" w:line="18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Where we obtain licenses from third parties,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4"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In addition to seeking patent protection for certain aspects of our product candidates, we also consider trade secrets, including confidential and unpatented know-how important to the maintenance of our competitive position. We seek to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could be harmed.</w:t>
      </w:r>
    </w:p>
    <w:p>
      <w:pPr>
        <w:spacing w:after="0" w:line="172"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Competitors could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in the absence of patent protection, we would have no right to prevent them, or those to whom they communicate, from using that technology or information to compete with us. If our trade secrets are not adequately protected so as to protect our market against competitors’ products, others may be able to exploit our product candidates and discovery technologies to identify and develop competing product candidates, and thus our competitive position could be adversely affected, as could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terms of our patents may not protect our competitive position on our product candidates for an adequate amount of time.</w:t>
      </w:r>
    </w:p>
    <w:p>
      <w:pPr>
        <w:spacing w:after="0" w:line="104"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after its earliest U.S. non-provisional effective filing date. Although various extensions may be available, the life of a patent, and the protection it affords, is limited. Even if patents covering our technologies or product candidates are obtained, once the patent life has expired, we may be open to competition. Our issued patents will expire on dates ranging from 2030 to 2037, subject to any additional patent extensions that may be available for such patents. If patents are issued on our pending patent applications, the resulting patents are projected to expire on dates ranging from 2030 to 2043 plus any potential patent extensions that may be available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3" w:name="page54"/>
    <w:bookmarkEnd w:id="53"/>
    <w:p>
      <w:pPr>
        <w:jc w:val="both"/>
        <w:spacing w:after="0" w:line="248" w:lineRule="auto"/>
        <w:rPr>
          <w:sz w:val="20"/>
          <w:szCs w:val="20"/>
          <w:color w:val="auto"/>
        </w:rPr>
      </w:pPr>
      <w:r>
        <w:rPr>
          <w:rFonts w:ascii="Arial" w:cs="Arial" w:eastAsia="Arial" w:hAnsi="Arial"/>
          <w:sz w:val="18"/>
          <w:szCs w:val="18"/>
          <w:color w:val="auto"/>
        </w:rPr>
        <w:t>for such patents.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0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8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63"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September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another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render our technology to be patentable over the prior art. Since patent applications in the United States and most other countries are confidential for a period of time after filing or until issuance, we cannot be certain that we were the first to either (i) file any patent application related to our product candidates or (ii) invent any of the inventions claimed in our patents or patent applications.</w:t>
      </w:r>
    </w:p>
    <w:p>
      <w:pPr>
        <w:spacing w:after="0" w:line="195"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the provision of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89"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Because of the application of a lower evidentiary standard in USPTO proceedings compared to the evidentiary standard applied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Thus, the Leahy-Smith Act and its implementation could increase the uncertainties and costs surrounding the prosecution and defense of our or our licensors’ patent applications and the enforcement or defense of our issued patents, all of which could have a material adverse effect on our business, financial condition, results of operations and prospects.</w:t>
      </w:r>
    </w:p>
    <w:p>
      <w:pPr>
        <w:spacing w:after="0" w:line="28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3"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4" w:name="page55"/>
    <w:bookmarkEnd w:id="54"/>
    <w:p>
      <w:pPr>
        <w:ind w:right="120"/>
        <w:spacing w:after="0" w:line="243" w:lineRule="auto"/>
        <w:rPr>
          <w:sz w:val="20"/>
          <w:szCs w:val="20"/>
          <w:color w:val="auto"/>
        </w:rPr>
      </w:pPr>
      <w:r>
        <w:rPr>
          <w:rFonts w:ascii="Arial" w:cs="Arial" w:eastAsia="Arial" w:hAnsi="Arial"/>
          <w:sz w:val="18"/>
          <w:szCs w:val="18"/>
          <w:color w:val="auto"/>
        </w:rPr>
        <w:t>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88"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For example, the U.S. Supreme Court has ruled on several patent cases in recent years, sometimes narrowing the scope of patent protection available in certain circumstances, weakening the rights of patent owners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spacing w:after="0" w:line="28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3"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CAB therapeutics are a new scientific field. We have obtained grants and issuances of CAB therapeutic patents and the various technologies used in discovering and producing CAB therapeutic proteins.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 portfolio of patents, patent applications and other intellectual property covering CAB compositions of matter as well as their development and methods of use.</w:t>
      </w:r>
    </w:p>
    <w:p>
      <w:pPr>
        <w:spacing w:after="0" w:line="174"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89"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CAB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297" w:lineRule="exact"/>
        <w:rPr>
          <w:sz w:val="20"/>
          <w:szCs w:val="20"/>
          <w:color w:val="auto"/>
        </w:rPr>
      </w:pPr>
    </w:p>
    <w:p>
      <w:pPr>
        <w:jc w:val="both"/>
        <w:ind w:right="100"/>
        <w:spacing w:after="0" w:line="294" w:lineRule="auto"/>
        <w:rPr>
          <w:sz w:val="20"/>
          <w:szCs w:val="20"/>
          <w:color w:val="auto"/>
        </w:rPr>
      </w:pPr>
      <w:r>
        <w:rPr>
          <w:rFonts w:ascii="Arial" w:cs="Arial" w:eastAsia="Arial" w:hAnsi="Arial"/>
          <w:sz w:val="16"/>
          <w:szCs w:val="16"/>
          <w:b w:val="1"/>
          <w:bCs w:val="1"/>
          <w:i w:val="1"/>
          <w:iCs w:val="1"/>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 Such litigation or licenses could be costly or not available on commercially reasonable terms.</w:t>
      </w:r>
    </w:p>
    <w:p>
      <w:pPr>
        <w:spacing w:after="0" w:line="39" w:lineRule="exact"/>
        <w:rPr>
          <w:sz w:val="20"/>
          <w:szCs w:val="20"/>
          <w:color w:val="auto"/>
        </w:rPr>
      </w:pPr>
    </w:p>
    <w:p>
      <w:pPr>
        <w:ind w:right="60" w:firstLine="509"/>
        <w:spacing w:after="0" w:line="265" w:lineRule="auto"/>
        <w:rPr>
          <w:sz w:val="20"/>
          <w:szCs w:val="20"/>
          <w:color w:val="auto"/>
        </w:rPr>
      </w:pPr>
      <w:r>
        <w:rPr>
          <w:rFonts w:ascii="Arial" w:cs="Arial" w:eastAsia="Arial" w:hAnsi="Arial"/>
          <w:sz w:val="16"/>
          <w:szCs w:val="16"/>
          <w:color w:val="auto"/>
        </w:rPr>
        <w:t xml:space="preserve">Our commercial success depends in part on our ability to develop, manufacture, market and sell our product candidates and use our proprietary technologies without infringing or otherwise violating the patents and proprietary rights of third parties. There is a substantial amount of litigation involving patent and other intellectual property rights in the biotechnology and pharmaceutical industries, including patent infringement lawsuits, interferences, derivation proceedings, post grant reviews,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and reexamination proceedings before the USPTO or oppositions and other comparable proceedings in foreign jurisdictions. Given the vast number of patents in our field of technology, we cannot assure you that marketing of our product candidates or practice of our technologies will not infringe existing patents or patents that may be granted in the future. Because the antibody landscape is still evolving and the CAB antibody landscape is a new field, it is difficult to conclusively assess our freedom to operate without infringing on third-party rights. There are numerous companies that have pending patent applications and issued patents broadly covering many aspects of antibodies generally or covering antibodies directed against the same targets as, or targets similar to, those we are pursuing. Our competitive position may suffer if patents issued to third parties or other third-party intellectual property rights cover our products or product candidates or elements thereof, or our manufacture or uses relevant to our development plans. If any third-party patents were held by a court of competent jurisdiction to cover the manufacturing process of any of our product candidates, any molecules formed during the manufacturing process or any final product or formulation itself, the holders of any such patents may be able to block our ability to commercialize such product candidate.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5" w:name="page56"/>
    <w:bookmarkEnd w:id="55"/>
    <w:p>
      <w:pPr>
        <w:ind w:right="20"/>
        <w:spacing w:after="0" w:line="253" w:lineRule="auto"/>
        <w:rPr>
          <w:sz w:val="20"/>
          <w:szCs w:val="20"/>
          <w:color w:val="auto"/>
        </w:rPr>
      </w:pPr>
      <w:r>
        <w:rPr>
          <w:rFonts w:ascii="Arial" w:cs="Arial" w:eastAsia="Arial" w:hAnsi="Arial"/>
          <w:sz w:val="17"/>
          <w:szCs w:val="17"/>
          <w:color w:val="auto"/>
        </w:rPr>
        <w:t>terms. Parties making claims against us may obtain injunctive or other equitable relief, which could effectively block our ability to further practice our technologies or develop and commercialize one or more of our product candidates. There may be issued patents of which we are not aware, held by third parties that, if found to be valid and enforceable, could be alleged to be infringed by our CAB technologies. There also may be pending patent applications of which we are not aware that may result in issued patents, which could be alleged to be infringed by our CAB technologies. If such an infringement claim should be brought and be successful, we may be required to pay substantial damages, be forced to abandon our product candidates or seek a license from any patent holders, and would most likely be required to pay license fees or royalties or both, each of which could be substantial. No assurances can be given that a license will be available on commercially reasonable terms, if at all. Even if we were able to obtain a license, the rights we obtain may be nonexclusive, which would provide our competitors access to the same intellectual property rights upon which we are forced to rely. As the biotechnology and pharmaceutical industries expand and more patents are issued, the risk increases that our product candidates or technologies may give rise to claims of infringement of the patent rights of others.</w:t>
      </w:r>
    </w:p>
    <w:p>
      <w:pPr>
        <w:spacing w:after="0" w:line="180"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We or our collaboration partner, or any future strategic partners may be subject to third-party claims for infringement or misappropriation of patent or other proprietary rights.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8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3"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or technologies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even if we have received patent protection for our technologies and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spacing w:after="0" w:line="187" w:lineRule="exact"/>
        <w:rPr>
          <w:sz w:val="20"/>
          <w:szCs w:val="20"/>
          <w:color w:val="auto"/>
        </w:rPr>
      </w:pPr>
    </w:p>
    <w:p>
      <w:pPr>
        <w:ind w:right="40" w:firstLine="509"/>
        <w:spacing w:after="0" w:line="267" w:lineRule="auto"/>
        <w:rPr>
          <w:sz w:val="20"/>
          <w:szCs w:val="20"/>
          <w:color w:val="auto"/>
        </w:rPr>
      </w:pPr>
      <w:r>
        <w:rPr>
          <w:rFonts w:ascii="Arial" w:cs="Arial" w:eastAsia="Arial" w:hAnsi="Arial"/>
          <w:sz w:val="16"/>
          <w:szCs w:val="16"/>
          <w:color w:val="auto"/>
        </w:rPr>
        <w:t>If we fail to identify and correctly interpret relevant patents, we may be subject to infringement claims.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or our technologies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04"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We may also be subject to claims that former employees, collaborators or other third parties have an ownership interest in our patents or other intellectual property. We may have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70"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 and issued patents covering our product candidates could be found invalid or unenforceable if challenged in court in the United States or abroad.</w:t>
      </w:r>
    </w:p>
    <w:p>
      <w:pPr>
        <w:spacing w:after="0" w:line="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Competitors may infringe our patents or the patents of our licensors. If we were to initiate legal proceedings against a third party to enforce a patent covering one of our products or our technology, the defendant could counterclaim that our patent is invalid or unenforceable, or the court may refuse to stop the defendant in such infringement proceeding from using the technology at issue on the grounds that our patents do not cover the technology in question.</w:t>
      </w:r>
    </w:p>
    <w:p>
      <w:pPr>
        <w:ind w:right="20"/>
        <w:spacing w:after="0" w:line="236" w:lineRule="auto"/>
        <w:rPr>
          <w:sz w:val="20"/>
          <w:szCs w:val="20"/>
          <w:color w:val="auto"/>
        </w:rPr>
      </w:pPr>
      <w:r>
        <w:rPr>
          <w:rFonts w:ascii="Arial" w:cs="Arial" w:eastAsia="Arial" w:hAnsi="Arial"/>
          <w:sz w:val="18"/>
          <w:szCs w:val="18"/>
          <w:color w:val="auto"/>
        </w:rPr>
        <w:t>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spacing w:after="0" w:line="190" w:lineRule="exact"/>
        <w:rPr>
          <w:sz w:val="20"/>
          <w:szCs w:val="20"/>
          <w:color w:val="auto"/>
        </w:rPr>
      </w:pPr>
    </w:p>
    <w:p>
      <w:pPr>
        <w:ind w:right="180" w:firstLine="509"/>
        <w:spacing w:after="0" w:line="279" w:lineRule="auto"/>
        <w:rPr>
          <w:sz w:val="20"/>
          <w:szCs w:val="20"/>
          <w:color w:val="auto"/>
        </w:rPr>
      </w:pPr>
      <w:r>
        <w:rPr>
          <w:rFonts w:ascii="Arial" w:cs="Arial" w:eastAsia="Arial" w:hAnsi="Arial"/>
          <w:sz w:val="16"/>
          <w:szCs w:val="16"/>
          <w:color w:val="auto"/>
        </w:rPr>
        <w:t>Interference or derivation proceedings provoked by third parties or brought by us, the USPTO or any foreign patent authority may be necessary to determine the priority and/or ownership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w:t>
      </w:r>
    </w:p>
    <w:p>
      <w:pPr>
        <w:spacing w:after="0" w:line="15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may not be able to prevent, alone or with our licensors, misappropriation of our intellectual property, trade secrets or confidential information,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4" w:lineRule="exact"/>
        <w:rPr>
          <w:sz w:val="20"/>
          <w:szCs w:val="20"/>
          <w:color w:val="auto"/>
        </w:rPr>
      </w:pPr>
    </w:p>
    <w:p>
      <w:pPr>
        <w:ind w:right="60" w:firstLine="509"/>
        <w:spacing w:after="0" w:line="265" w:lineRule="auto"/>
        <w:rPr>
          <w:sz w:val="20"/>
          <w:szCs w:val="20"/>
          <w:color w:val="auto"/>
        </w:rPr>
      </w:pPr>
      <w:r>
        <w:rPr>
          <w:rFonts w:ascii="Arial" w:cs="Arial" w:eastAsia="Arial" w:hAnsi="Arial"/>
          <w:sz w:val="16"/>
          <w:szCs w:val="16"/>
          <w:color w:val="auto"/>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in certain jurisdictions. Proceedings to enforce our patent rights in foreign jurisdictions, regardless of whether they are successful, could result in substantial cost and divert our efforts and attention from other aspects of our business.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7" w:name="page58"/>
    <w:bookmarkEnd w:id="57"/>
    <w:p>
      <w:pPr>
        <w:ind w:right="60" w:firstLine="509"/>
        <w:spacing w:after="0" w:line="252" w:lineRule="auto"/>
        <w:rPr>
          <w:sz w:val="20"/>
          <w:szCs w:val="20"/>
          <w:color w:val="auto"/>
        </w:rPr>
      </w:pPr>
      <w:r>
        <w:rPr>
          <w:rFonts w:ascii="Arial" w:cs="Arial" w:eastAsia="Arial" w:hAnsi="Arial"/>
          <w:sz w:val="17"/>
          <w:szCs w:val="17"/>
          <w:color w:val="auto"/>
        </w:rPr>
        <w:t xml:space="preserve">We generally file a provisional patent application first (a priority filing) at the USPTO. An international application under the Patent Cooperation Treaty, or PCT, is usually filed within 12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7"/>
          <w:szCs w:val="17"/>
          <w:i w:val="1"/>
          <w:iCs w:val="1"/>
          <w:color w:val="auto"/>
        </w:rPr>
        <w:t>inter alia</w:t>
      </w:r>
      <w:r>
        <w:rPr>
          <w:rFonts w:ascii="Arial" w:cs="Arial" w:eastAsia="Arial" w:hAnsi="Arial"/>
          <w:sz w:val="17"/>
          <w:szCs w:val="17"/>
          <w:color w:val="auto"/>
        </w:rPr>
        <w:t>, Brazil, China, Hong Kong, India, Israel, Mexico, New Zealand, Russia,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in other jurisdictions. It is also quite common that depending on the country, various scopes of patent protection may be granted on the same product candidate or technology.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w:t>
      </w:r>
    </w:p>
    <w:p>
      <w:pPr>
        <w:spacing w:after="0" w:line="183"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in the United States, and many companies have encountered significant difficulties in protecting and defending such rights in such jurisdictions. The requirements for patentability differ, in varying degrees, from country to country, and the laws of some foreign countries do not protect intellectual property rights, including trade secrets, to the same extent as federal and state laws of the United States.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15"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3" w:lineRule="exact"/>
        <w:rPr>
          <w:sz w:val="20"/>
          <w:szCs w:val="20"/>
          <w:color w:val="auto"/>
        </w:rPr>
      </w:pPr>
    </w:p>
    <w:p>
      <w:pPr>
        <w:ind w:right="160" w:firstLine="509"/>
        <w:spacing w:after="0" w:line="259"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82" w:lineRule="exact"/>
        <w:rPr>
          <w:sz w:val="20"/>
          <w:szCs w:val="20"/>
          <w:color w:val="auto"/>
        </w:rPr>
      </w:pPr>
    </w:p>
    <w:p>
      <w:pPr>
        <w:ind w:right="60"/>
        <w:spacing w:after="0" w:line="356" w:lineRule="auto"/>
        <w:rPr>
          <w:sz w:val="20"/>
          <w:szCs w:val="20"/>
          <w:color w:val="auto"/>
        </w:rPr>
      </w:pPr>
      <w:r>
        <w:rPr>
          <w:rFonts w:ascii="Arial" w:cs="Arial" w:eastAsia="Arial" w:hAnsi="Arial"/>
          <w:sz w:val="15"/>
          <w:szCs w:val="15"/>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spacing w:after="0" w:line="1" w:lineRule="exact"/>
        <w:rPr>
          <w:sz w:val="20"/>
          <w:szCs w:val="20"/>
          <w:color w:val="auto"/>
        </w:rPr>
      </w:pPr>
    </w:p>
    <w:p>
      <w:pPr>
        <w:ind w:right="20" w:firstLine="509"/>
        <w:spacing w:after="0" w:line="251" w:lineRule="auto"/>
        <w:rPr>
          <w:sz w:val="20"/>
          <w:szCs w:val="20"/>
          <w:color w:val="auto"/>
        </w:rPr>
      </w:pPr>
      <w:r>
        <w:rPr>
          <w:rFonts w:ascii="Arial" w:cs="Arial" w:eastAsia="Arial" w:hAnsi="Arial"/>
          <w:sz w:val="17"/>
          <w:szCs w:val="17"/>
          <w:color w:val="auto"/>
        </w:rPr>
        <w:t>Our current and any future collaboration agreements or license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8" w:name="page59"/>
    <w:bookmarkEnd w:id="58"/>
    <w:p>
      <w:pPr>
        <w:ind w:right="580"/>
        <w:spacing w:after="0" w:line="261" w:lineRule="auto"/>
        <w:rPr>
          <w:sz w:val="20"/>
          <w:szCs w:val="20"/>
          <w:color w:val="auto"/>
        </w:rPr>
      </w:pPr>
      <w:r>
        <w:rPr>
          <w:rFonts w:ascii="Arial" w:cs="Arial" w:eastAsia="Arial" w:hAnsi="Arial"/>
          <w:sz w:val="18"/>
          <w:szCs w:val="18"/>
          <w:color w:val="auto"/>
        </w:rPr>
        <w:t>and intellectual property we use in products that we successfully develop and commercialize, if any. Therefore, even if we successfully develop and commercialize products, we may be unable to achieve or maintain profitability.</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15" w:lineRule="exact"/>
        <w:rPr>
          <w:sz w:val="20"/>
          <w:szCs w:val="20"/>
          <w:color w:val="auto"/>
        </w:rPr>
      </w:pPr>
    </w:p>
    <w:p>
      <w:pPr>
        <w:ind w:right="80" w:firstLine="509"/>
        <w:spacing w:after="0" w:line="270" w:lineRule="auto"/>
        <w:rPr>
          <w:sz w:val="20"/>
          <w:szCs w:val="20"/>
          <w:color w:val="auto"/>
        </w:rPr>
      </w:pPr>
      <w:r>
        <w:rPr>
          <w:rFonts w:ascii="Arial" w:cs="Arial" w:eastAsia="Arial" w:hAnsi="Arial"/>
          <w:sz w:val="16"/>
          <w:szCs w:val="16"/>
          <w:color w:val="auto"/>
        </w:rPr>
        <w:t>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also may be unable to license or acquire third-party intellectual property rights on terms that that would be favorable to us or would allow us to make an appropriate return on our investment. Even if we are able to obtain a license to intellectual property of interest, we may not be able to secure exclusive rights, in which case others could use the same rights and compete with us.</w:t>
      </w:r>
    </w:p>
    <w:p>
      <w:pPr>
        <w:spacing w:after="0" w:line="275" w:lineRule="exact"/>
        <w:rPr>
          <w:sz w:val="20"/>
          <w:szCs w:val="20"/>
          <w:color w:val="auto"/>
        </w:rPr>
      </w:pPr>
    </w:p>
    <w:p>
      <w:pPr>
        <w:ind w:right="500"/>
        <w:spacing w:after="0" w:line="248"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4" w:lineRule="exact"/>
        <w:rPr>
          <w:sz w:val="20"/>
          <w:szCs w:val="20"/>
          <w:color w:val="auto"/>
        </w:rPr>
      </w:pPr>
    </w:p>
    <w:p>
      <w:pPr>
        <w:ind w:right="40" w:firstLine="509"/>
        <w:spacing w:after="0" w:line="268"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law firms and other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sometimes unpredictable.</w:t>
      </w:r>
    </w:p>
    <w:p>
      <w:pPr>
        <w:spacing w:after="0" w:line="283"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56"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29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trademarks or trade names may be challenged, infringed, circumvented, declared generic or determined to be infringing on other marks. We only have one currently registered trademark, and rely on common law protection for the rest of our trademarks. We may not be able to protect our rights to these trademarks and trade names or may be forced to stop using these names, which we need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9" w:name="page60"/>
    <w:bookmarkEnd w:id="59"/>
    <w:p>
      <w:pPr>
        <w:ind w:right="40"/>
        <w:spacing w:after="0"/>
        <w:rPr>
          <w:sz w:val="20"/>
          <w:szCs w:val="20"/>
          <w:color w:val="auto"/>
        </w:rPr>
      </w:pPr>
      <w:r>
        <w:rPr>
          <w:rFonts w:ascii="Arial" w:cs="Arial" w:eastAsia="Arial" w:hAnsi="Arial"/>
          <w:sz w:val="18"/>
          <w:szCs w:val="18"/>
          <w:color w:val="auto"/>
        </w:rPr>
        <w:t>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Our operating results may fluctuate significantly or may fall below the expectations of investors or securities analysts, each of which may cause our stock price to fluctuate or decline.</w:t>
      </w:r>
    </w:p>
    <w:p>
      <w:pPr>
        <w:spacing w:after="0" w:line="63"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We expect our operating results to be subject to annual and quarterly fluctuations. Our net loss and other operating results will be affected by numerous factors, including:</w:t>
      </w:r>
    </w:p>
    <w:p>
      <w:pPr>
        <w:spacing w:after="0" w:line="63" w:lineRule="exact"/>
        <w:rPr>
          <w:sz w:val="20"/>
          <w:szCs w:val="20"/>
          <w:color w:val="auto"/>
        </w:rPr>
      </w:pPr>
    </w:p>
    <w:p>
      <w:pPr>
        <w:ind w:left="1000" w:hanging="368"/>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variations in the level of expense related to the ongoing development of our product candidates or future development programs;</w:t>
      </w:r>
    </w:p>
    <w:p>
      <w:pPr>
        <w:spacing w:after="0" w:line="115" w:lineRule="exact"/>
        <w:rPr>
          <w:rFonts w:ascii="Arial" w:cs="Arial" w:eastAsia="Arial" w:hAnsi="Arial"/>
          <w:sz w:val="17"/>
          <w:szCs w:val="17"/>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or the addition or termination of clinical trials;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of our existing collaborations and any potential additional collaborations, licensing or similar arrangements;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15" w:lineRule="exact"/>
        <w:rPr>
          <w:rFonts w:ascii="Arial" w:cs="Arial" w:eastAsia="Arial" w:hAnsi="Arial"/>
          <w:sz w:val="17"/>
          <w:szCs w:val="17"/>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03" w:lineRule="exact"/>
        <w:rPr>
          <w:rFonts w:ascii="Arial" w:cs="Arial" w:eastAsia="Arial" w:hAnsi="Arial"/>
          <w:sz w:val="18"/>
          <w:szCs w:val="18"/>
          <w:color w:val="auto"/>
        </w:rPr>
      </w:pPr>
    </w:p>
    <w:p>
      <w:pPr>
        <w:ind w:left="1000" w:right="240" w:hanging="368"/>
        <w:spacing w:after="0" w:line="261"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1000" w:hanging="368"/>
        <w:spacing w:after="0" w:line="261"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our operating results fall below the expectations of investors or securities analysts, the price of our common stock could decline substantially.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Furthermore, any fluctuations in our operating results may, in turn, cause the price of our stock to fluctuate substantially.</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could lose all or part of your investment.</w:t>
      </w:r>
    </w:p>
    <w:p>
      <w:pPr>
        <w:spacing w:after="0" w:line="104"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The trading price of our common stock has been and is likely to continue to be highly volatile. The market price for our common stock may be influenced by many factors, including the other risks described in this section and the following:</w:t>
      </w:r>
    </w:p>
    <w:p>
      <w:pPr>
        <w:spacing w:after="0" w:line="63" w:lineRule="exact"/>
        <w:rPr>
          <w:sz w:val="20"/>
          <w:szCs w:val="20"/>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and results of our clinical trials or those of our competitors;</w:t>
      </w:r>
    </w:p>
    <w:p>
      <w:pPr>
        <w:spacing w:after="0" w:line="103" w:lineRule="exact"/>
        <w:rPr>
          <w:rFonts w:ascii="Arial" w:cs="Arial" w:eastAsia="Arial" w:hAnsi="Arial"/>
          <w:sz w:val="18"/>
          <w:szCs w:val="18"/>
          <w:color w:val="auto"/>
        </w:rPr>
      </w:pPr>
    </w:p>
    <w:p>
      <w:pPr>
        <w:ind w:left="1000" w:right="680" w:hanging="368"/>
        <w:spacing w:after="0" w:line="261"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03" w:lineRule="exact"/>
        <w:rPr>
          <w:rFonts w:ascii="Arial" w:cs="Arial" w:eastAsia="Arial" w:hAnsi="Arial"/>
          <w:sz w:val="18"/>
          <w:szCs w:val="18"/>
          <w:color w:val="auto"/>
        </w:rPr>
      </w:pPr>
    </w:p>
    <w:p>
      <w:pPr>
        <w:ind w:left="1000" w:right="500" w:hanging="368"/>
        <w:spacing w:after="0" w:line="261"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current or future collaborators or our competitors, and the timing of these introductions or announcements;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new collaboration agreements, or the restructuring or termination of current collaboration agreements;</w:t>
      </w:r>
    </w:p>
    <w:p>
      <w:pPr>
        <w:spacing w:after="0" w:line="103" w:lineRule="exact"/>
        <w:rPr>
          <w:rFonts w:ascii="Arial" w:cs="Arial" w:eastAsia="Arial" w:hAnsi="Arial"/>
          <w:sz w:val="18"/>
          <w:szCs w:val="18"/>
          <w:color w:val="auto"/>
        </w:rPr>
      </w:pPr>
    </w:p>
    <w:p>
      <w:pPr>
        <w:ind w:left="1000" w:right="500" w:hanging="368"/>
        <w:spacing w:after="0" w:line="261"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products, preclinical studies, clinical trials, manufacturing process or sales and marketing terms;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03" w:lineRule="exact"/>
        <w:rPr>
          <w:rFonts w:ascii="Arial" w:cs="Arial" w:eastAsia="Arial" w:hAnsi="Arial"/>
          <w:sz w:val="18"/>
          <w:szCs w:val="18"/>
          <w:color w:val="auto"/>
        </w:rPr>
      </w:pPr>
    </w:p>
    <w:p>
      <w:pPr>
        <w:ind w:left="5540" w:right="60" w:hanging="4908"/>
        <w:spacing w:after="0" w:line="261" w:lineRule="auto"/>
        <w:tabs>
          <w:tab w:leader="none" w:pos="10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concerning any future collaborations, including those regarding manufacturing, supply and commercialization of our products;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0" w:name="page61"/>
    <w:bookmarkEnd w:id="60"/>
    <w:p>
      <w:pPr>
        <w:ind w:left="1000" w:hanging="36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15" w:lineRule="exact"/>
        <w:rPr>
          <w:rFonts w:ascii="Arial" w:cs="Arial" w:eastAsia="Arial" w:hAnsi="Arial"/>
          <w:sz w:val="17"/>
          <w:szCs w:val="17"/>
          <w:color w:val="auto"/>
        </w:rPr>
      </w:pPr>
    </w:p>
    <w:p>
      <w:pPr>
        <w:ind w:left="1000" w:right="160" w:hanging="368"/>
        <w:spacing w:after="0" w:line="261"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1000" w:right="120" w:hanging="368"/>
        <w:spacing w:after="0" w:line="261"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15" w:lineRule="exact"/>
        <w:rPr>
          <w:rFonts w:ascii="Arial" w:cs="Arial" w:eastAsia="Arial" w:hAnsi="Arial"/>
          <w:sz w:val="17"/>
          <w:szCs w:val="17"/>
          <w:color w:val="auto"/>
        </w:rPr>
      </w:pPr>
    </w:p>
    <w:p>
      <w:pPr>
        <w:ind w:left="1000" w:hanging="36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 and</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12" w:lineRule="exact"/>
        <w:rPr>
          <w:sz w:val="20"/>
          <w:szCs w:val="20"/>
          <w:color w:val="auto"/>
        </w:rPr>
      </w:pPr>
    </w:p>
    <w:p>
      <w:pPr>
        <w:jc w:val="both"/>
        <w:ind w:right="500" w:firstLine="509"/>
        <w:spacing w:after="0" w:line="248" w:lineRule="auto"/>
        <w:rPr>
          <w:sz w:val="20"/>
          <w:szCs w:val="20"/>
          <w:color w:val="auto"/>
        </w:rPr>
      </w:pPr>
      <w:r>
        <w:rPr>
          <w:rFonts w:ascii="Arial" w:cs="Arial" w:eastAsia="Arial" w:hAnsi="Arial"/>
          <w:sz w:val="18"/>
          <w:szCs w:val="18"/>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future issuance of equity or of debt securities that are convertible into equity will dilute our share capital.</w:t>
      </w:r>
    </w:p>
    <w:p>
      <w:pPr>
        <w:spacing w:after="0" w:line="104" w:lineRule="exact"/>
        <w:rPr>
          <w:sz w:val="20"/>
          <w:szCs w:val="20"/>
          <w:color w:val="auto"/>
        </w:rPr>
      </w:pPr>
    </w:p>
    <w:p>
      <w:pPr>
        <w:ind w:right="100" w:firstLine="509"/>
        <w:spacing w:after="0" w:line="274" w:lineRule="auto"/>
        <w:rPr>
          <w:sz w:val="20"/>
          <w:szCs w:val="20"/>
          <w:color w:val="auto"/>
        </w:rPr>
      </w:pPr>
      <w:r>
        <w:rPr>
          <w:rFonts w:ascii="Arial" w:cs="Arial" w:eastAsia="Arial" w:hAnsi="Arial"/>
          <w:sz w:val="16"/>
          <w:szCs w:val="16"/>
          <w:color w:val="auto"/>
        </w:rPr>
        <w:t>We will need to raise additional capital in the future. To the extent we raise additional capital through the issuance of equity or convertible debt securities in the future, there will be further dilution to investors and the terms of these securities may include liquidation or other preferences that adversely affect our stockholders’ rights. 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sufficient funds for our current or future operating plans. No prediction can be made as to the effect, if any, that future sales of common stock or the availability of common stock for future sales will have on the trading price of our common stock.</w:t>
      </w:r>
    </w:p>
    <w:p>
      <w:pPr>
        <w:spacing w:after="0" w:line="27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i w:val="1"/>
          <w:iCs w:val="1"/>
          <w:color w:val="auto"/>
        </w:rPr>
        <w:t>The dual class structure of our common stock and the option of the holder of shares of our Class B common stock to convert into shares of our common stock may limit your ability to influence corporate matters.</w:t>
      </w:r>
    </w:p>
    <w:p>
      <w:pPr>
        <w:spacing w:after="0" w:line="63"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Our common stock has one vote per share, while our Class B common stock is non-voting. Nonetheless, each share of our Class B common stock may be converted at any time into one share of common stock at the option of its holder, subject to the limitations provided for in our amended and restated certificate of incorporation. Consequently, if holders of Class B common stock exercise their option to make this conversion, this will have the effect of increasing the relative voting power of those prior holders of our Class B common stock, and correspondingly decrease the voting power of the current holders of our common stock, which may limit your ability to influence corporate matters. Because our Class B common stock is generally non-voting, stockholders who own more than 10% of our Class B common stock and common stock overall but 10% or less of our common stock will not be required to</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61" w:name="page62"/>
    <w:bookmarkEnd w:id="61"/>
    <w:p>
      <w:pPr>
        <w:ind w:right="380"/>
        <w:spacing w:after="0" w:line="243" w:lineRule="auto"/>
        <w:rPr>
          <w:sz w:val="20"/>
          <w:szCs w:val="20"/>
          <w:color w:val="auto"/>
        </w:rPr>
      </w:pPr>
      <w:r>
        <w:rPr>
          <w:rFonts w:ascii="Arial" w:cs="Arial" w:eastAsia="Arial" w:hAnsi="Arial"/>
          <w:sz w:val="18"/>
          <w:szCs w:val="18"/>
          <w:color w:val="auto"/>
        </w:rPr>
        <w:t>report changes in their ownership from transactions in our Class B common stock pursuant to Section 16(a) of the Securities Exchange Act of 1934, as amended, or the Exchange Act, and would not be subject to the short-swing profit provisions of Section 16(b) of the Exchange Act. In addition, acquisitions of Class B common stock would not be subject to notification pursuant to the Hart-Scott-Rodino Antitrust Improvements Act of 1976, as amended.</w:t>
      </w:r>
    </w:p>
    <w:p>
      <w:pPr>
        <w:spacing w:after="0" w:line="296"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adverse or misleading research or reports regarding us, our business or our market, our stock price and trading volume could decline.</w:t>
      </w:r>
    </w:p>
    <w:p>
      <w:pPr>
        <w:spacing w:after="0" w:line="63"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7"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39"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As of March 31, 2022, executive officers and directors, together with holders of 5% or more of our outstanding common stock and their respective affiliates, beneficially own approximately 48.8% of our outstanding common stock. More specifically, Jay M. Short, Ph.D, our Chairman and Chief Executive Officer, together with his spouse, Carolyn Anderson Short, our former Chief of Intellectual Property and Strategy and Assistant Secretary, own 8.1%, of our outstanding common stock, as of March 31, 2022.</w:t>
      </w:r>
    </w:p>
    <w:p>
      <w:pPr>
        <w:spacing w:after="0" w:line="188"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As a result, Dr. Short and our other principal stockholders will continue to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80"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addition, we have entered into certain related party transactions with Himalaya Therapeutics SEZC, Inversagen, LLC and BioAtla Holdings, LLC, including various licensing arrangements with respect to certain CAB antibodies. Dr. Short and his wife, Carolyn Anderson Short, are each a manager of Inversagen, LLC and BioAtla Holdings, LLC and a director of Himalaya Therapeutics SEZC. In addition, Ms. Anderson Short is also an officer of Himalaya Therapeutics SEZC. These related party transactions, and any future related party transactions, create the possibility of actual conflicts of interest with regard to Dr. Short.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04"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182"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All of our outstanding shares of common stock are freely tradable without restriction or further registration under the Securities Act unless held by our “affiliates” as defined in Rule 144 under the Securities Act, or Rule 144. Shares issued upon the exercise of stock options and warrants outstanding under our equity incentive plans or pursuant to future awards granted under those plans will become available for sale in the public market to the extent permitted by Rules 144 and 701 under the Securities Act.</w:t>
      </w:r>
    </w:p>
    <w:p>
      <w:pPr>
        <w:spacing w:after="0" w:line="188"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Certain holders of our outstanding shares have rights, subject to certain conditions, to require us to file registration statements covering the sale of their shares or to include their shares in registration statements that we may file for ourselves or our other stockholders. We also registered the offer and sale of all shares of common stock that we may issue under our equity compensation plans, which shares will be able to be sold in the public market upon issuance, subject to applicable securities laws and the lock-up agreements.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2" w:name="page63"/>
    <w:bookmarkEnd w:id="62"/>
    <w:p>
      <w:pPr>
        <w:ind w:right="780"/>
        <w:spacing w:after="0" w:line="324"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81" w:lineRule="exact"/>
        <w:rPr>
          <w:sz w:val="20"/>
          <w:szCs w:val="20"/>
          <w:color w:val="auto"/>
        </w:rPr>
      </w:pPr>
    </w:p>
    <w:p>
      <w:pPr>
        <w:ind w:left="1000" w:hanging="36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prohibition on actions by our stockholders by written consent;</w:t>
      </w:r>
    </w:p>
    <w:p>
      <w:pPr>
        <w:spacing w:after="0" w:line="103" w:lineRule="exact"/>
        <w:rPr>
          <w:rFonts w:ascii="Arial" w:cs="Arial" w:eastAsia="Arial" w:hAnsi="Arial"/>
          <w:sz w:val="18"/>
          <w:szCs w:val="18"/>
          <w:color w:val="auto"/>
        </w:rPr>
      </w:pPr>
    </w:p>
    <w:p>
      <w:pPr>
        <w:ind w:left="1000" w:right="200" w:hanging="368"/>
        <w:spacing w:after="0" w:line="291"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requirement that special meetings of stockholders be called only by the chairman of our board of directors, our chief executive officer, or our board of directors pursuant to a resolution adopted by a majority of the total number of authorized directors;</w:t>
      </w:r>
    </w:p>
    <w:p>
      <w:pPr>
        <w:spacing w:after="0" w:line="38" w:lineRule="exact"/>
        <w:rPr>
          <w:rFonts w:ascii="Arial" w:cs="Arial" w:eastAsia="Arial" w:hAnsi="Arial"/>
          <w:sz w:val="17"/>
          <w:szCs w:val="17"/>
          <w:color w:val="auto"/>
        </w:rPr>
      </w:pPr>
    </w:p>
    <w:p>
      <w:pPr>
        <w:ind w:left="1000" w:hanging="368"/>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26" w:lineRule="exact"/>
        <w:rPr>
          <w:rFonts w:ascii="Arial" w:cs="Arial" w:eastAsia="Arial" w:hAnsi="Arial"/>
          <w:sz w:val="16"/>
          <w:szCs w:val="16"/>
          <w:color w:val="auto"/>
        </w:rPr>
      </w:pPr>
    </w:p>
    <w:p>
      <w:pPr>
        <w:ind w:left="1000" w:hanging="36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requirement that directors may only be removed “for cause” and only with 66 2/3% voting stock of our stockholders;</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requirement that only the board of directors may change the number of directors and fill vacancies on the board;</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division of our board of directors into three classes, serving staggered terms of three years each; and</w:t>
      </w:r>
    </w:p>
    <w:p>
      <w:pPr>
        <w:spacing w:after="0" w:line="103" w:lineRule="exact"/>
        <w:rPr>
          <w:rFonts w:ascii="Arial" w:cs="Arial" w:eastAsia="Arial" w:hAnsi="Arial"/>
          <w:sz w:val="18"/>
          <w:szCs w:val="18"/>
          <w:color w:val="auto"/>
        </w:rPr>
      </w:pPr>
    </w:p>
    <w:p>
      <w:pPr>
        <w:ind w:left="1000" w:hanging="36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21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spacing w:after="0" w:line="29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The Company’s ability to attract and retain qualified members of our board of directors may be impacted due to new state laws, including recently enacted gender quotas.</w:t>
      </w:r>
    </w:p>
    <w:p>
      <w:pPr>
        <w:spacing w:after="0" w:line="63"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 September 2018, California enacted SB 826 requiring public companies headquartered in California to maintain minimum female representation on their boards of directors as follows: by the end of 2019, at least one woman on its board, by the end of 2020, public company boards with five members will be required to have at least two female directors, and public company boards with six or more members will be required to have at least three female directors.</w:t>
      </w:r>
    </w:p>
    <w:p>
      <w:pPr>
        <w:spacing w:after="0" w:line="80"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In September 2020, California enacted AB 979, which requires that by the end of 2021 California-headquartered public companies have at least one director on their boards who is from an underrepresented community, defined as “an individual who self-identifies as Black, African American, Hispanic, Latino, Asian, Pacific Islander, Native American, Native Hawaiian, or Alaska Native, or who self-identifies as gay, lesbian, bisexual, or transgender.”</w:t>
      </w:r>
    </w:p>
    <w:p>
      <w:pPr>
        <w:spacing w:after="0" w:line="39"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In addition to that initial 2021 requirement, the law mandates that the number of directors from underrepresented communities be increased by the end of calendar year 2022, depending on the size of the board.</w:t>
      </w:r>
    </w:p>
    <w:p>
      <w:pPr>
        <w:spacing w:after="0" w:line="63" w:lineRule="exact"/>
        <w:rPr>
          <w:sz w:val="20"/>
          <w:szCs w:val="20"/>
          <w:color w:val="auto"/>
        </w:rPr>
      </w:pPr>
    </w:p>
    <w:p>
      <w:pPr>
        <w:jc w:val="both"/>
        <w:ind w:right="80" w:firstLine="509"/>
        <w:spacing w:after="0" w:line="243" w:lineRule="auto"/>
        <w:rPr>
          <w:sz w:val="20"/>
          <w:szCs w:val="20"/>
          <w:color w:val="auto"/>
        </w:rPr>
      </w:pPr>
      <w:r>
        <w:rPr>
          <w:rFonts w:ascii="Arial" w:cs="Arial" w:eastAsia="Arial" w:hAnsi="Arial"/>
          <w:sz w:val="18"/>
          <w:szCs w:val="18"/>
          <w:color w:val="auto"/>
        </w:rPr>
        <w:t>In addition, the SEC recently approved new listing rules from Nasdaq related to board diversity and disclosure, which require all companies listed on Nasdaq's U.S. exchanges to publicly disclose consistent, transparent diversity statistics regarding their board of directors. Additionally, the rules would require most Nasdaq-listed companies to have, or explain why they do not have, at least two diverse directors, including one who self-identifies as female and one who self-identifies as either an underrepresented minority or LGBTQ+.</w:t>
      </w:r>
    </w:p>
    <w:p>
      <w:pPr>
        <w:spacing w:after="0" w:line="80" w:lineRule="exact"/>
        <w:rPr>
          <w:sz w:val="20"/>
          <w:szCs w:val="20"/>
          <w:color w:val="auto"/>
        </w:rPr>
      </w:pPr>
    </w:p>
    <w:p>
      <w:pPr>
        <w:ind w:right="320" w:firstLine="509"/>
        <w:spacing w:after="0" w:line="239" w:lineRule="auto"/>
        <w:rPr>
          <w:sz w:val="20"/>
          <w:szCs w:val="20"/>
          <w:color w:val="auto"/>
        </w:rPr>
      </w:pPr>
      <w:r>
        <w:rPr>
          <w:rFonts w:ascii="Arial" w:cs="Arial" w:eastAsia="Arial" w:hAnsi="Arial"/>
          <w:sz w:val="18"/>
          <w:szCs w:val="18"/>
          <w:color w:val="auto"/>
        </w:rPr>
        <w:t>Failure to achieve designated minimum gender and diversity levels in a timely manner exposes such companies to financial penalties and reputational harm. While we are currently in compliance with these regulations, we cannot assure that we can recruit, attract and/or retain qualified members of the board and meet gender and diversity quotas as a result of the California laws or Nasdaq rules, which may expose us to penalties and/or reputational harm.</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2" w:right="399" w:bottom="1440" w:gutter="0" w:footer="0" w:header="0"/>
        </w:sectPr>
      </w:pPr>
    </w:p>
    <w:bookmarkStart w:id="63" w:name="page64"/>
    <w:bookmarkEnd w:id="63"/>
    <w:p>
      <w:pPr>
        <w:jc w:val="both"/>
        <w:ind w:right="440"/>
        <w:spacing w:after="0" w:line="24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 Additionally, if we fail to maintain proper and effective internal controls, our ability to produce accurate financial statements on a timely basis could be impaired.</w:t>
      </w:r>
    </w:p>
    <w:p>
      <w:pPr>
        <w:spacing w:after="0" w:line="74"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As a public company, and particularly after we were no longer an emerging growth company or a smaller reporting company, we have incurred and will continue to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members of our board of directors or our board committees or as executive officers.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68"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In addition, as a public company, we are required to incur costs and obligations in order to comply with SEC rules that implement Section 404 of the Sarbanes-Oxley Act. Under these rules, we are required to make a formal assessment of the effectiveness of our internal control over financial reporting, and we are required to include an attestation report on internal control over financial reporting issued by our independent registered public accounting firm. We engaged outside consultants to assist in a process to document and evaluate our internal control over financial reporting, which is both costly and challenging. In this regard, we have, and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As a result of the complexity involved in complying with the rules and regulations applicable to public companies, our management’s attention may be diverted from other business concerns, which could harm our business, operating results, and financial condition. Since becoming a public company, we increased, and may in the future further increase, the number of employees dedicated to finance and reporting, and the services of outside consultants to meet requirements, which has increased our operating expenses.</w:t>
      </w:r>
    </w:p>
    <w:p>
      <w:pPr>
        <w:spacing w:after="0" w:line="16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may not prevent or detect all errors and all fraud.</w:t>
      </w:r>
    </w:p>
    <w:p>
      <w:pPr>
        <w:spacing w:after="0" w:line="188"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In addition, if we are not able to continue to meet these requirements, we may not be able to remain listed on The Nasdaq Global Market.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9"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4" w:name="page65"/>
    <w:bookmarkEnd w:id="64"/>
    <w:p>
      <w:pPr>
        <w:ind w:right="740"/>
        <w:spacing w:after="0" w:line="26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your ability to achieve a return on your investment will depend on appreciation of the value of our common stock.</w:t>
      </w:r>
    </w:p>
    <w:p>
      <w:pPr>
        <w:spacing w:after="0" w:line="63"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our management’s attention.</w:t>
      </w:r>
    </w:p>
    <w:p>
      <w:pPr>
        <w:spacing w:after="0" w:line="104" w:lineRule="exact"/>
        <w:rPr>
          <w:sz w:val="20"/>
          <w:szCs w:val="20"/>
          <w:color w:val="auto"/>
        </w:rPr>
      </w:pPr>
    </w:p>
    <w:p>
      <w:pPr>
        <w:jc w:val="both"/>
        <w:ind w:right="260" w:firstLine="509"/>
        <w:spacing w:after="0" w:line="270" w:lineRule="auto"/>
        <w:rPr>
          <w:sz w:val="20"/>
          <w:szCs w:val="20"/>
          <w:color w:val="auto"/>
        </w:rPr>
      </w:pPr>
      <w:r>
        <w:rPr>
          <w:rFonts w:ascii="Arial" w:cs="Arial" w:eastAsia="Arial" w:hAnsi="Arial"/>
          <w:sz w:val="17"/>
          <w:szCs w:val="17"/>
          <w:color w:val="auto"/>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spacing w:after="0" w:line="27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4"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0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08"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On December 15, 2020, the SEC declared effective our registration statement on Form S-1 (File No. 333-250093), as amended, filed in connection with our IPO. At the closing of the offering on December 18, 2020, we issued and sold 12,075,000 shares of our common stock at the initial public offering price to the public of $18.00 per share, which included the exercise in full of the underwriters’ option to purchase additional shares. We received gross proceeds from the IPO of $217.4 million, before deducting underwriting discounts and commissions of approximately $15.2 million and estimated offering costs of approximately $3.8 million.</w:t>
      </w:r>
    </w:p>
    <w:p>
      <w:pPr>
        <w:spacing w:after="0" w:line="189"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As of March 31, 2022, we have used approximately $49.9 million of the proceeds from our IPO. There has been no material change in the planned use of such proceeds from that described in the final prospectus filed by us with the SEC on December 17, 2020.</w:t>
      </w: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3720" w:type="dxa"/>
            <w:vAlign w:val="bottom"/>
            <w:gridSpan w:val="7"/>
            <w:vMerge w:val="restart"/>
          </w:tcPr>
          <w:p>
            <w:pPr>
              <w:ind w:left="1520"/>
              <w:spacing w:after="0"/>
              <w:rPr>
                <w:sz w:val="20"/>
                <w:szCs w:val="20"/>
                <w:color w:val="auto"/>
              </w:rPr>
            </w:pPr>
            <w:r>
              <w:rPr>
                <w:rFonts w:ascii="Arial" w:cs="Arial" w:eastAsia="Arial" w:hAnsi="Arial"/>
                <w:sz w:val="14"/>
                <w:szCs w:val="14"/>
                <w:b w:val="1"/>
                <w:bCs w:val="1"/>
                <w:color w:val="auto"/>
              </w:rPr>
              <w:t>Description</w:t>
            </w:r>
          </w:p>
        </w:tc>
        <w:tc>
          <w:tcPr>
            <w:tcW w:w="12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Form</w:t>
            </w:r>
          </w:p>
        </w:tc>
        <w:tc>
          <w:tcPr>
            <w:tcW w:w="13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File No.</w:t>
            </w:r>
          </w:p>
        </w:tc>
        <w:tc>
          <w:tcPr>
            <w:tcW w:w="10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Exhibit</w:t>
            </w:r>
          </w:p>
        </w:tc>
        <w:tc>
          <w:tcPr>
            <w:tcW w:w="15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 Filing Date</w:t>
            </w:r>
          </w:p>
        </w:tc>
        <w:tc>
          <w:tcPr>
            <w:tcW w:w="122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File/Furnished</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3720" w:type="dxa"/>
            <w:vAlign w:val="bottom"/>
            <w:tcBorders>
              <w:bottom w:val="single" w:sz="8" w:color="auto"/>
            </w:tcBorders>
            <w:gridSpan w:val="7"/>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3720" w:type="dxa"/>
            <w:vAlign w:val="bottom"/>
            <w:gridSpan w:val="7"/>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BioAtla Director Compensation Policy</w:t>
              </w:r>
            </w:hyperlink>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31.1</w:t>
            </w: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gridSpan w:val="5"/>
            <w:vMerge w:val="restart"/>
          </w:tcPr>
          <w:p>
            <w:pPr>
              <w:ind w:left="80"/>
              <w:spacing w:after="0" w:line="202" w:lineRule="exact"/>
              <w:rPr>
                <w:rFonts w:ascii="Arial" w:cs="Arial" w:eastAsia="Arial" w:hAnsi="Arial"/>
                <w:sz w:val="18"/>
                <w:szCs w:val="18"/>
                <w:color w:val="0000FF"/>
                <w:w w:val="84"/>
              </w:rPr>
            </w:pPr>
            <w:hyperlink w:anchor="page70">
              <w:r>
                <w:rPr>
                  <w:rFonts w:ascii="Arial" w:cs="Arial" w:eastAsia="Arial" w:hAnsi="Arial"/>
                  <w:sz w:val="18"/>
                  <w:szCs w:val="18"/>
                  <w:color w:val="0000FF"/>
                  <w:w w:val="84"/>
                </w:rPr>
                <w:t>Pursuant to</w:t>
              </w:r>
            </w:hyperlink>
          </w:p>
        </w:tc>
        <w:tc>
          <w:tcPr>
            <w:tcW w:w="1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rPr>
              <w:t>X</w:t>
            </w:r>
          </w:p>
        </w:tc>
        <w:tc>
          <w:tcPr>
            <w:tcW w:w="0" w:type="dxa"/>
            <w:vAlign w:val="bottom"/>
          </w:tcPr>
          <w:p>
            <w:pPr>
              <w:spacing w:after="0" w:line="20" w:lineRule="exact"/>
              <w:rPr>
                <w:sz w:val="1"/>
                <w:szCs w:val="1"/>
                <w:color w:val="auto"/>
              </w:rPr>
            </w:pPr>
          </w:p>
        </w:tc>
      </w:tr>
      <w:tr>
        <w:trPr>
          <w:trHeight w:val="183"/>
        </w:trPr>
        <w:tc>
          <w:tcPr>
            <w:tcW w:w="1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gridSpan w:val="2"/>
          </w:tcPr>
          <w:p>
            <w:pPr>
              <w:spacing w:after="0" w:line="182" w:lineRule="exact"/>
              <w:rPr>
                <w:rFonts w:ascii="Arial" w:cs="Arial" w:eastAsia="Arial" w:hAnsi="Arial"/>
                <w:sz w:val="18"/>
                <w:szCs w:val="18"/>
                <w:color w:val="0000FF"/>
                <w:w w:val="91"/>
              </w:rPr>
            </w:pPr>
            <w:hyperlink w:anchor="page70">
              <w:r>
                <w:rPr>
                  <w:rFonts w:ascii="Arial" w:cs="Arial" w:eastAsia="Arial" w:hAnsi="Arial"/>
                  <w:sz w:val="18"/>
                  <w:szCs w:val="18"/>
                  <w:color w:val="0000FF"/>
                  <w:w w:val="91"/>
                </w:rPr>
                <w:t>Certification of Chief Executive Officer</w:t>
              </w:r>
            </w:hyperlink>
          </w:p>
        </w:tc>
        <w:tc>
          <w:tcPr>
            <w:tcW w:w="900" w:type="dxa"/>
            <w:vAlign w:val="bottom"/>
            <w:gridSpan w:val="5"/>
            <w:vMerge w:val="continue"/>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20" w:type="dxa"/>
            <w:vAlign w:val="bottom"/>
            <w:gridSpan w:val="7"/>
          </w:tcPr>
          <w:p>
            <w:pPr>
              <w:spacing w:after="0" w:line="156" w:lineRule="exact"/>
              <w:rPr>
                <w:rFonts w:ascii="Arial" w:cs="Arial" w:eastAsia="Arial" w:hAnsi="Arial"/>
                <w:sz w:val="18"/>
                <w:szCs w:val="18"/>
                <w:color w:val="0000FF"/>
                <w:w w:val="87"/>
              </w:rPr>
            </w:pPr>
            <w:hyperlink w:anchor="page70">
              <w:r>
                <w:rPr>
                  <w:rFonts w:ascii="Arial" w:cs="Arial" w:eastAsia="Arial" w:hAnsi="Arial"/>
                  <w:sz w:val="18"/>
                  <w:szCs w:val="18"/>
                  <w:color w:val="0000FF"/>
                  <w:w w:val="87"/>
                </w:rPr>
                <w:t>Rules 13a-14(a) and 15d-14(a) as Adopted Pursuant</w:t>
              </w:r>
            </w:hyperlink>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vMerge w:val="restart"/>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w:anchor="page70">
              <w:r>
                <w:rPr>
                  <w:rFonts w:ascii="Arial" w:cs="Arial" w:eastAsia="Arial" w:hAnsi="Arial"/>
                  <w:sz w:val="18"/>
                  <w:szCs w:val="18"/>
                  <w:color w:val="0000FF"/>
                  <w:w w:val="90"/>
                </w:rPr>
                <w:t>to 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1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720" w:type="dxa"/>
            <w:vAlign w:val="bottom"/>
            <w:gridSpan w:val="7"/>
          </w:tcPr>
          <w:p>
            <w:pPr>
              <w:spacing w:after="0" w:line="182" w:lineRule="exact"/>
              <w:rPr>
                <w:rFonts w:ascii="Arial" w:cs="Arial" w:eastAsia="Arial" w:hAnsi="Arial"/>
                <w:sz w:val="18"/>
                <w:szCs w:val="18"/>
                <w:color w:val="0000FF"/>
                <w:w w:val="93"/>
              </w:rPr>
            </w:pPr>
            <w:hyperlink w:anchor="page71">
              <w:r>
                <w:rPr>
                  <w:rFonts w:ascii="Arial" w:cs="Arial" w:eastAsia="Arial" w:hAnsi="Arial"/>
                  <w:sz w:val="18"/>
                  <w:szCs w:val="18"/>
                  <w:color w:val="0000FF"/>
                  <w:w w:val="93"/>
                </w:rPr>
                <w:t>Certification of Chief Financial Officer Pursuant to</w:t>
              </w:r>
            </w:hyperlink>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20" w:type="dxa"/>
            <w:vAlign w:val="bottom"/>
            <w:gridSpan w:val="7"/>
          </w:tcPr>
          <w:p>
            <w:pPr>
              <w:spacing w:after="0" w:line="156" w:lineRule="exact"/>
              <w:rPr>
                <w:rFonts w:ascii="Arial" w:cs="Arial" w:eastAsia="Arial" w:hAnsi="Arial"/>
                <w:sz w:val="18"/>
                <w:szCs w:val="18"/>
                <w:color w:val="0000FF"/>
                <w:w w:val="87"/>
              </w:rPr>
            </w:pPr>
            <w:hyperlink w:anchor="page71">
              <w:r>
                <w:rPr>
                  <w:rFonts w:ascii="Arial" w:cs="Arial" w:eastAsia="Arial" w:hAnsi="Arial"/>
                  <w:sz w:val="18"/>
                  <w:szCs w:val="18"/>
                  <w:color w:val="0000FF"/>
                  <w:w w:val="87"/>
                </w:rPr>
                <w:t>Rules 13a-14(a) and 15d-14(a) as Adopted Pursuant</w:t>
              </w:r>
            </w:hyperlink>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w:anchor="page71">
              <w:r>
                <w:rPr>
                  <w:rFonts w:ascii="Arial" w:cs="Arial" w:eastAsia="Arial" w:hAnsi="Arial"/>
                  <w:sz w:val="18"/>
                  <w:szCs w:val="18"/>
                  <w:color w:val="0000FF"/>
                  <w:w w:val="90"/>
                </w:rPr>
                <w:t>to Section 302 of the Sarbanes-Oxley Act of 2002.</w:t>
              </w:r>
            </w:hyperlink>
          </w:p>
        </w:tc>
        <w:tc>
          <w:tcPr>
            <w:tcW w:w="80" w:type="dxa"/>
            <w:vAlign w:val="bottom"/>
            <w:tcBorders>
              <w:top w:val="single" w:sz="8" w:color="0000FF"/>
            </w:tcBorders>
            <w:gridSpan w:val="2"/>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1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640" w:type="dxa"/>
            <w:vAlign w:val="bottom"/>
            <w:gridSpan w:val="5"/>
          </w:tcPr>
          <w:p>
            <w:pPr>
              <w:spacing w:after="0" w:line="182" w:lineRule="exact"/>
              <w:rPr>
                <w:rFonts w:ascii="Arial" w:cs="Arial" w:eastAsia="Arial" w:hAnsi="Arial"/>
                <w:sz w:val="18"/>
                <w:szCs w:val="18"/>
                <w:color w:val="0000FF"/>
                <w:w w:val="93"/>
              </w:rPr>
            </w:pPr>
            <w:hyperlink w:anchor="page72">
              <w:r>
                <w:rPr>
                  <w:rFonts w:ascii="Arial" w:cs="Arial" w:eastAsia="Arial" w:hAnsi="Arial"/>
                  <w:sz w:val="18"/>
                  <w:szCs w:val="18"/>
                  <w:color w:val="0000FF"/>
                  <w:w w:val="93"/>
                </w:rPr>
                <w:t>Certification of Chief Executive Officer and Chief</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60" w:type="dxa"/>
            <w:vAlign w:val="bottom"/>
            <w:gridSpan w:val="6"/>
          </w:tcPr>
          <w:p>
            <w:pPr>
              <w:spacing w:after="0" w:line="156" w:lineRule="exact"/>
              <w:rPr>
                <w:rFonts w:ascii="Arial" w:cs="Arial" w:eastAsia="Arial" w:hAnsi="Arial"/>
                <w:sz w:val="18"/>
                <w:szCs w:val="18"/>
                <w:color w:val="0000FF"/>
                <w:w w:val="97"/>
              </w:rPr>
            </w:pPr>
            <w:hyperlink w:anchor="page72">
              <w:r>
                <w:rPr>
                  <w:rFonts w:ascii="Arial" w:cs="Arial" w:eastAsia="Arial" w:hAnsi="Arial"/>
                  <w:sz w:val="18"/>
                  <w:szCs w:val="18"/>
                  <w:color w:val="0000FF"/>
                  <w:w w:val="97"/>
                </w:rPr>
                <w:t>Financial Officer Pursuant to 18 U.S.C. Section</w:t>
              </w:r>
            </w:hyperlink>
          </w:p>
        </w:tc>
        <w:tc>
          <w:tcPr>
            <w:tcW w:w="60" w:type="dxa"/>
            <w:vAlign w:val="bottom"/>
            <w:vMerge w:val="continue"/>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60" w:type="dxa"/>
            <w:vAlign w:val="bottom"/>
            <w:gridSpan w:val="3"/>
          </w:tcPr>
          <w:p>
            <w:pPr>
              <w:spacing w:after="0" w:line="156" w:lineRule="exact"/>
              <w:rPr>
                <w:rFonts w:ascii="Arial" w:cs="Arial" w:eastAsia="Arial" w:hAnsi="Arial"/>
                <w:sz w:val="18"/>
                <w:szCs w:val="18"/>
                <w:color w:val="0000FF"/>
                <w:w w:val="88"/>
              </w:rPr>
            </w:pPr>
            <w:hyperlink w:anchor="page72">
              <w:r>
                <w:rPr>
                  <w:rFonts w:ascii="Arial" w:cs="Arial" w:eastAsia="Arial" w:hAnsi="Arial"/>
                  <w:sz w:val="18"/>
                  <w:szCs w:val="18"/>
                  <w:color w:val="0000FF"/>
                  <w:w w:val="88"/>
                </w:rPr>
                <w:t>1350, as Adopted Pursuant to Section 906 of the</w:t>
              </w:r>
            </w:hyperlink>
          </w:p>
        </w:tc>
        <w:tc>
          <w:tcPr>
            <w:tcW w:w="60" w:type="dxa"/>
            <w:vAlign w:val="bottom"/>
            <w:vMerge w:val="continue"/>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vMerge w:val="restart"/>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13"/>
                <w:szCs w:val="13"/>
                <w:color w:val="auto"/>
              </w:rPr>
            </w:pPr>
          </w:p>
        </w:tc>
        <w:tc>
          <w:tcPr>
            <w:tcW w:w="352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72">
              <w:r>
                <w:rPr>
                  <w:rFonts w:ascii="Arial" w:cs="Arial" w:eastAsia="Arial" w:hAnsi="Arial"/>
                  <w:sz w:val="18"/>
                  <w:szCs w:val="18"/>
                  <w:color w:val="0000FF"/>
                </w:rPr>
                <w:t>Sarbanes-Oxley Act of 2002.</w:t>
              </w:r>
            </w:hyperlink>
          </w:p>
        </w:tc>
        <w:tc>
          <w:tcPr>
            <w:tcW w:w="200" w:type="dxa"/>
            <w:vAlign w:val="bottom"/>
            <w:gridSpan w:val="3"/>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gridSpan w:val="7"/>
          </w:tcPr>
          <w:p>
            <w:pPr>
              <w:spacing w:after="0" w:line="169" w:lineRule="exact"/>
              <w:rPr>
                <w:sz w:val="20"/>
                <w:szCs w:val="20"/>
                <w:color w:val="auto"/>
              </w:rPr>
            </w:pPr>
            <w:r>
              <w:rPr>
                <w:rFonts w:ascii="Arial" w:cs="Arial" w:eastAsia="Arial" w:hAnsi="Arial"/>
                <w:sz w:val="18"/>
                <w:szCs w:val="18"/>
                <w:color w:val="auto"/>
                <w:w w:val="98"/>
              </w:rPr>
              <w:t>Inline XBRL Instance Document – the instance</w:t>
            </w: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20" w:type="dxa"/>
            <w:vAlign w:val="bottom"/>
            <w:gridSpan w:val="7"/>
          </w:tcPr>
          <w:p>
            <w:pPr>
              <w:spacing w:after="0" w:line="176" w:lineRule="exact"/>
              <w:rPr>
                <w:sz w:val="20"/>
                <w:szCs w:val="20"/>
                <w:color w:val="auto"/>
              </w:rPr>
            </w:pPr>
            <w:r>
              <w:rPr>
                <w:rFonts w:ascii="Arial" w:cs="Arial" w:eastAsia="Arial" w:hAnsi="Arial"/>
                <w:sz w:val="18"/>
                <w:szCs w:val="18"/>
                <w:color w:val="auto"/>
                <w:w w:val="93"/>
              </w:rPr>
              <w:t>document does not appear in the Interactive Data</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20" w:type="dxa"/>
            <w:vAlign w:val="bottom"/>
            <w:gridSpan w:val="7"/>
          </w:tcPr>
          <w:p>
            <w:pPr>
              <w:spacing w:after="0" w:line="176" w:lineRule="exact"/>
              <w:rPr>
                <w:sz w:val="20"/>
                <w:szCs w:val="20"/>
                <w:color w:val="auto"/>
              </w:rPr>
            </w:pPr>
            <w:r>
              <w:rPr>
                <w:rFonts w:ascii="Arial" w:cs="Arial" w:eastAsia="Arial" w:hAnsi="Arial"/>
                <w:sz w:val="18"/>
                <w:szCs w:val="18"/>
                <w:color w:val="auto"/>
                <w:w w:val="93"/>
              </w:rPr>
              <w:t>File because XBRL tags are embedded within the</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gridSpan w:val="7"/>
          </w:tcPr>
          <w:p>
            <w:pPr>
              <w:spacing w:after="0" w:line="201" w:lineRule="exact"/>
              <w:rPr>
                <w:sz w:val="20"/>
                <w:szCs w:val="20"/>
                <w:color w:val="auto"/>
              </w:rPr>
            </w:pPr>
            <w:r>
              <w:rPr>
                <w:rFonts w:ascii="Arial" w:cs="Arial" w:eastAsia="Arial" w:hAnsi="Arial"/>
                <w:sz w:val="18"/>
                <w:szCs w:val="18"/>
                <w:color w:val="auto"/>
              </w:rPr>
              <w:t>Inline XBRL document.</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00" w:type="dxa"/>
            <w:vAlign w:val="bottom"/>
          </w:tcPr>
          <w:p>
            <w:pPr>
              <w:ind w:left="20"/>
              <w:spacing w:after="0" w:line="176"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5"/>
                <w:szCs w:val="15"/>
                <w:color w:val="auto"/>
              </w:rPr>
            </w:pPr>
          </w:p>
        </w:tc>
        <w:tc>
          <w:tcPr>
            <w:tcW w:w="3720" w:type="dxa"/>
            <w:vAlign w:val="bottom"/>
            <w:gridSpan w:val="7"/>
          </w:tcPr>
          <w:p>
            <w:pPr>
              <w:spacing w:after="0" w:line="176" w:lineRule="exact"/>
              <w:rPr>
                <w:sz w:val="20"/>
                <w:szCs w:val="20"/>
                <w:color w:val="auto"/>
              </w:rPr>
            </w:pPr>
            <w:r>
              <w:rPr>
                <w:rFonts w:ascii="Arial" w:cs="Arial" w:eastAsia="Arial" w:hAnsi="Arial"/>
                <w:sz w:val="18"/>
                <w:szCs w:val="18"/>
                <w:color w:val="auto"/>
                <w:w w:val="97"/>
              </w:rPr>
              <w:t>The following materials from BioAtla’s Quarterly</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20" w:type="dxa"/>
            <w:vAlign w:val="bottom"/>
            <w:gridSpan w:val="7"/>
          </w:tcPr>
          <w:p>
            <w:pPr>
              <w:spacing w:after="0" w:line="176" w:lineRule="exact"/>
              <w:rPr>
                <w:sz w:val="20"/>
                <w:szCs w:val="20"/>
                <w:color w:val="auto"/>
              </w:rPr>
            </w:pPr>
            <w:r>
              <w:rPr>
                <w:rFonts w:ascii="Arial" w:cs="Arial" w:eastAsia="Arial" w:hAnsi="Arial"/>
                <w:sz w:val="18"/>
                <w:szCs w:val="18"/>
                <w:color w:val="auto"/>
                <w:w w:val="92"/>
              </w:rPr>
              <w:t>Report on Form 10-Q for the quarter ended March</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20" w:type="dxa"/>
            <w:vAlign w:val="bottom"/>
            <w:gridSpan w:val="7"/>
          </w:tcPr>
          <w:p>
            <w:pPr>
              <w:spacing w:after="0" w:line="176" w:lineRule="exact"/>
              <w:rPr>
                <w:sz w:val="20"/>
                <w:szCs w:val="20"/>
                <w:color w:val="auto"/>
              </w:rPr>
            </w:pPr>
            <w:r>
              <w:rPr>
                <w:rFonts w:ascii="Arial" w:cs="Arial" w:eastAsia="Arial" w:hAnsi="Arial"/>
                <w:sz w:val="18"/>
                <w:szCs w:val="18"/>
                <w:color w:val="auto"/>
                <w:w w:val="98"/>
              </w:rPr>
              <w:t>31, 2022, formatted in iXBRL (inline eXtensible</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20" w:type="dxa"/>
            <w:vAlign w:val="bottom"/>
            <w:gridSpan w:val="7"/>
          </w:tcPr>
          <w:p>
            <w:pPr>
              <w:spacing w:after="0" w:line="176" w:lineRule="exact"/>
              <w:rPr>
                <w:sz w:val="20"/>
                <w:szCs w:val="20"/>
                <w:color w:val="auto"/>
              </w:rPr>
            </w:pPr>
            <w:r>
              <w:rPr>
                <w:rFonts w:ascii="Arial" w:cs="Arial" w:eastAsia="Arial" w:hAnsi="Arial"/>
                <w:sz w:val="18"/>
                <w:szCs w:val="18"/>
                <w:color w:val="auto"/>
                <w:w w:val="91"/>
              </w:rPr>
              <w:t>Business Reporting Language): (i) the Condensed</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20" w:type="dxa"/>
            <w:vAlign w:val="bottom"/>
            <w:gridSpan w:val="7"/>
          </w:tcPr>
          <w:p>
            <w:pPr>
              <w:spacing w:after="0" w:line="176" w:lineRule="exact"/>
              <w:rPr>
                <w:sz w:val="20"/>
                <w:szCs w:val="20"/>
                <w:color w:val="auto"/>
              </w:rPr>
            </w:pPr>
            <w:r>
              <w:rPr>
                <w:rFonts w:ascii="Arial" w:cs="Arial" w:eastAsia="Arial" w:hAnsi="Arial"/>
                <w:sz w:val="18"/>
                <w:szCs w:val="18"/>
                <w:color w:val="auto"/>
                <w:w w:val="93"/>
              </w:rPr>
              <w:t>Consolidated Balance Sheets, (ii) the Condensed</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20" w:type="dxa"/>
            <w:vAlign w:val="bottom"/>
            <w:gridSpan w:val="7"/>
          </w:tcPr>
          <w:p>
            <w:pPr>
              <w:spacing w:after="0" w:line="176" w:lineRule="exact"/>
              <w:rPr>
                <w:sz w:val="20"/>
                <w:szCs w:val="20"/>
                <w:color w:val="auto"/>
              </w:rPr>
            </w:pPr>
            <w:r>
              <w:rPr>
                <w:rFonts w:ascii="Arial" w:cs="Arial" w:eastAsia="Arial" w:hAnsi="Arial"/>
                <w:sz w:val="18"/>
                <w:szCs w:val="18"/>
                <w:color w:val="auto"/>
              </w:rPr>
              <w:t>Consolidated Statements of Operations and</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20" w:type="dxa"/>
            <w:vAlign w:val="bottom"/>
            <w:gridSpan w:val="7"/>
          </w:tcPr>
          <w:p>
            <w:pPr>
              <w:spacing w:after="0" w:line="176" w:lineRule="exact"/>
              <w:rPr>
                <w:sz w:val="20"/>
                <w:szCs w:val="20"/>
                <w:color w:val="auto"/>
              </w:rPr>
            </w:pPr>
            <w:r>
              <w:rPr>
                <w:rFonts w:ascii="Arial" w:cs="Arial" w:eastAsia="Arial" w:hAnsi="Arial"/>
                <w:sz w:val="18"/>
                <w:szCs w:val="18"/>
                <w:color w:val="auto"/>
              </w:rPr>
              <w:t>Comprehensive Loss, (iii) the Condensed</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20" w:type="dxa"/>
            <w:vAlign w:val="bottom"/>
            <w:gridSpan w:val="7"/>
          </w:tcPr>
          <w:p>
            <w:pPr>
              <w:spacing w:after="0" w:line="176" w:lineRule="exact"/>
              <w:rPr>
                <w:sz w:val="20"/>
                <w:szCs w:val="20"/>
                <w:color w:val="auto"/>
              </w:rPr>
            </w:pPr>
            <w:r>
              <w:rPr>
                <w:rFonts w:ascii="Arial" w:cs="Arial" w:eastAsia="Arial" w:hAnsi="Arial"/>
                <w:sz w:val="18"/>
                <w:szCs w:val="18"/>
                <w:color w:val="auto"/>
                <w:w w:val="94"/>
              </w:rPr>
              <w:t>Consolidated Statements of Stockholders’ Equity</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20" w:type="dxa"/>
            <w:vAlign w:val="bottom"/>
            <w:gridSpan w:val="7"/>
          </w:tcPr>
          <w:p>
            <w:pPr>
              <w:spacing w:after="0" w:line="176" w:lineRule="exact"/>
              <w:rPr>
                <w:sz w:val="20"/>
                <w:szCs w:val="20"/>
                <w:color w:val="auto"/>
              </w:rPr>
            </w:pPr>
            <w:r>
              <w:rPr>
                <w:rFonts w:ascii="Arial" w:cs="Arial" w:eastAsia="Arial" w:hAnsi="Arial"/>
                <w:sz w:val="18"/>
                <w:szCs w:val="18"/>
                <w:color w:val="auto"/>
                <w:w w:val="97"/>
              </w:rPr>
              <w:t>(iv) the Condensed Consolidated Statements of</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20" w:type="dxa"/>
            <w:vAlign w:val="bottom"/>
            <w:gridSpan w:val="7"/>
          </w:tcPr>
          <w:p>
            <w:pPr>
              <w:spacing w:after="0" w:line="176" w:lineRule="exact"/>
              <w:rPr>
                <w:sz w:val="20"/>
                <w:szCs w:val="20"/>
                <w:color w:val="auto"/>
              </w:rPr>
            </w:pPr>
            <w:r>
              <w:rPr>
                <w:rFonts w:ascii="Arial" w:cs="Arial" w:eastAsia="Arial" w:hAnsi="Arial"/>
                <w:sz w:val="18"/>
                <w:szCs w:val="18"/>
                <w:color w:val="auto"/>
              </w:rPr>
              <w:t>Cash Flows, and (v) Notes to Condensed</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20" w:type="dxa"/>
            <w:vAlign w:val="bottom"/>
            <w:gridSpan w:val="7"/>
          </w:tcPr>
          <w:p>
            <w:pPr>
              <w:spacing w:after="0" w:line="176" w:lineRule="exact"/>
              <w:rPr>
                <w:sz w:val="20"/>
                <w:szCs w:val="20"/>
                <w:color w:val="auto"/>
              </w:rPr>
            </w:pPr>
            <w:r>
              <w:rPr>
                <w:rFonts w:ascii="Arial" w:cs="Arial" w:eastAsia="Arial" w:hAnsi="Arial"/>
                <w:sz w:val="18"/>
                <w:szCs w:val="18"/>
                <w:color w:val="auto"/>
              </w:rPr>
              <w:t>Consolidated Financial Statements, tagged as</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gridSpan w:val="7"/>
          </w:tcPr>
          <w:p>
            <w:pPr>
              <w:spacing w:after="0" w:line="201" w:lineRule="exact"/>
              <w:rPr>
                <w:sz w:val="20"/>
                <w:szCs w:val="20"/>
                <w:color w:val="auto"/>
              </w:rPr>
            </w:pPr>
            <w:r>
              <w:rPr>
                <w:rFonts w:ascii="Arial" w:cs="Arial" w:eastAsia="Arial" w:hAnsi="Arial"/>
                <w:sz w:val="18"/>
                <w:szCs w:val="18"/>
                <w:color w:val="auto"/>
              </w:rPr>
              <w:t>blocks of text and including detailed tags</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00" w:type="dxa"/>
            <w:vAlign w:val="bottom"/>
          </w:tcPr>
          <w:p>
            <w:pPr>
              <w:ind w:left="20"/>
              <w:spacing w:after="0" w:line="176" w:lineRule="exact"/>
              <w:rPr>
                <w:sz w:val="20"/>
                <w:szCs w:val="20"/>
                <w:color w:val="auto"/>
              </w:rPr>
            </w:pPr>
            <w:r>
              <w:rPr>
                <w:rFonts w:ascii="Arial" w:cs="Arial" w:eastAsia="Arial" w:hAnsi="Arial"/>
                <w:sz w:val="18"/>
                <w:szCs w:val="18"/>
                <w:color w:val="auto"/>
              </w:rPr>
              <w:t>104</w:t>
            </w:r>
          </w:p>
        </w:tc>
        <w:tc>
          <w:tcPr>
            <w:tcW w:w="140" w:type="dxa"/>
            <w:vAlign w:val="bottom"/>
          </w:tcPr>
          <w:p>
            <w:pPr>
              <w:spacing w:after="0"/>
              <w:rPr>
                <w:sz w:val="15"/>
                <w:szCs w:val="15"/>
                <w:color w:val="auto"/>
              </w:rPr>
            </w:pPr>
          </w:p>
        </w:tc>
        <w:tc>
          <w:tcPr>
            <w:tcW w:w="3720" w:type="dxa"/>
            <w:vAlign w:val="bottom"/>
            <w:gridSpan w:val="7"/>
          </w:tcPr>
          <w:p>
            <w:pPr>
              <w:spacing w:after="0" w:line="176" w:lineRule="exact"/>
              <w:rPr>
                <w:sz w:val="20"/>
                <w:szCs w:val="20"/>
                <w:color w:val="auto"/>
              </w:rPr>
            </w:pPr>
            <w:r>
              <w:rPr>
                <w:rFonts w:ascii="Arial" w:cs="Arial" w:eastAsia="Arial" w:hAnsi="Arial"/>
                <w:sz w:val="18"/>
                <w:szCs w:val="18"/>
                <w:color w:val="auto"/>
                <w:w w:val="99"/>
              </w:rPr>
              <w:t>Cover Page Interactive Data File (formatted as</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20" w:type="dxa"/>
            <w:vAlign w:val="bottom"/>
            <w:gridSpan w:val="7"/>
          </w:tcPr>
          <w:p>
            <w:pPr>
              <w:spacing w:after="0" w:line="176" w:lineRule="exact"/>
              <w:rPr>
                <w:sz w:val="20"/>
                <w:szCs w:val="20"/>
                <w:color w:val="auto"/>
              </w:rPr>
            </w:pPr>
            <w:r>
              <w:rPr>
                <w:rFonts w:ascii="Arial" w:cs="Arial" w:eastAsia="Arial" w:hAnsi="Arial"/>
                <w:sz w:val="18"/>
                <w:szCs w:val="18"/>
                <w:color w:val="auto"/>
                <w:w w:val="98"/>
              </w:rPr>
              <w:t>Inline XBRL document and contained in exhibit</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9512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Furnished and not filed.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6" w:name="page67"/>
    <w:bookmarkEnd w:id="66"/>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Company Name</w:t>
      </w:r>
    </w:p>
    <w:p>
      <w:pPr>
        <w:spacing w:after="0" w:line="169" w:lineRule="exact"/>
        <w:rPr>
          <w:sz w:val="20"/>
          <w:szCs w:val="20"/>
          <w:color w:val="auto"/>
        </w:rPr>
      </w:pPr>
    </w:p>
    <w:p>
      <w:pPr>
        <w:ind w:left="20"/>
        <w:spacing w:after="0"/>
        <w:tabs>
          <w:tab w:leader="none" w:pos="5580" w:val="left"/>
          <w:tab w:leader="none" w:pos="780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M. Short,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wp:posOffset>
            </wp:positionV>
            <wp:extent cx="330898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7920"/>
        <w:spacing w:after="0" w:line="219" w:lineRule="auto"/>
        <w:rPr>
          <w:sz w:val="20"/>
          <w:szCs w:val="20"/>
          <w:color w:val="auto"/>
        </w:rPr>
      </w:pPr>
      <w:r>
        <w:rPr>
          <w:rFonts w:ascii="Arial" w:cs="Arial" w:eastAsia="Arial" w:hAnsi="Arial"/>
          <w:sz w:val="18"/>
          <w:szCs w:val="18"/>
          <w:color w:val="auto"/>
        </w:rPr>
        <w:t>Jay M. Short, Ph.D.</w:t>
      </w:r>
    </w:p>
    <w:p>
      <w:pPr>
        <w:jc w:val="center"/>
        <w:ind w:left="6080"/>
        <w:spacing w:after="0" w:line="203"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jc w:val="center"/>
        <w:ind w:left="6080"/>
        <w:spacing w:after="0"/>
        <w:rPr>
          <w:sz w:val="20"/>
          <w:szCs w:val="20"/>
          <w:color w:val="auto"/>
        </w:rPr>
      </w:pPr>
      <w:r>
        <w:rPr>
          <w:rFonts w:ascii="Arial" w:cs="Arial" w:eastAsia="Arial" w:hAnsi="Arial"/>
          <w:sz w:val="18"/>
          <w:szCs w:val="18"/>
          <w:color w:val="auto"/>
        </w:rPr>
        <w:t>(Principal Executive Officer)</w:t>
      </w:r>
    </w:p>
    <w:p>
      <w:pPr>
        <w:spacing w:after="0" w:line="155" w:lineRule="exact"/>
        <w:rPr>
          <w:sz w:val="20"/>
          <w:szCs w:val="20"/>
          <w:color w:val="auto"/>
        </w:rPr>
      </w:pPr>
    </w:p>
    <w:p>
      <w:pPr>
        <w:ind w:left="5600" w:right="1340" w:hanging="7888"/>
        <w:spacing w:after="0"/>
        <w:tabs>
          <w:tab w:leader="none" w:pos="558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 /s/ Richard A. Waldron Richard A. Waldron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-16510</wp:posOffset>
            </wp:positionV>
            <wp:extent cx="330898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12" w:lineRule="exact"/>
        <w:rPr>
          <w:sz w:val="20"/>
          <w:szCs w:val="20"/>
          <w:color w:val="auto"/>
        </w:rPr>
      </w:pPr>
    </w:p>
    <w:p>
      <w:pPr>
        <w:jc w:val="center"/>
        <w:ind w:left="6080"/>
        <w:spacing w:after="0"/>
        <w:rPr>
          <w:sz w:val="20"/>
          <w:szCs w:val="20"/>
          <w:color w:val="auto"/>
        </w:rPr>
      </w:pPr>
      <w:r>
        <w:rPr>
          <w:rFonts w:ascii="Arial" w:cs="Arial" w:eastAsia="Arial" w:hAnsi="Arial"/>
          <w:sz w:val="18"/>
          <w:szCs w:val="18"/>
          <w:color w:val="auto"/>
        </w:rPr>
        <w:t>Chief Financial Officer</w:t>
      </w:r>
    </w:p>
    <w:p>
      <w:pPr>
        <w:jc w:val="center"/>
        <w:ind w:left="6080"/>
        <w:spacing w:after="0"/>
        <w:rPr>
          <w:sz w:val="20"/>
          <w:szCs w:val="20"/>
          <w:color w:val="auto"/>
        </w:rPr>
      </w:pPr>
      <w:r>
        <w:rPr>
          <w:rFonts w:ascii="Arial" w:cs="Arial" w:eastAsia="Arial" w:hAnsi="Arial"/>
          <w:sz w:val="18"/>
          <w:szCs w:val="18"/>
          <w:color w:val="auto"/>
        </w:rPr>
        <w:t>(Principal Financial and Accounting Officer)</w:t>
      </w:r>
    </w:p>
    <w:p>
      <w:pPr>
        <w:spacing w:after="0" w:line="18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4" w:right="779" w:bottom="1440" w:gutter="0" w:footer="0" w:header="0"/>
        </w:sectPr>
      </w:pPr>
    </w:p>
    <w:bookmarkStart w:id="67" w:name="page68"/>
    <w:bookmarkEnd w:id="67"/>
    <w:p>
      <w:pPr>
        <w:jc w:val="right"/>
        <w:spacing w:after="0"/>
        <w:rPr>
          <w:sz w:val="20"/>
          <w:szCs w:val="20"/>
          <w:color w:val="auto"/>
        </w:rPr>
      </w:pPr>
      <w:r>
        <w:rPr>
          <w:rFonts w:ascii="Arial" w:cs="Arial" w:eastAsia="Arial" w:hAnsi="Arial"/>
          <w:sz w:val="17"/>
          <w:szCs w:val="17"/>
          <w:b w:val="1"/>
          <w:bCs w:val="1"/>
          <w:color w:val="auto"/>
        </w:rPr>
        <w:t>Exhibit 10.1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BIOATLA,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DIRECTOR COMPENSATION POLICY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amended and restated on February 22, 2022)</w:t>
      </w:r>
    </w:p>
    <w:p>
      <w:pPr>
        <w:spacing w:after="0" w:line="183" w:lineRule="exact"/>
        <w:rPr>
          <w:sz w:val="20"/>
          <w:szCs w:val="20"/>
          <w:color w:val="auto"/>
        </w:rPr>
      </w:pPr>
    </w:p>
    <w:p>
      <w:pPr>
        <w:jc w:val="both"/>
        <w:ind w:right="280"/>
        <w:spacing w:after="0" w:line="244" w:lineRule="auto"/>
        <w:rPr>
          <w:sz w:val="20"/>
          <w:szCs w:val="20"/>
          <w:color w:val="auto"/>
        </w:rPr>
      </w:pPr>
      <w:r>
        <w:rPr>
          <w:rFonts w:ascii="Arial" w:cs="Arial" w:eastAsia="Arial" w:hAnsi="Arial"/>
          <w:sz w:val="17"/>
          <w:szCs w:val="17"/>
          <w:color w:val="auto"/>
        </w:rPr>
        <w:t>Each member of the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of BioAtla,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who is not an employee of the Company (each such member, a “</w:t>
      </w:r>
      <w:r>
        <w:rPr>
          <w:rFonts w:ascii="Arial" w:cs="Arial" w:eastAsia="Arial" w:hAnsi="Arial"/>
          <w:sz w:val="17"/>
          <w:szCs w:val="17"/>
          <w:b w:val="1"/>
          <w:bCs w:val="1"/>
          <w:i w:val="1"/>
          <w:iCs w:val="1"/>
          <w:color w:val="auto"/>
        </w:rPr>
        <w:t>Non-Employee Director</w:t>
      </w:r>
      <w:r>
        <w:rPr>
          <w:rFonts w:ascii="Arial" w:cs="Arial" w:eastAsia="Arial" w:hAnsi="Arial"/>
          <w:sz w:val="17"/>
          <w:szCs w:val="17"/>
          <w:color w:val="auto"/>
        </w:rPr>
        <w:t>”), will receive the compensation described in this Director Compensation Policy (the “</w:t>
      </w:r>
      <w:r>
        <w:rPr>
          <w:rFonts w:ascii="Arial" w:cs="Arial" w:eastAsia="Arial" w:hAnsi="Arial"/>
          <w:sz w:val="17"/>
          <w:szCs w:val="17"/>
          <w:b w:val="1"/>
          <w:bCs w:val="1"/>
          <w:i w:val="1"/>
          <w:iCs w:val="1"/>
          <w:color w:val="auto"/>
        </w:rPr>
        <w:t>Director Compensation Policy</w:t>
      </w:r>
      <w:r>
        <w:rPr>
          <w:rFonts w:ascii="Arial" w:cs="Arial" w:eastAsia="Arial" w:hAnsi="Arial"/>
          <w:sz w:val="17"/>
          <w:szCs w:val="17"/>
          <w:color w:val="auto"/>
        </w:rPr>
        <w:t>”) for his or her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following the date set forth above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The Director Compensation Policy will become effective upon the Effective Date and supersedes all prior arrangements with respect to the subject matter hereof.</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The Director Compensation Policy may be amended at any time in the sole discretion of the Board.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Cash Compensation</w:t>
      </w:r>
    </w:p>
    <w:p>
      <w:pPr>
        <w:spacing w:after="0" w:line="18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Each Non-Employee Director will receive the cash compensation set forth below for service on the Board or a committee of the Board. The annual cash compensation amounts will be payable in arrears, in equal quarterly installments following the end of each fiscal quarter of the Company in which the service occurred. Any amount payable for a partial quarter of service in an applicable role will be pro-rated by multiplying such amount by a fraction, the numerator of which will be the number of days of service in such role that the Non-Employee Director provided in such quarter and the denominator of which will be the number of days in such quarter. All annual cash fees are vested upon payment. For purposes of clarity, the first quarterly installment of the annual retainers set forth below shall be paid for the first quarter of calendar year 2022, with the amount of such payment equal to the full quarterly installment, pro-rated, if applicable, based on the days of service that the Non-Employee Director provided in such quarter.</w:t>
      </w:r>
    </w:p>
    <w:p>
      <w:pPr>
        <w:spacing w:after="0" w:line="162"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Annual Board Member Service Retainer</w:t>
      </w:r>
      <w:r>
        <w:rPr>
          <w:rFonts w:ascii="Arial" w:cs="Arial" w:eastAsia="Arial" w:hAnsi="Arial"/>
          <w:sz w:val="17"/>
          <w:szCs w:val="17"/>
          <w:color w:val="auto"/>
        </w:rPr>
        <w:t>:</w:t>
      </w:r>
    </w:p>
    <w:p>
      <w:pPr>
        <w:spacing w:after="0" w:line="169" w:lineRule="exact"/>
        <w:rPr>
          <w:rFonts w:ascii="Arial" w:cs="Arial" w:eastAsia="Arial" w:hAnsi="Arial"/>
          <w:sz w:val="17"/>
          <w:szCs w:val="17"/>
          <w:b w:val="1"/>
          <w:bCs w:val="1"/>
          <w:color w:val="auto"/>
        </w:rPr>
      </w:pPr>
    </w:p>
    <w:p>
      <w:pPr>
        <w:ind w:left="1020" w:hanging="503"/>
        <w:spacing w:after="0"/>
        <w:tabs>
          <w:tab w:leader="none" w:pos="1020"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All Non-Employee Directors</w:t>
      </w:r>
      <w:r>
        <w:rPr>
          <w:rFonts w:ascii="Arial" w:cs="Arial" w:eastAsia="Arial" w:hAnsi="Arial"/>
          <w:sz w:val="17"/>
          <w:szCs w:val="17"/>
          <w:color w:val="auto"/>
        </w:rPr>
        <w:t xml:space="preserve">: </w:t>
      </w:r>
      <w:r>
        <w:rPr>
          <w:rFonts w:ascii="Arial" w:cs="Arial" w:eastAsia="Arial" w:hAnsi="Arial"/>
          <w:sz w:val="17"/>
          <w:szCs w:val="17"/>
          <w:b w:val="1"/>
          <w:bCs w:val="1"/>
          <w:color w:val="auto"/>
        </w:rPr>
        <w:t>$40,000</w:t>
      </w:r>
    </w:p>
    <w:p>
      <w:pPr>
        <w:spacing w:after="0" w:line="182" w:lineRule="exact"/>
        <w:rPr>
          <w:rFonts w:ascii="Arial" w:cs="Arial" w:eastAsia="Arial" w:hAnsi="Arial"/>
          <w:sz w:val="17"/>
          <w:szCs w:val="17"/>
          <w:color w:val="auto"/>
        </w:rPr>
      </w:pPr>
    </w:p>
    <w:p>
      <w:pPr>
        <w:ind w:left="1020" w:hanging="503"/>
        <w:spacing w:after="0"/>
        <w:tabs>
          <w:tab w:leader="none" w:pos="1020"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Non-Employee Director serving as Board Chair</w:t>
      </w:r>
      <w:r>
        <w:rPr>
          <w:rFonts w:ascii="Arial" w:cs="Arial" w:eastAsia="Arial" w:hAnsi="Arial"/>
          <w:sz w:val="17"/>
          <w:szCs w:val="17"/>
          <w:color w:val="auto"/>
        </w:rPr>
        <w:t xml:space="preserve">: </w:t>
      </w:r>
      <w:r>
        <w:rPr>
          <w:rFonts w:ascii="Arial" w:cs="Arial" w:eastAsia="Arial" w:hAnsi="Arial"/>
          <w:sz w:val="17"/>
          <w:szCs w:val="17"/>
          <w:b w:val="1"/>
          <w:bCs w:val="1"/>
          <w:color w:val="auto"/>
        </w:rPr>
        <w:t>N/A</w:t>
      </w:r>
    </w:p>
    <w:p>
      <w:pPr>
        <w:spacing w:after="0" w:line="182" w:lineRule="exact"/>
        <w:rPr>
          <w:rFonts w:ascii="Arial" w:cs="Arial" w:eastAsia="Arial" w:hAnsi="Arial"/>
          <w:sz w:val="17"/>
          <w:szCs w:val="17"/>
          <w:color w:val="auto"/>
        </w:rPr>
      </w:pPr>
    </w:p>
    <w:p>
      <w:pPr>
        <w:ind w:left="520" w:hanging="512"/>
        <w:spacing w:after="0"/>
        <w:tabs>
          <w:tab w:leader="none" w:pos="52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Annual Committee Member Service Retainer</w:t>
      </w:r>
      <w:r>
        <w:rPr>
          <w:rFonts w:ascii="Arial" w:cs="Arial" w:eastAsia="Arial" w:hAnsi="Arial"/>
          <w:sz w:val="17"/>
          <w:szCs w:val="17"/>
          <w:color w:val="auto"/>
        </w:rPr>
        <w:t>:</w:t>
      </w:r>
    </w:p>
    <w:p>
      <w:pPr>
        <w:spacing w:after="0" w:line="169" w:lineRule="exact"/>
        <w:rPr>
          <w:rFonts w:ascii="Arial" w:cs="Arial" w:eastAsia="Arial" w:hAnsi="Arial"/>
          <w:sz w:val="17"/>
          <w:szCs w:val="17"/>
          <w:b w:val="1"/>
          <w:bCs w:val="1"/>
          <w:color w:val="auto"/>
        </w:rPr>
      </w:pPr>
    </w:p>
    <w:p>
      <w:pPr>
        <w:ind w:left="1020" w:hanging="503"/>
        <w:spacing w:after="0"/>
        <w:tabs>
          <w:tab w:leader="none" w:pos="1020"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Member of the Audit Committee</w:t>
      </w:r>
      <w:r>
        <w:rPr>
          <w:rFonts w:ascii="Arial" w:cs="Arial" w:eastAsia="Arial" w:hAnsi="Arial"/>
          <w:sz w:val="17"/>
          <w:szCs w:val="17"/>
          <w:color w:val="auto"/>
        </w:rPr>
        <w:t xml:space="preserve">: </w:t>
      </w:r>
      <w:r>
        <w:rPr>
          <w:rFonts w:ascii="Arial" w:cs="Arial" w:eastAsia="Arial" w:hAnsi="Arial"/>
          <w:sz w:val="17"/>
          <w:szCs w:val="17"/>
          <w:b w:val="1"/>
          <w:bCs w:val="1"/>
          <w:color w:val="auto"/>
        </w:rPr>
        <w:t>$7,500</w:t>
      </w:r>
    </w:p>
    <w:p>
      <w:pPr>
        <w:spacing w:after="0" w:line="169" w:lineRule="exact"/>
        <w:rPr>
          <w:rFonts w:ascii="Arial" w:cs="Arial" w:eastAsia="Arial" w:hAnsi="Arial"/>
          <w:sz w:val="17"/>
          <w:szCs w:val="17"/>
          <w:color w:val="auto"/>
        </w:rPr>
      </w:pPr>
    </w:p>
    <w:p>
      <w:pPr>
        <w:ind w:left="1020" w:hanging="503"/>
        <w:spacing w:after="0"/>
        <w:tabs>
          <w:tab w:leader="none" w:pos="1020"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Member of the Compensation Committee</w:t>
      </w:r>
      <w:r>
        <w:rPr>
          <w:rFonts w:ascii="Arial" w:cs="Arial" w:eastAsia="Arial" w:hAnsi="Arial"/>
          <w:sz w:val="17"/>
          <w:szCs w:val="17"/>
          <w:color w:val="auto"/>
        </w:rPr>
        <w:t xml:space="preserve">: </w:t>
      </w:r>
      <w:r>
        <w:rPr>
          <w:rFonts w:ascii="Arial" w:cs="Arial" w:eastAsia="Arial" w:hAnsi="Arial"/>
          <w:sz w:val="17"/>
          <w:szCs w:val="17"/>
          <w:b w:val="1"/>
          <w:bCs w:val="1"/>
          <w:color w:val="auto"/>
        </w:rPr>
        <w:t>$5,000</w:t>
      </w:r>
    </w:p>
    <w:p>
      <w:pPr>
        <w:spacing w:after="0" w:line="182" w:lineRule="exact"/>
        <w:rPr>
          <w:rFonts w:ascii="Arial" w:cs="Arial" w:eastAsia="Arial" w:hAnsi="Arial"/>
          <w:sz w:val="17"/>
          <w:szCs w:val="17"/>
          <w:color w:val="auto"/>
        </w:rPr>
      </w:pPr>
    </w:p>
    <w:p>
      <w:pPr>
        <w:ind w:left="1020" w:hanging="503"/>
        <w:spacing w:after="0"/>
        <w:tabs>
          <w:tab w:leader="none" w:pos="1020"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Member of the Nominating and Corporate Governance Committee</w:t>
      </w:r>
      <w:r>
        <w:rPr>
          <w:rFonts w:ascii="Arial" w:cs="Arial" w:eastAsia="Arial" w:hAnsi="Arial"/>
          <w:sz w:val="17"/>
          <w:szCs w:val="17"/>
          <w:color w:val="auto"/>
        </w:rPr>
        <w:t xml:space="preserve">: </w:t>
      </w:r>
      <w:r>
        <w:rPr>
          <w:rFonts w:ascii="Arial" w:cs="Arial" w:eastAsia="Arial" w:hAnsi="Arial"/>
          <w:sz w:val="17"/>
          <w:szCs w:val="17"/>
          <w:b w:val="1"/>
          <w:bCs w:val="1"/>
          <w:color w:val="auto"/>
        </w:rPr>
        <w:t>$4,000</w:t>
      </w:r>
    </w:p>
    <w:p>
      <w:pPr>
        <w:spacing w:after="0" w:line="169" w:lineRule="exact"/>
        <w:rPr>
          <w:rFonts w:ascii="Arial" w:cs="Arial" w:eastAsia="Arial" w:hAnsi="Arial"/>
          <w:sz w:val="17"/>
          <w:szCs w:val="17"/>
          <w:color w:val="auto"/>
        </w:rPr>
      </w:pPr>
    </w:p>
    <w:p>
      <w:pPr>
        <w:ind w:left="520" w:hanging="512"/>
        <w:spacing w:after="0"/>
        <w:tabs>
          <w:tab w:leader="none" w:pos="52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Annual Committee Chair Service Retainer (in lieu of Annual Committee Member Service Retainer)</w:t>
      </w:r>
      <w:r>
        <w:rPr>
          <w:rFonts w:ascii="Arial" w:cs="Arial" w:eastAsia="Arial" w:hAnsi="Arial"/>
          <w:sz w:val="17"/>
          <w:szCs w:val="17"/>
          <w:color w:val="auto"/>
        </w:rPr>
        <w:t>:</w:t>
      </w:r>
    </w:p>
    <w:p>
      <w:pPr>
        <w:spacing w:after="0" w:line="169" w:lineRule="exact"/>
        <w:rPr>
          <w:rFonts w:ascii="Arial" w:cs="Arial" w:eastAsia="Arial" w:hAnsi="Arial"/>
          <w:sz w:val="17"/>
          <w:szCs w:val="17"/>
          <w:b w:val="1"/>
          <w:bCs w:val="1"/>
          <w:color w:val="auto"/>
        </w:rPr>
      </w:pPr>
    </w:p>
    <w:p>
      <w:pPr>
        <w:ind w:left="1020" w:hanging="503"/>
        <w:spacing w:after="0"/>
        <w:tabs>
          <w:tab w:leader="none" w:pos="1020"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Chair of the Audit Committee</w:t>
      </w:r>
      <w:r>
        <w:rPr>
          <w:rFonts w:ascii="Arial" w:cs="Arial" w:eastAsia="Arial" w:hAnsi="Arial"/>
          <w:sz w:val="17"/>
          <w:szCs w:val="17"/>
          <w:color w:val="auto"/>
        </w:rPr>
        <w:t xml:space="preserve">: </w:t>
      </w:r>
      <w:r>
        <w:rPr>
          <w:rFonts w:ascii="Arial" w:cs="Arial" w:eastAsia="Arial" w:hAnsi="Arial"/>
          <w:sz w:val="17"/>
          <w:szCs w:val="17"/>
          <w:b w:val="1"/>
          <w:bCs w:val="1"/>
          <w:color w:val="auto"/>
        </w:rPr>
        <w:t>$15,000</w:t>
      </w:r>
    </w:p>
    <w:p>
      <w:pPr>
        <w:spacing w:after="0" w:line="182" w:lineRule="exact"/>
        <w:rPr>
          <w:rFonts w:ascii="Arial" w:cs="Arial" w:eastAsia="Arial" w:hAnsi="Arial"/>
          <w:sz w:val="17"/>
          <w:szCs w:val="17"/>
          <w:color w:val="auto"/>
        </w:rPr>
      </w:pPr>
    </w:p>
    <w:p>
      <w:pPr>
        <w:ind w:left="1020" w:hanging="503"/>
        <w:spacing w:after="0"/>
        <w:tabs>
          <w:tab w:leader="none" w:pos="1020"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Chair of the Compensation Committee</w:t>
      </w:r>
      <w:r>
        <w:rPr>
          <w:rFonts w:ascii="Arial" w:cs="Arial" w:eastAsia="Arial" w:hAnsi="Arial"/>
          <w:sz w:val="17"/>
          <w:szCs w:val="17"/>
          <w:color w:val="auto"/>
        </w:rPr>
        <w:t xml:space="preserve">: </w:t>
      </w:r>
      <w:r>
        <w:rPr>
          <w:rFonts w:ascii="Arial" w:cs="Arial" w:eastAsia="Arial" w:hAnsi="Arial"/>
          <w:sz w:val="17"/>
          <w:szCs w:val="17"/>
          <w:b w:val="1"/>
          <w:bCs w:val="1"/>
          <w:color w:val="auto"/>
        </w:rPr>
        <w:t>$10,000</w:t>
      </w:r>
    </w:p>
    <w:p>
      <w:pPr>
        <w:spacing w:after="0" w:line="169" w:lineRule="exact"/>
        <w:rPr>
          <w:rFonts w:ascii="Arial" w:cs="Arial" w:eastAsia="Arial" w:hAnsi="Arial"/>
          <w:sz w:val="17"/>
          <w:szCs w:val="17"/>
          <w:color w:val="auto"/>
        </w:rPr>
      </w:pPr>
    </w:p>
    <w:p>
      <w:pPr>
        <w:ind w:left="1020" w:hanging="503"/>
        <w:spacing w:after="0"/>
        <w:tabs>
          <w:tab w:leader="none" w:pos="1020"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Chair of the Nominating and Corporate Governance Committee</w:t>
      </w:r>
      <w:r>
        <w:rPr>
          <w:rFonts w:ascii="Arial" w:cs="Arial" w:eastAsia="Arial" w:hAnsi="Arial"/>
          <w:sz w:val="17"/>
          <w:szCs w:val="17"/>
          <w:color w:val="auto"/>
        </w:rPr>
        <w:t xml:space="preserve">: </w:t>
      </w:r>
      <w:r>
        <w:rPr>
          <w:rFonts w:ascii="Arial" w:cs="Arial" w:eastAsia="Arial" w:hAnsi="Arial"/>
          <w:sz w:val="17"/>
          <w:szCs w:val="17"/>
          <w:b w:val="1"/>
          <w:bCs w:val="1"/>
          <w:color w:val="auto"/>
        </w:rPr>
        <w:t>$8,000</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w:t>
      </w:r>
    </w:p>
    <w:p>
      <w:pPr>
        <w:spacing w:after="0" w:line="187"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Non-Employee Directors will be eligible to receive such equity awards under the Company’s 2020 Equity Incentive Plan, as amended (or any successor equity incentive plan adopted by the Board and the stockholders of the Company) as may be approved from time to time by the Board subject to the recommendations of the Compensation Committee as such committee deems advisable.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4132-2803-5875.2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color w:val="auto"/>
        </w:rPr>
        <w:t>Expenses; Other</w:t>
      </w:r>
    </w:p>
    <w:p>
      <w:pPr>
        <w:spacing w:after="0" w:line="187"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Company will reimburse each Non-Employee Director for ordinary, necessary, and reasonable out-of-pocket travel expenses to cover in-person attendance at, and participation in, Board and committee meetings, provided, that the Non-Employee Director timely submits to the Company appropriate documentation substantiating such expenses in accordance with the Company’s travel and expense policy, as in effect from time to time.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This Director Compensation Policy was adopted by the Board and may only be amended or terminated by the Board.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4132-2803-5875.2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PURSUANT TO</w:t>
      </w: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Jay M. Short, Ph.D., certify that:</w:t>
      </w:r>
    </w:p>
    <w:p>
      <w:pPr>
        <w:spacing w:after="0" w:line="212"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BioAtla,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80" w:hanging="512"/>
        <w:spacing w:after="0" w:line="274" w:lineRule="auto"/>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w:t>
      </w:r>
    </w:p>
    <w:p>
      <w:pPr>
        <w:ind w:left="5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95"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ind w:left="20"/>
              <w:spacing w:after="0"/>
              <w:rPr>
                <w:sz w:val="20"/>
                <w:szCs w:val="20"/>
                <w:color w:val="auto"/>
              </w:rPr>
            </w:pPr>
            <w:r>
              <w:rPr>
                <w:rFonts w:ascii="Arial" w:cs="Arial" w:eastAsia="Arial" w:hAnsi="Arial"/>
                <w:sz w:val="18"/>
                <w:szCs w:val="18"/>
                <w:color w:val="auto"/>
              </w:rPr>
              <w:t>Date: May 5, 2022</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Jay M. Short, Ph.D.</w:t>
            </w:r>
          </w:p>
        </w:tc>
      </w:tr>
      <w:tr>
        <w:trPr>
          <w:trHeight w:val="155"/>
        </w:trPr>
        <w:tc>
          <w:tcPr>
            <w:tcW w:w="3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20" w:type="dxa"/>
            <w:vAlign w:val="bottom"/>
          </w:tcPr>
          <w:p>
            <w:pPr>
              <w:jc w:val="center"/>
              <w:spacing w:after="0" w:line="154" w:lineRule="exact"/>
              <w:rPr>
                <w:sz w:val="20"/>
                <w:szCs w:val="20"/>
                <w:color w:val="auto"/>
              </w:rPr>
            </w:pPr>
            <w:r>
              <w:rPr>
                <w:rFonts w:ascii="Arial" w:cs="Arial" w:eastAsia="Arial" w:hAnsi="Arial"/>
                <w:sz w:val="17"/>
                <w:szCs w:val="17"/>
                <w:color w:val="auto"/>
                <w:w w:val="96"/>
              </w:rPr>
              <w:t>Jay M. Short, Ph.D.</w:t>
            </w:r>
          </w:p>
        </w:tc>
      </w:tr>
      <w:tr>
        <w:trPr>
          <w:trHeight w:val="230"/>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r>
      <w:tr>
        <w:trPr>
          <w:trHeight w:val="506"/>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 PURSUANT TO</w:t>
      </w: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Richard A. Waldron, certify that:</w:t>
      </w:r>
    </w:p>
    <w:p>
      <w:pPr>
        <w:spacing w:after="0" w:line="212"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BioAtla,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80" w:hanging="512"/>
        <w:spacing w:after="0" w:line="274" w:lineRule="auto"/>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w:t>
      </w:r>
    </w:p>
    <w:p>
      <w:pPr>
        <w:ind w:left="5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95"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ind w:left="20"/>
              <w:spacing w:after="0"/>
              <w:rPr>
                <w:sz w:val="20"/>
                <w:szCs w:val="20"/>
                <w:color w:val="auto"/>
              </w:rPr>
            </w:pPr>
            <w:r>
              <w:rPr>
                <w:rFonts w:ascii="Arial" w:cs="Arial" w:eastAsia="Arial" w:hAnsi="Arial"/>
                <w:sz w:val="18"/>
                <w:szCs w:val="18"/>
                <w:color w:val="auto"/>
              </w:rPr>
              <w:t>Date: May 5, 2022</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Richard A. Waldron</w:t>
            </w:r>
          </w:p>
        </w:tc>
      </w:tr>
      <w:tr>
        <w:trPr>
          <w:trHeight w:val="155"/>
        </w:trPr>
        <w:tc>
          <w:tcPr>
            <w:tcW w:w="3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20" w:type="dxa"/>
            <w:vAlign w:val="bottom"/>
          </w:tcPr>
          <w:p>
            <w:pPr>
              <w:jc w:val="center"/>
              <w:spacing w:after="0" w:line="154" w:lineRule="exact"/>
              <w:rPr>
                <w:sz w:val="20"/>
                <w:szCs w:val="20"/>
                <w:color w:val="auto"/>
              </w:rPr>
            </w:pPr>
            <w:r>
              <w:rPr>
                <w:rFonts w:ascii="Arial" w:cs="Arial" w:eastAsia="Arial" w:hAnsi="Arial"/>
                <w:sz w:val="17"/>
                <w:szCs w:val="17"/>
                <w:color w:val="auto"/>
                <w:w w:val="97"/>
              </w:rPr>
              <w:t>Richard A. Waldron</w:t>
            </w:r>
          </w:p>
        </w:tc>
      </w:tr>
      <w:tr>
        <w:trPr>
          <w:trHeight w:val="176"/>
        </w:trPr>
        <w:tc>
          <w:tcPr>
            <w:tcW w:w="35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220" w:type="dxa"/>
            <w:vAlign w:val="bottom"/>
          </w:tcPr>
          <w:p>
            <w:pPr>
              <w:jc w:val="center"/>
              <w:spacing w:after="0" w:line="176" w:lineRule="exact"/>
              <w:rPr>
                <w:sz w:val="20"/>
                <w:szCs w:val="20"/>
                <w:color w:val="auto"/>
              </w:rPr>
            </w:pPr>
            <w:r>
              <w:rPr>
                <w:rFonts w:ascii="Arial" w:cs="Arial" w:eastAsia="Arial" w:hAnsi="Arial"/>
                <w:sz w:val="18"/>
                <w:szCs w:val="18"/>
                <w:color w:val="auto"/>
                <w:w w:val="94"/>
              </w:rPr>
              <w:t>Chief Financial Officer</w:t>
            </w:r>
          </w:p>
        </w:tc>
      </w:tr>
      <w:tr>
        <w:trPr>
          <w:trHeight w:val="230"/>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r>
        <w:trPr>
          <w:trHeight w:val="303"/>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360" w:firstLine="509"/>
        <w:spacing w:after="0" w:line="248" w:lineRule="auto"/>
        <w:rPr>
          <w:sz w:val="20"/>
          <w:szCs w:val="20"/>
          <w:color w:val="auto"/>
        </w:rPr>
      </w:pPr>
      <w:r>
        <w:rPr>
          <w:rFonts w:ascii="Arial" w:cs="Arial" w:eastAsia="Arial" w:hAnsi="Arial"/>
          <w:sz w:val="18"/>
          <w:szCs w:val="18"/>
          <w:color w:val="auto"/>
        </w:rPr>
        <w:t>In connection with the Quarterly Report of BioAtla, Inc. (the “Company”) on Form 10-Q for the period ending March 31, 2022 as filed with the Securities and Exchange Commission on the date hereof (the “Report”), I certify, pursuant to 18 U.S.C. § 1350, as adopted pursuant to § 906 of the Sarbanes-Oxley Act of 2002, that, to my knowledge:</w:t>
      </w:r>
    </w:p>
    <w:p>
      <w:pPr>
        <w:spacing w:after="0" w:line="182"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520" w:type="dxa"/>
            <w:vAlign w:val="bottom"/>
          </w:tcPr>
          <w:p>
            <w:pPr>
              <w:spacing w:after="0"/>
              <w:rPr>
                <w:sz w:val="20"/>
                <w:szCs w:val="20"/>
                <w:color w:val="auto"/>
              </w:rPr>
            </w:pPr>
            <w:r>
              <w:rPr>
                <w:rFonts w:ascii="Arial" w:cs="Arial" w:eastAsia="Arial" w:hAnsi="Arial"/>
                <w:sz w:val="18"/>
                <w:szCs w:val="18"/>
                <w:color w:val="auto"/>
              </w:rPr>
              <w:t>Date: May 5, 2022</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Jay M. Short, Ph.D.</w:t>
            </w:r>
          </w:p>
        </w:tc>
      </w:tr>
      <w:tr>
        <w:trPr>
          <w:trHeight w:val="155"/>
        </w:trPr>
        <w:tc>
          <w:tcPr>
            <w:tcW w:w="35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20" w:type="dxa"/>
            <w:vAlign w:val="bottom"/>
          </w:tcPr>
          <w:p>
            <w:pPr>
              <w:jc w:val="center"/>
              <w:spacing w:after="0" w:line="154" w:lineRule="exact"/>
              <w:rPr>
                <w:sz w:val="20"/>
                <w:szCs w:val="20"/>
                <w:color w:val="auto"/>
              </w:rPr>
            </w:pPr>
            <w:r>
              <w:rPr>
                <w:rFonts w:ascii="Arial" w:cs="Arial" w:eastAsia="Arial" w:hAnsi="Arial"/>
                <w:sz w:val="17"/>
                <w:szCs w:val="17"/>
                <w:color w:val="auto"/>
                <w:w w:val="96"/>
              </w:rPr>
              <w:t>Jay M. Short, Ph.D.</w:t>
            </w:r>
          </w:p>
        </w:tc>
      </w:tr>
      <w:tr>
        <w:trPr>
          <w:trHeight w:val="176"/>
        </w:trPr>
        <w:tc>
          <w:tcPr>
            <w:tcW w:w="35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220" w:type="dxa"/>
            <w:vAlign w:val="bottom"/>
          </w:tcPr>
          <w:p>
            <w:pPr>
              <w:ind w:left="1780"/>
              <w:spacing w:after="0" w:line="176" w:lineRule="exact"/>
              <w:rPr>
                <w:sz w:val="20"/>
                <w:szCs w:val="20"/>
                <w:color w:val="auto"/>
              </w:rPr>
            </w:pPr>
            <w:r>
              <w:rPr>
                <w:rFonts w:ascii="Arial" w:cs="Arial" w:eastAsia="Arial" w:hAnsi="Arial"/>
                <w:sz w:val="18"/>
                <w:szCs w:val="18"/>
                <w:color w:val="auto"/>
              </w:rPr>
              <w:t>Chief Executive Officer</w:t>
            </w:r>
          </w:p>
        </w:tc>
      </w:tr>
      <w:tr>
        <w:trPr>
          <w:trHeight w:val="230"/>
        </w:trPr>
        <w:tc>
          <w:tcPr>
            <w:tcW w:w="3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364"/>
        </w:trPr>
        <w:tc>
          <w:tcPr>
            <w:tcW w:w="3520" w:type="dxa"/>
            <w:vAlign w:val="bottom"/>
          </w:tcPr>
          <w:p>
            <w:pPr>
              <w:spacing w:after="0"/>
              <w:rPr>
                <w:sz w:val="20"/>
                <w:szCs w:val="20"/>
                <w:color w:val="auto"/>
              </w:rPr>
            </w:pPr>
            <w:r>
              <w:rPr>
                <w:rFonts w:ascii="Arial" w:cs="Arial" w:eastAsia="Arial" w:hAnsi="Arial"/>
                <w:sz w:val="18"/>
                <w:szCs w:val="18"/>
                <w:color w:val="auto"/>
              </w:rPr>
              <w:t>Date: May 5, 2022</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Richard A. Waldron</w:t>
            </w:r>
          </w:p>
        </w:tc>
      </w:tr>
      <w:tr>
        <w:trPr>
          <w:trHeight w:val="155"/>
        </w:trPr>
        <w:tc>
          <w:tcPr>
            <w:tcW w:w="35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20" w:type="dxa"/>
            <w:vAlign w:val="bottom"/>
          </w:tcPr>
          <w:p>
            <w:pPr>
              <w:jc w:val="center"/>
              <w:spacing w:after="0" w:line="154" w:lineRule="exact"/>
              <w:rPr>
                <w:sz w:val="20"/>
                <w:szCs w:val="20"/>
                <w:color w:val="auto"/>
              </w:rPr>
            </w:pPr>
            <w:r>
              <w:rPr>
                <w:rFonts w:ascii="Arial" w:cs="Arial" w:eastAsia="Arial" w:hAnsi="Arial"/>
                <w:sz w:val="17"/>
                <w:szCs w:val="17"/>
                <w:color w:val="auto"/>
                <w:w w:val="97"/>
              </w:rPr>
              <w:t>Richard A. Waldron</w:t>
            </w:r>
          </w:p>
        </w:tc>
      </w:tr>
      <w:tr>
        <w:trPr>
          <w:trHeight w:val="176"/>
        </w:trPr>
        <w:tc>
          <w:tcPr>
            <w:tcW w:w="35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220" w:type="dxa"/>
            <w:vAlign w:val="bottom"/>
          </w:tcPr>
          <w:p>
            <w:pPr>
              <w:jc w:val="center"/>
              <w:spacing w:after="0" w:line="176" w:lineRule="exact"/>
              <w:rPr>
                <w:sz w:val="20"/>
                <w:szCs w:val="20"/>
                <w:color w:val="auto"/>
              </w:rPr>
            </w:pPr>
            <w:r>
              <w:rPr>
                <w:rFonts w:ascii="Arial" w:cs="Arial" w:eastAsia="Arial" w:hAnsi="Arial"/>
                <w:sz w:val="18"/>
                <w:szCs w:val="18"/>
                <w:color w:val="auto"/>
                <w:w w:val="94"/>
              </w:rPr>
              <w:t>Chief Financial Officer</w:t>
            </w:r>
          </w:p>
        </w:tc>
      </w:tr>
      <w:tr>
        <w:trPr>
          <w:trHeight w:val="230"/>
        </w:trPr>
        <w:tc>
          <w:tcPr>
            <w:tcW w:w="3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174"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9"/>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lvl w:ilvl="1">
      <w:lvlJc w:val="left"/>
      <w:lvlText w:val="•"/>
      <w:numFmt w:val="bullet"/>
      <w:start w:val="1"/>
    </w:lvl>
  </w:abstractNum>
  <w:abstractNum w:abstractNumId="7">
    <w:nsid w:val="721DA317"/>
    <w:multiLevelType w:val="hybridMultilevel"/>
    <w:lvl w:ilvl="0">
      <w:lvlJc w:val="left"/>
      <w:lvlText w:val="(%1)"/>
      <w:numFmt w:val="lowerRoman"/>
      <w:start w:val="4"/>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2022-05-06T11:56:47Z</dcterms:created>
  <dcterms:modified xsi:type="dcterms:W3CDTF">2022-05-06T11:56:47Z</dcterms:modified>
</cp:coreProperties>
</file>