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cab-20261015.htm"/>
      <w:bookmarkStart w:id="1" w:name="ksbcab20261015"/>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BIOATLA,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001-39787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85-1922320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11085 Torreyana Road</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558-0708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BCAB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OTCQB Venture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360" w:after="120"/>
        <w:jc w:val="left"/>
        <w:rPr/>
      </w:pPr>
      <w:r>
        <w:rPr/>
        <w:t> </w:t>
      </w:r>
    </w:p>
    <w:p>
      <w:pPr>
        <w:pStyle w:val="TextBody"/>
        <w:bidi w:val="0"/>
        <w:spacing w:before="24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rFonts w:ascii="Times New Roman" w:hAnsi="Times New Roman"/>
          <w:color w:val="000000"/>
          <w:sz w:val="20"/>
        </w:rPr>
      </w:pPr>
      <w:r>
        <w:rPr>
          <w:rFonts w:ascii="Times New Roman" w:hAnsi="Times New Roman"/>
          <w:color w:val="000000"/>
          <w:sz w:val="20"/>
        </w:rPr>
        <w:t>On October 15, 2026 (the “Effective Date”), BioAtla, Inc. (the “Company”) entered into the Standby Equity Purchase Agreement (the “SEPA”) with YA II PN, Ltd., a Cayman Islands exempt limited company (“Yorkville”), pursuant to which the Company has the right, but not the obligation, to sell to Yorkville up to $40.0 million of shares of the Company’s common stock, par value $0.0001 per share (the “Common Stock”) (such amount, the “Commitment Amount”), subject to certain limitations and conditions set forth in the SEPA, during the 36 months following the Effective Date (such shares, the “SEPA Shares”). Sales of the SEPA Shares to Yorkville and the timing of any such sales, if elected to be utilized by the Company at a future date, are at the Company’s option, and the Company is under no obligation to sell any SEPA Shares to Yorkville.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advance (each, a “SEPA Advance”) the Company requests in writing to Yorkville under the SEPA (notice of such request, a “SEPA Advance Notice”) may be for a number of SEPA Shares up to such number of shares as is equal to 100% of the average daily trading volume of the Common Stock on the Principal Market (as defined in the SEPA) during the five consecutive trading days immediately preceding the SEPA Advance Notice. The Company may establish a minimum acceptable price in each SEPA Advance Notice below which the Company will not be obligated to make any sales to Yorkville pursuant to such notice. The SEPA Shares delivered by the Company will be purchased by Yorkville at a price equal to 97% of the lowest daily VWAP of the Common Stock on the Principal Market during the three consecutive trading days commencing on the date of the delivery of the SEPA Advance Notice, other than the daily VWAP on a day in which the daily VWAP is less than a minimum acceptable price as stated by the Company in the SEPA Advance Notice or there is no VWAP on the subject trading day.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SEPA will automatically terminate on the earliest to occur of (i) the 36-month anniversary of the Effective Date or (ii) the date on which Yorkville shall have made payment of SEPA Advances pursuant to the SEPA for SEPA Shares equal to the Commitment Amount. The Company has the right to terminate the SEPA at no cost or penalty upon five trading days’ prior written notice to Yorkville, provided that there are no outstanding SEPA Advance Notices for which SEPA Shares are required to be issued and that the Company has paid all amounts owed to Yorkville pursuant to the SEPA. The Company and Yorkville may also agree to terminate the SEPA by mutual written consent.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consideration for Yorkville’s commitment to purchase the SEPA Shares, the Company agreed to pay to Yorkville a commitment fee of $500,000 (the “Commitment Fee”), which equals approximately 2% of the incremental increase from the commitment amount under the Prior SEPA (as defined below). The Commitment Fee was earned on the Effective Date. One-half of the Commitment Fee is payable within five days of the Effective Date and the remaining one-half is payable on or before December 31, 2026, in each case, at the Company’s election, either in cash or by the issuance to Yorkville of warrants (the “Commitment Fee Warrants”) exercisable for a number of shares of Common Stock (the “Commitment Shares”) equal to the applicable portion of the Commitment Fee divided by the average of the daily VWAPs of the Common Stock during the five trading days immediately prior to the Effective Date or December 31, 2026, as applicable. On October 16, 2026, the Company issued Commitment Fee Warrants to Yorkville exercisable for 182,110 Commitment Shares in payment of the first installment of the Commitment Fee.</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The SEPA contains customary representations, warranties, covenants and agreements by the Company, customary conditions to closing, indemnification obligations, and other obligations of the parties. The representations, warranties and covenants contained in the SEPA were made only for purposes of such agreement and as of specific dates, were solely for the benefit of the parties to such agreement and may be subject to limitations agreed upon by the contracting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SEPA Shares and the Commitment Fee Warrants will be issued in reliance on the exemption from registration provided by Section 4(a)(2) of the Securities Act of 1933, as amended (the “Securities Act”). Pursuant to the SEPA, the Company has agreed to file with the Securities and Exchange Commission (the “SEC”) one or more registration statements for the resale by Yorkville of the SEPA Shares and the Commitment Shares, and the Company may not deliver any SEPA Advance Notice until such a registration statement has been declared effective.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issuance of shares under the SEPA is subject to further limitations and conditions, including that Yorkville will not purchase any shares of Common Stock under the SEPA that would result in Yorkville and its affiliates beneficially owning more than 4.99% of the then-outstanding voting power or number of shares of Common Stock, and that no SEPA Advance may exceed the number of shares registered under the </w:t>
      </w:r>
      <w:r>
        <w:rPr>
          <w:rFonts w:ascii="Times New Roman" w:hAnsi="Times New Roman"/>
          <w:color w:val="212529"/>
          <w:sz w:val="20"/>
        </w:rPr>
        <w:t>registration statement then</w:t>
      </w:r>
      <w:r>
        <w:rPr>
          <w:rFonts w:ascii="Times New Roman" w:hAnsi="Times New Roman"/>
          <w:color w:val="000000"/>
          <w:sz w:val="20"/>
        </w:rPr>
        <w:t xml:space="preserve"> in effect.</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Tungsten Partners LLC d/b/a Tungsten Advisors (through its broker-dealer, Finalis Securities LLC) acted as the sole placement agent in connection with the SEPA.</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foregoing summaries of the </w:t>
      </w:r>
      <w:r>
        <w:rPr>
          <w:rFonts w:ascii="Times New Roman" w:hAnsi="Times New Roman"/>
          <w:color w:val="212529"/>
          <w:sz w:val="20"/>
        </w:rPr>
        <w:t>SEPA and the Commitment Fee Warrants are</w:t>
      </w:r>
      <w:r>
        <w:rPr>
          <w:rFonts w:ascii="Times New Roman" w:hAnsi="Times New Roman"/>
          <w:color w:val="000000"/>
          <w:sz w:val="20"/>
        </w:rPr>
        <w:t xml:space="preserve"> qualified in their entirety by reference to the full texts of the SEPA and the form of Commitment Fee Warrants, which are attached hereto as Exhibits 10.1 and 4.1, respectively, and are incorporated herein by reference.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Current Report on Form 8-K (this “Current Report”) does not constitute an offer to sell or the solicitation of an offer to buy, and these securities cannot be sold in any state or jurisdiction in which this offer, solicitation, or sale would be unlawful prior to registration or qualification under the securities laws of any state or jurisdiction.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1.02. Termination of a Material Definitive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15, 2026, in connection with entering into the SEPA described in Item 1.01 of this Current Report, the Company terminated the Standby Equity Purchase Agreement, dated as of November 20, 2025 (the “Prior SEPA”), between the Company and Yorkville. Pursuant to the Prior SEPA, the Company had the right, but not the obligation, to sell to Yorkville up to $15.0 million of shares of Common Stock, subject to certain limitations and conditions set forth in the Prior SEPA. Prior to its termination, the Company sold an aggregate of 48,092 shares of Common Stock to Yorkville under the Prior SEPA for aggregate gross proceeds of approximately $0.4 million. At the time of termination, there were no outstanding advance notices for which shares of Common Stock had not yet been issued and (ii) the Company had paid all amounts owed to Yorkville under the Agreement. Other than the Prior SEPA, the SEPA described in Item 1.01 of this Current Report and the Pre-Paid Advance Agreement that the Company entered into with Yorkville on November 20, 2025, there is no material relationship between the Company or its affiliates and Yorkville. A copy of the Prior SEPA was filed as Exhibit 10.2 to the Company’s Current Report on Form 8-K filed with the SEC on November 21,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Item 1.01 of this Current Report is incorporated by reference into this Item 3.02.</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9868" w:type="dxa"/>
        <w:jc w:val="left"/>
        <w:tblInd w:w="0" w:type="dxa"/>
        <w:tblLayout w:type="fixed"/>
        <w:tblCellMar>
          <w:top w:w="28" w:type="dxa"/>
          <w:left w:w="28" w:type="dxa"/>
          <w:bottom w:w="28" w:type="dxa"/>
          <w:right w:w="28" w:type="dxa"/>
        </w:tblCellMar>
      </w:tblPr>
      <w:tblGrid>
        <w:gridCol w:w="811"/>
        <w:gridCol w:w="146"/>
        <w:gridCol w:w="891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11" w:type="dxa"/>
            <w:tcBorders>
              <w:bottom w:val="single" w:sz="2" w:space="0" w:color="000000"/>
            </w:tcBorders>
            <w:tcMar>
              <w:top w:w="0" w:type="dxa"/>
              <w:left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11" w:type="dxa"/>
            <w:tcBorders>
              <w:bottom w:val="single" w:sz="2" w:space="0" w:color="000000"/>
            </w:tcBorders>
            <w:tcMar>
              <w:top w:w="0" w:type="dxa"/>
              <w:left w:w="0" w:type="dxa"/>
              <w:right w:w="0" w:type="dxa"/>
            </w:tcMar>
            <w:vAlign w:val="center"/>
          </w:tcPr>
          <w:p>
            <w:pPr>
              <w:pStyle w:val="TableContents"/>
              <w:bidi w:val="0"/>
              <w:spacing w:before="0" w:after="283"/>
              <w:jc w:val="left"/>
              <w:rPr/>
            </w:pPr>
            <w:hyperlink w:anchor="bcab-ex4_1.htm">
              <w:r>
                <w:rPr>
                  <w:rStyle w:val="InternetLink"/>
                  <w:rFonts w:ascii="Times New Roman" w:hAnsi="Times New Roman"/>
                  <w:color w:val="0000FF"/>
                  <w:sz w:val="20"/>
                  <w:u w:val="single"/>
                </w:rPr>
                <w:t>Form of Commitment Fee Warrants.</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bottom w:val="single" w:sz="2" w:space="0" w:color="FFFFFF"/>
            </w:tcBorders>
            <w:tcMar>
              <w:top w:w="0" w:type="dxa"/>
              <w:left w:w="0" w:type="dxa"/>
              <w:right w:w="0" w:type="dxa"/>
            </w:tcMar>
            <w:vAlign w:val="center"/>
          </w:tcPr>
          <w:p>
            <w:pPr>
              <w:pStyle w:val="TableContents"/>
              <w:bidi w:val="0"/>
              <w:spacing w:before="0" w:after="283"/>
              <w:jc w:val="left"/>
              <w:rPr/>
            </w:pPr>
            <w:r>
              <w:rPr/>
              <w:t> </w:t>
            </w:r>
          </w:p>
        </w:tc>
        <w:tc>
          <w:tcPr>
            <w:tcW w:w="8911" w:type="dxa"/>
            <w:tcBorders>
              <w:bottom w:val="single" w:sz="2" w:space="0" w:color="000000"/>
            </w:tcBorders>
            <w:tcMar>
              <w:top w:w="0" w:type="dxa"/>
              <w:left w:w="0" w:type="dxa"/>
              <w:right w:w="0" w:type="dxa"/>
            </w:tcMar>
            <w:vAlign w:val="center"/>
          </w:tcPr>
          <w:p>
            <w:pPr>
              <w:pStyle w:val="TableContents"/>
              <w:bidi w:val="0"/>
              <w:spacing w:before="0" w:after="283"/>
              <w:jc w:val="left"/>
              <w:rPr/>
            </w:pPr>
            <w:hyperlink w:anchor="bcab-ex10_1.htm">
              <w:r>
                <w:rPr>
                  <w:rStyle w:val="InternetLink"/>
                  <w:rFonts w:ascii="Times New Roman" w:hAnsi="Times New Roman"/>
                  <w:color w:val="0000FF"/>
                  <w:sz w:val="20"/>
                  <w:u w:val="single"/>
                </w:rPr>
                <w:t>Standby Equity Purchase Agreement, dated as of October 15, 2026, between BioAtla, Inc. and YA II PN, Ltd.</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 Pursuant to Item 601(a)(5) of Regulation S-K</w:t>
      </w:r>
      <w:r>
        <w:rPr>
          <w:rFonts w:ascii="Times New Roman" w:hAnsi="Times New Roman"/>
          <w:color w:val="000000"/>
          <w:sz w:val="20"/>
        </w:rPr>
        <w:t>, certain exhibits have been omitted and will be furnished supplementally to the Securities and Exchange Commission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534" w:type="dxa"/>
        <w:jc w:val="left"/>
        <w:tblInd w:w="0" w:type="dxa"/>
        <w:tblLayout w:type="fixed"/>
        <w:tblCellMar>
          <w:top w:w="28" w:type="dxa"/>
          <w:left w:w="28" w:type="dxa"/>
          <w:bottom w:w="28" w:type="dxa"/>
          <w:right w:w="28" w:type="dxa"/>
        </w:tblCellMar>
      </w:tblPr>
      <w:tblGrid>
        <w:gridCol w:w="556"/>
        <w:gridCol w:w="151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b/>
                <w:color w:val="000000"/>
                <w:sz w:val="20"/>
              </w:rPr>
            </w:pPr>
            <w:r>
              <w:rPr>
                <w:rFonts w:ascii="Times New Roman" w:hAnsi="Times New Roman"/>
                <w:b/>
                <w:color w:val="000000"/>
                <w:sz w:val="20"/>
              </w:rPr>
              <w:t>BioAtla,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Christian Vasquez</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Christian Vasquez</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bcab-ex4_1.htm"/>
      <w:bookmarkStart w:id="3" w:name="ksbcabex4_1"/>
      <w:bookmarkEnd w:id="2"/>
      <w:bookmarkEnd w:id="3"/>
      <w:r>
        <w:rPr/>
        <w:t> </w:t>
      </w:r>
      <w:r>
        <w:br w:type="page"/>
      </w:r>
    </w:p>
    <w:p>
      <w:pPr>
        <w:pStyle w:val="TextBody"/>
        <w:bidi w:val="0"/>
        <w:jc w:val="righ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4.1</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[FORM OF COMMITMENT FEE WARRANT]</w:t>
      </w:r>
    </w:p>
    <w:p>
      <w:pPr>
        <w:pStyle w:val="TextBody"/>
        <w:bidi w:val="0"/>
        <w:spacing w:before="240" w:after="283"/>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BioAtla, Inc.</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Warrant To Purchase Common Stock</w:t>
      </w:r>
    </w:p>
    <w:p>
      <w:pPr>
        <w:pStyle w:val="TextBody"/>
        <w:bidi w:val="0"/>
        <w:jc w:val="left"/>
        <w:rPr>
          <w:rFonts w:ascii="Times New Roman" w:hAnsi="Times New Roman"/>
          <w:color w:val="000000"/>
          <w:sz w:val="24"/>
        </w:rPr>
      </w:pPr>
      <w:r>
        <w:rPr>
          <w:rFonts w:ascii="Times New Roman" w:hAnsi="Times New Roman"/>
          <w:color w:val="000000"/>
          <w:sz w:val="24"/>
        </w:rPr>
        <w:t>Warrant No.: [●]</w:t>
      </w:r>
    </w:p>
    <w:p>
      <w:pPr>
        <w:pStyle w:val="TextBody"/>
        <w:bidi w:val="0"/>
        <w:jc w:val="left"/>
        <w:rPr>
          <w:rFonts w:ascii="Times New Roman" w:hAnsi="Times New Roman"/>
          <w:sz w:val="24"/>
        </w:rPr>
      </w:pPr>
      <w:r>
        <w:rPr>
          <w:rFonts w:ascii="Times New Roman" w:hAnsi="Times New Roman"/>
          <w:color w:val="000000"/>
          <w:sz w:val="24"/>
        </w:rPr>
        <w:t>Date of Issuance: [●] (“</w:t>
      </w:r>
      <w:r>
        <w:rPr>
          <w:rFonts w:ascii="Times New Roman" w:hAnsi="Times New Roman"/>
          <w:b/>
          <w:color w:val="000000"/>
          <w:sz w:val="24"/>
        </w:rPr>
        <w:t>Issuance Date</w:t>
      </w:r>
      <w:r>
        <w:rPr>
          <w:rFonts w:ascii="Times New Roman" w:hAnsi="Times New Roman"/>
          <w:color w:val="000000"/>
          <w:sz w:val="24"/>
        </w:rPr>
        <w:t>”)</w:t>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BioAtla, Inc., a Delaware corporation (the “</w:t>
      </w:r>
      <w:r>
        <w:rPr>
          <w:rFonts w:ascii="Times New Roman" w:hAnsi="Times New Roman"/>
          <w:b/>
          <w:color w:val="000000"/>
          <w:sz w:val="24"/>
        </w:rPr>
        <w:t>Issuer</w:t>
      </w:r>
      <w:r>
        <w:rPr>
          <w:rFonts w:ascii="Times New Roman" w:hAnsi="Times New Roman"/>
          <w:color w:val="000000"/>
          <w:sz w:val="24"/>
        </w:rPr>
        <w:t xml:space="preserve">”), hereby certifies that, for good and valuable consideration, the receipt and sufficiency of which are hereby acknowledged, </w:t>
      </w:r>
      <w:r>
        <w:rPr>
          <w:rFonts w:ascii="Times New Roman" w:hAnsi="Times New Roman"/>
          <w:caps/>
          <w:color w:val="000000"/>
          <w:sz w:val="24"/>
        </w:rPr>
        <w:t>YA II PN, Ltd.</w:t>
      </w:r>
      <w:r>
        <w:rPr>
          <w:rFonts w:ascii="Times New Roman" w:hAnsi="Times New Roman"/>
          <w:color w:val="000000"/>
          <w:sz w:val="24"/>
        </w:rPr>
        <w:t>, the registered holder hereof or its permitted assigns (the “</w:t>
      </w:r>
      <w:r>
        <w:rPr>
          <w:rFonts w:ascii="Times New Roman" w:hAnsi="Times New Roman"/>
          <w:b/>
          <w:color w:val="000000"/>
          <w:sz w:val="24"/>
        </w:rPr>
        <w:t>Holder</w:t>
      </w:r>
      <w:r>
        <w:rPr>
          <w:rFonts w:ascii="Times New Roman" w:hAnsi="Times New Roman"/>
          <w:color w:val="000000"/>
          <w:sz w:val="24"/>
        </w:rPr>
        <w:t>”), is entitled, subject to the terms set forth below, to purchase from the Issuer, at the Exercise Price (as defined below) then in effect, upon exercise of this Warrant to Purchase Common Stock (the “</w:t>
      </w:r>
      <w:r>
        <w:rPr>
          <w:rFonts w:ascii="Times New Roman" w:hAnsi="Times New Roman"/>
          <w:b/>
          <w:color w:val="000000"/>
          <w:sz w:val="24"/>
        </w:rPr>
        <w:t>Warrant</w:t>
      </w:r>
      <w:r>
        <w:rPr>
          <w:rFonts w:ascii="Times New Roman" w:hAnsi="Times New Roman"/>
          <w:color w:val="000000"/>
          <w:sz w:val="24"/>
        </w:rPr>
        <w:t>”), at any time or times on or after the Issuance Date up to [●] (subject to adjustment as provided herein) fully paid and non-assessable shares of Common Stock (as defined below) (the “</w:t>
      </w:r>
      <w:r>
        <w:rPr>
          <w:rFonts w:ascii="Times New Roman" w:hAnsi="Times New Roman"/>
          <w:b/>
          <w:color w:val="000000"/>
          <w:sz w:val="24"/>
        </w:rPr>
        <w:t>Warrant Shares</w:t>
      </w:r>
      <w:r>
        <w:rPr>
          <w:rFonts w:ascii="Times New Roman" w:hAnsi="Times New Roman"/>
          <w:color w:val="000000"/>
          <w:sz w:val="24"/>
        </w:rPr>
        <w:t>”), such number being determined in accordance with Section 11.04 of the Purchase Agreement (as defined below). Except as otherwise defined herein, capitalized terms in this Warrant shall have the meanings set forth in the Standby Equity Purchase Agreement, dated as of October 15, 2026, by and between the Issuer and the Holder (the “</w:t>
      </w:r>
      <w:r>
        <w:rPr>
          <w:rFonts w:ascii="Times New Roman" w:hAnsi="Times New Roman"/>
          <w:b/>
          <w:color w:val="000000"/>
          <w:sz w:val="24"/>
        </w:rPr>
        <w:t>Purchase Agreement</w:t>
      </w:r>
      <w:r>
        <w:rPr>
          <w:rFonts w:ascii="Times New Roman" w:hAnsi="Times New Roman"/>
          <w:color w:val="000000"/>
          <w:sz w:val="24"/>
        </w:rPr>
        <w:t>”), pursuant to which this Warrant has been issued.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EXERCISE OF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2"/>
        </w:rPr>
      </w:pPr>
      <w:r>
        <w:rPr>
          <w:rFonts w:ascii="Times New Roman" w:hAnsi="Times New Roman"/>
          <w:color w:val="000000"/>
          <w:sz w:val="24"/>
          <w:u w:val="single"/>
        </w:rPr>
        <w:t>Mechanics of Exercise</w:t>
      </w:r>
      <w:r>
        <w:rPr>
          <w:rFonts w:ascii="Times New Roman" w:hAnsi="Times New Roman"/>
          <w:color w:val="000000"/>
          <w:sz w:val="24"/>
        </w:rPr>
        <w:t>. Subject to the terms and conditions hereof,</w:t>
      </w:r>
      <w:r>
        <w:rPr>
          <w:rFonts w:ascii="Times New Roman" w:hAnsi="Times New Roman"/>
          <w:color w:val="000000"/>
          <w:sz w:val="22"/>
        </w:rPr>
        <w:t xml:space="preserve"> </w:t>
      </w:r>
      <w:r>
        <w:rPr>
          <w:rFonts w:ascii="Times New Roman" w:hAnsi="Times New Roman"/>
          <w:color w:val="000000"/>
          <w:sz w:val="24"/>
        </w:rPr>
        <w:t>this Warrant may be exercised by the Holder on any day on or after the Issuance Date (an “</w:t>
      </w:r>
      <w:r>
        <w:rPr>
          <w:rFonts w:ascii="Times New Roman" w:hAnsi="Times New Roman"/>
          <w:b/>
          <w:color w:val="000000"/>
          <w:sz w:val="24"/>
        </w:rPr>
        <w:t>Exercise Date</w:t>
      </w:r>
      <w:r>
        <w:rPr>
          <w:rFonts w:ascii="Times New Roman" w:hAnsi="Times New Roman"/>
          <w:color w:val="000000"/>
          <w:sz w:val="22"/>
        </w:rPr>
        <w:t>”</w:t>
      </w:r>
      <w:r>
        <w:rPr>
          <w:rFonts w:ascii="Times New Roman" w:hAnsi="Times New Roman"/>
          <w:color w:val="000000"/>
          <w:sz w:val="24"/>
        </w:rPr>
        <w:t xml:space="preserve">), in whole or in part, by delivery (whether via electronic mail or otherwise) of a written notice, in the form attached hereto as </w:t>
      </w:r>
      <w:r>
        <w:rPr>
          <w:rFonts w:ascii="Times New Roman" w:hAnsi="Times New Roman"/>
          <w:b/>
          <w:color w:val="000000"/>
          <w:sz w:val="24"/>
          <w:u w:val="single"/>
        </w:rPr>
        <w:t>Exhibit A</w:t>
      </w:r>
      <w:r>
        <w:rPr>
          <w:rFonts w:ascii="Times New Roman" w:hAnsi="Times New Roman"/>
          <w:color w:val="000000"/>
          <w:sz w:val="22"/>
        </w:rPr>
        <w:t xml:space="preserve"> </w:t>
      </w:r>
      <w:r>
        <w:rPr>
          <w:rFonts w:ascii="Times New Roman" w:hAnsi="Times New Roman"/>
          <w:color w:val="000000"/>
          <w:sz w:val="24"/>
        </w:rPr>
        <w:t>(the “</w:t>
      </w:r>
      <w:r>
        <w:rPr>
          <w:rFonts w:ascii="Times New Roman" w:hAnsi="Times New Roman"/>
          <w:b/>
          <w:color w:val="000000"/>
          <w:sz w:val="24"/>
        </w:rPr>
        <w:t>Exercise Notice</w:t>
      </w:r>
      <w:r>
        <w:rPr>
          <w:rFonts w:ascii="Times New Roman" w:hAnsi="Times New Roman"/>
          <w:color w:val="000000"/>
          <w:sz w:val="22"/>
        </w:rPr>
        <w:t>”</w:t>
      </w:r>
      <w:r>
        <w:rPr>
          <w:rFonts w:ascii="Times New Roman" w:hAnsi="Times New Roman"/>
          <w:color w:val="000000"/>
          <w:sz w:val="24"/>
        </w:rPr>
        <w:t>), of the Holder’s election to exercise this Warrant. Within one (1) Business Day following an exercise of this Warrant as aforesaid, the Holder shall deliver payment to the Issuer of an amount equal to the Exercise Price in effect on the date of such exercise multiplied by the number of Warrant Shares as to which this Warrant was so exercised (the “</w:t>
      </w:r>
      <w:r>
        <w:rPr>
          <w:rFonts w:ascii="Times New Roman" w:hAnsi="Times New Roman"/>
          <w:b/>
          <w:color w:val="000000"/>
          <w:sz w:val="24"/>
        </w:rPr>
        <w:t>Aggregate Exercise Price</w:t>
      </w:r>
      <w:r>
        <w:rPr>
          <w:rFonts w:ascii="Times New Roman" w:hAnsi="Times New Roman"/>
          <w:color w:val="000000"/>
          <w:sz w:val="22"/>
        </w:rPr>
        <w:t>”</w:t>
      </w:r>
      <w:r>
        <w:rPr>
          <w:rFonts w:ascii="Times New Roman" w:hAnsi="Times New Roman"/>
          <w:color w:val="000000"/>
          <w:sz w:val="24"/>
        </w:rPr>
        <w:t xml:space="preserve">) in cash or via wire transfer of immediately available funds if the Holder did not notify the Issuer in such Exercise Notice that such exercise was made pursuant to a Cashless Exercise (as defined herein).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both"/>
        <w:rPr>
          <w:rFonts w:ascii="Times New Roman" w:hAnsi="Times New Roman"/>
          <w:sz w:val="22"/>
        </w:rPr>
      </w:pPr>
      <w:r>
        <w:rPr>
          <w:rFonts w:ascii="Times New Roman" w:hAnsi="Times New Roman"/>
          <w:color w:val="000000"/>
          <w:sz w:val="24"/>
        </w:rPr>
        <w:t xml:space="preserve">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or before the first (1st) Trading Day following the date on which the Issuer has received an Exercise Notice, the Issuer shall transmit by facsimile or electronic mail an acknowledgment of confirmation of receipt of such Exercise Notice, in the form attached hereto as </w:t>
      </w:r>
      <w:r>
        <w:rPr>
          <w:rFonts w:ascii="Times New Roman" w:hAnsi="Times New Roman"/>
          <w:b/>
          <w:color w:val="000000"/>
          <w:sz w:val="24"/>
          <w:u w:val="single"/>
        </w:rPr>
        <w:t>Exhibit B</w:t>
      </w:r>
      <w:r>
        <w:rPr>
          <w:rFonts w:ascii="Times New Roman" w:hAnsi="Times New Roman"/>
          <w:color w:val="000000"/>
          <w:sz w:val="24"/>
        </w:rPr>
        <w:t>, to the Holder and the Issuer’s transfer agent (the “</w:t>
      </w:r>
      <w:r>
        <w:rPr>
          <w:rFonts w:ascii="Times New Roman" w:hAnsi="Times New Roman"/>
          <w:b/>
          <w:color w:val="000000"/>
          <w:sz w:val="24"/>
        </w:rPr>
        <w:t>Transfer Agent</w:t>
      </w:r>
      <w:r>
        <w:rPr>
          <w:rFonts w:ascii="Times New Roman" w:hAnsi="Times New Roman"/>
          <w:color w:val="000000"/>
          <w:sz w:val="22"/>
        </w:rPr>
        <w:t>”</w:t>
      </w:r>
      <w:r>
        <w:rPr>
          <w:rFonts w:ascii="Times New Roman" w:hAnsi="Times New Roman"/>
          <w:color w:val="000000"/>
          <w:sz w:val="24"/>
        </w:rPr>
        <w:t>), which confirmation shall constitute an instruction to the Transfer Agent to process such Exercise Notice in accordance with the terms herein. On or before the first (1st) Trading Day following the date on which the Issuer has received such Exercise Notice, the Issuer shall deliver to the Holder a certificate, which may be in electronic form (or in the case of uncertificated securities, provide notice of book entry) representing the number of Warrant Shares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 in the Issuer’s books and records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and upon surrender of this Warrant to the Issuer by the Holder, then, at the request of the Holder, the Issuer shall as soon as practicable and in no event later than two (2) Trading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shall be rounded down to the nearest whole number. The Issuer shall pay any and all transfer, stamp, issuance and similar taxes, costs and expenses (including, without limitation, fees and expenses of the Transfer Agent) that may be payable with respect to the issuance and delivery of Warrant Shares to the Holder upon exercise of this Warrant. Notwithstanding the foregoing, except in the case where an exercise of this Warrant is validly made pursuant to a Cashless Exercise, the Issuer’s failure to cause its transfer agent to transmit Warrant Shares to the Holder on or prior to the later of (i) one (1) Trading Day after receipt of the applicable Exercise Notice (or such earlier date as required pursuant to the Exchange Act or other applicable law, rule or regulation for the settlement of a trade of such Warrant Shares initiated on the applicable Exercise Date) and (ii) one (1) Trading Day after the Issuer’s receipt of the Aggregate Exercise Price (or valid notice of a Cashless Exercise) (such later date, the “</w:t>
      </w:r>
      <w:r>
        <w:rPr>
          <w:rFonts w:ascii="Times New Roman" w:hAnsi="Times New Roman"/>
          <w:b/>
          <w:color w:val="000000"/>
          <w:sz w:val="24"/>
        </w:rPr>
        <w:t>Share Delivery Date</w:t>
      </w:r>
      <w:r>
        <w:rPr>
          <w:rFonts w:ascii="Times New Roman" w:hAnsi="Times New Roman"/>
          <w:color w:val="000000"/>
          <w:sz w:val="22"/>
        </w:rPr>
        <w:t>”</w:t>
      </w:r>
      <w:r>
        <w:rPr>
          <w:rFonts w:ascii="Times New Roman" w:hAnsi="Times New Roman"/>
          <w:color w:val="000000"/>
          <w:sz w:val="24"/>
        </w:rPr>
        <w:t>) shall not be deemed to be a breach of this Warrant. If the Issuer fails for any reason to deliver to the Holder the Warrant Shares subject to an Exercise Notice by the Warrant Share Delivery Date, the Issuer shall pay to the Holder, in cash, as liquidated damages and not as a penalty, for each $1,000 of Warrant Shares subject to such exercise (based on the VWAP of the Common Stock on the date of the applicable Exercise Notice), $10 per Trading Day (increasing to $20 per Trading Day on the third (3rd) Trading Day after the Warrant Share Delivery Date) for each Trading Day after such Share Delivery Date until such Warrant Shares are delivered or Holder rescinds such exercise; provided that the aggregate amount of liquidated damages payable in</w:t>
      </w:r>
      <w:r>
        <w:rPr>
          <w:rFonts w:ascii="Times New Roman" w:hAnsi="Times New Roman"/>
          <w:color w:val="000000"/>
          <w:sz w:val="22"/>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respect of any exercise shall not exceed the value of the Warrant Shares subject to such exercise (based on the VWAP of the Common Stock on the date of the applicable Exercise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Exercise Price</w:t>
      </w:r>
      <w:r>
        <w:rPr>
          <w:rFonts w:ascii="Times New Roman" w:hAnsi="Times New Roman"/>
          <w:color w:val="000000"/>
          <w:sz w:val="24"/>
        </w:rPr>
        <w:t>. For purposes of this Warrant, “</w:t>
      </w:r>
      <w:r>
        <w:rPr>
          <w:rFonts w:ascii="Times New Roman" w:hAnsi="Times New Roman"/>
          <w:b/>
          <w:color w:val="000000"/>
          <w:sz w:val="24"/>
        </w:rPr>
        <w:t>Exercise Price</w:t>
      </w:r>
      <w:r>
        <w:rPr>
          <w:rFonts w:ascii="Times New Roman" w:hAnsi="Times New Roman"/>
          <w:color w:val="000000"/>
          <w:sz w:val="24"/>
        </w:rPr>
        <w:t>” means $0.0001 per Warrant Share, subject to adjustment as provided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Compensation for Buy-In on Failure to Timely Deliver Warrant Shares Upon Exercise</w:t>
      </w:r>
      <w:r>
        <w:rPr>
          <w:rFonts w:ascii="Times New Roman" w:hAnsi="Times New Roman"/>
          <w:color w:val="000000"/>
          <w:sz w:val="24"/>
        </w:rPr>
        <w:t>. In addition to any other rights available to the Holder, if the Issuer fails to cause the Transfer Agent to transmit to the Holder the Warrant Shares in accordance with the provisions of Section 1(a)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b/>
          <w:color w:val="000000"/>
          <w:sz w:val="24"/>
        </w:rPr>
        <w:t>Buy-In</w:t>
      </w:r>
      <w:r>
        <w:rPr>
          <w:rFonts w:ascii="Times New Roman" w:hAnsi="Times New Roman"/>
          <w:color w:val="000000"/>
          <w:sz w:val="24"/>
        </w:rPr>
        <w:t>”), then the Issuer shall (A) pay in cash to the Holder the amount, if any, by which (x) the Holder’s total purchase price (including reasonable and customary brokerage commissions, if any) for the shares of Common Stock so purchased exceeds (y) the amount obtained by multiplying (1) the number of Warrant Shares that the Issuer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Issuer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Issuer shall be required to pay the Holder $1,000. The Holder shall provide the Issuer written notice indicating the amounts payable to the Holder in respect of the Buy-In and, upon request of the Issuer, evidence of the amount of such loss. Nothing herein shall limit a Holder’s right to pursue any other remedies available to it hereunder, at law or in equity including, without limitation, a decree of specific performance and/or injunctive relief with respect to the Issuer’s failure to timely deliver shares of Common Stock upon exercise of the Warrant as required pursuant to the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2"/>
        </w:rPr>
      </w:pPr>
      <w:r>
        <w:rPr>
          <w:rFonts w:ascii="Times New Roman" w:hAnsi="Times New Roman"/>
          <w:color w:val="000000"/>
          <w:sz w:val="24"/>
          <w:u w:val="single"/>
        </w:rPr>
        <w:t>Cashless Exercise</w:t>
      </w:r>
      <w:r>
        <w:rPr>
          <w:rFonts w:ascii="Times New Roman" w:hAnsi="Times New Roman"/>
          <w:color w:val="000000"/>
          <w:sz w:val="24"/>
        </w:rPr>
        <w:t>. The Holder may, in its sole discretion, exercise this Warrant in whole or in part and, in lieu of making the cash payment otherwise contemplated to be made to the Issuer upon such exercise in payment of the Aggregate Exercise Price, elect instead to receive upon such exercise the “Net Number” of Warrant Shares (a “</w:t>
      </w:r>
      <w:r>
        <w:rPr>
          <w:rFonts w:ascii="Times New Roman" w:hAnsi="Times New Roman"/>
          <w:b/>
          <w:color w:val="000000"/>
          <w:sz w:val="24"/>
        </w:rPr>
        <w:t>Cashless Exercise</w:t>
      </w:r>
      <w:r>
        <w:rPr>
          <w:rFonts w:ascii="Times New Roman" w:hAnsi="Times New Roman"/>
          <w:color w:val="000000"/>
          <w:sz w:val="22"/>
        </w:rPr>
        <w:t>”</w:t>
      </w:r>
      <w:r>
        <w:rPr>
          <w:rFonts w:ascii="Times New Roman" w:hAnsi="Times New Roman"/>
          <w:color w:val="000000"/>
          <w:sz w:val="24"/>
        </w:rPr>
        <w:t>)</w:t>
      </w:r>
      <w:r>
        <w:rPr>
          <w:rFonts w:ascii="Times New Roman" w:hAnsi="Times New Roman"/>
          <w:color w:val="000000"/>
          <w:sz w:val="22"/>
        </w:rPr>
        <w:t xml:space="preserve"> </w:t>
      </w:r>
      <w:r>
        <w:rPr>
          <w:rFonts w:ascii="Times New Roman" w:hAnsi="Times New Roman"/>
          <w:color w:val="000000"/>
          <w:sz w:val="24"/>
        </w:rPr>
        <w:t>equal to the quotient obtained by dividing ((A-B) multiplied by (X)) by (A), where:</w:t>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as applicable: (i) the VWAP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 of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Regulation NMS promulgated under the federal securities laws) on such Trading Day, (ii) at the option of the Holder, either (y) the VWAP on the Trading Day immediately preceding the date of the applicable Exercise Notice or (z) the Bid Price of the Common Stock on the principal Trading Market as reported by Bloomberg as of the time of the Holder’s execution of the applicable Exercise Notice if such Exercise Notice is executed during “regular trading hours” on a Trading Day and is delivered within two (2) hours thereafter (including until two (2) hours after the close of “regular trading hours” on a Trading Day) pursuant to Section 1(a) hereof or (iii) the VWAP on the date of the applicable Exercise Notice if the date of such Exercise Notice is a Trading Day and such Exercise Notice is both executed and delivered pursuant to Section 1(a) hereof after the close of “regular trading hours” on such Trading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Exercise Price of this Warrant, as adjusted hereunder;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Warrant Shares are issued in a Cashless Exercise, the parties acknowledge and agree that in accordance with Section 3(a)(9) of the Securities Act, the Holder may tack the holding period of the Warrants being exercised for purposes of Rule 144 under the Securities Act.</w:t>
      </w:r>
    </w:p>
    <w:p>
      <w:pPr>
        <w:pStyle w:val="TextBody"/>
        <w:bidi w:val="0"/>
        <w:spacing w:before="0" w:after="240"/>
        <w:jc w:val="both"/>
        <w:rPr/>
      </w:pPr>
      <w:r>
        <w:rPr>
          <w:color w:val="000000"/>
        </w:rPr>
        <w:t>“</w:t>
      </w:r>
      <w:r>
        <w:rPr>
          <w:rFonts w:ascii="Times New Roman" w:hAnsi="Times New Roman"/>
          <w:b/>
          <w:color w:val="000000"/>
          <w:sz w:val="24"/>
        </w:rPr>
        <w:t>VWAP</w:t>
      </w:r>
      <w:r>
        <w:rPr>
          <w:rFonts w:ascii="Times New Roman" w:hAnsi="Times New Roman"/>
          <w:color w:val="000000"/>
          <w:sz w:val="24"/>
        </w:rPr>
        <w:t>” means, for any Trading Day or specified period, the volume weighted average price of the Common Stock on the Trading Market, for such period as reported by Bloomberg through its “AQR” function.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Holder’s Exercise Limitations</w:t>
      </w:r>
      <w:r>
        <w:rPr>
          <w:rFonts w:ascii="Times New Roman" w:hAnsi="Times New Roman"/>
          <w:color w:val="000000"/>
          <w:sz w:val="24"/>
        </w:rPr>
        <w:t>. The Issuer shall not effect any exercise of this Warrant, and a Holder shall not have the right to exercise any portion of this Warrant, pursuant to Section 1 or otherwise, to the extent that after giving effect to such issuance after exercise as set forth on the applicable Exercise Notice, the Holder (together with the Holder’s Affiliates, and any Persons acting as a group together with the Holder or any of the Holder’s Affiliates (such Persons, “</w:t>
      </w:r>
      <w:r>
        <w:rPr>
          <w:rFonts w:ascii="Times New Roman" w:hAnsi="Times New Roman"/>
          <w:b/>
          <w:color w:val="000000"/>
          <w:sz w:val="24"/>
        </w:rPr>
        <w:t>Attribution Parties</w:t>
      </w:r>
      <w:r>
        <w:rPr>
          <w:rFonts w:ascii="Times New Roman" w:hAnsi="Times New Roman"/>
          <w:color w:val="000000"/>
          <w:sz w:val="24"/>
        </w:rPr>
        <w:t xml:space="preserve">”)) would beneficially own in excess of the Beneficial Ownership Limitation (as defined below). For purposes of the foregoing sentence, the number of shares of Common Stock beneficially owned by the Holder,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unconverted portion of any other securities of the Issuer (including, without limitation, any other shares of Common Stock or securities or rights convertible or exchangeable into shares of Common Stock) subject to a limitation on conversion or exercise analogous to the limitation contained herein beneficially owned by the Holder or any of its Affiliates or Attribution Parties. Except as set forth in the preceding sentence, for purposes of this Section 1(e), beneficial ownership shall be calculated in accordance with Section 13(d) of the Exchange Act and the rules and regulations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promulgated thereunder, it being acknowledged by the Holder that the Issuer is not representing to the Holder that such calculation is in compliance with Section 13(d) of the Exchange Act. To the extent that the limitation contained in this Section 1(e) applies, submission of Exercise Notice shall be deemed to be the Holder’s good faith determination of whether this Warrant is exercisable (in relation to other securities owned by the Holder together with any Affiliates and Attribution Parties) and of which portion of this Warrant is exercisable, in each case, subject to the Beneficial Ownership Limitation. For purposes of this Section 1(e), in determining the number of outstanding shares of Common Stock, a Holder may rely on the number of outstanding shares of Common Stock as reflected in (A) the Issuer’s most recent periodic or annual report filed with the SEC, as the case may be, (B) a more recent public announcement by the Issuer or (C) a more recent written notice by the Issuer or the Transfer Agent setting forth the number of shares of Common Stock outstanding (the “</w:t>
      </w:r>
      <w:r>
        <w:rPr>
          <w:rFonts w:ascii="Times New Roman" w:hAnsi="Times New Roman"/>
          <w:b/>
          <w:color w:val="000000"/>
          <w:sz w:val="24"/>
        </w:rPr>
        <w:t>Reported Outstanding Share Number</w:t>
      </w:r>
      <w:r>
        <w:rPr>
          <w:rFonts w:ascii="Times New Roman" w:hAnsi="Times New Roman"/>
          <w:color w:val="000000"/>
          <w:sz w:val="24"/>
        </w:rPr>
        <w:t>”). Upon the written request of a Holder, the Issuer shall within two (2) Trading Days confirm in writing to the Holder the number of shares of Common Stock then outstanding. In any case, the number of outstanding shares of Common Stock shall be determined after giving effect to the conversion or exercise of securities of the Issuer, including this Warrant, by the Holder or its Affiliates or Attribution Parties since the date as of which such number of outstanding shares of Common Stock was reported. The “</w:t>
      </w:r>
      <w:r>
        <w:rPr>
          <w:rFonts w:ascii="Times New Roman" w:hAnsi="Times New Roman"/>
          <w:b/>
          <w:color w:val="000000"/>
          <w:sz w:val="24"/>
        </w:rPr>
        <w:t>Beneficial Ownership Limitation</w:t>
      </w:r>
      <w:r>
        <w:rPr>
          <w:rFonts w:ascii="Times New Roman" w:hAnsi="Times New Roman"/>
          <w:color w:val="000000"/>
          <w:sz w:val="24"/>
        </w:rPr>
        <w:t>” shall be 4.99% of the number of shares of the Common Stock outstanding immediately after giving effect to the issuance of shares of Common Stock issuable upon exercise of this Warrant. If the Issuer receives an Exercise Notice from the Holder at a time when the Issuer has knowledge that the actual number of outstanding shares of Common Stock is less than the Reported Outstanding Share Number, the Issuer shall notify the Holder in writing of the number of shares of Common Stock then outstanding and, to the extent that such Exercise Notice would otherwise cause the beneficial ownership of Holder together with the Attribution Parties, as determined pursuant to this Section 1(e), to exceed the Beneficial Ownership Limitation, the Holder shall then notify the Issuer of a reduced number of Warrant Shares to be purchased pursuant to such Exercise Notice (such notice, the “</w:t>
      </w:r>
      <w:r>
        <w:rPr>
          <w:rFonts w:ascii="Times New Roman" w:hAnsi="Times New Roman"/>
          <w:b/>
          <w:color w:val="000000"/>
          <w:sz w:val="24"/>
        </w:rPr>
        <w:t>Reduction Notice</w:t>
      </w:r>
      <w:r>
        <w:rPr>
          <w:rFonts w:ascii="Times New Roman" w:hAnsi="Times New Roman"/>
          <w:color w:val="000000"/>
          <w:sz w:val="24"/>
        </w:rPr>
        <w:t>”). Such issuance shall not be deemed to have occurred until the Holder provides the Reduction Notice (or a notice that no reduction is needed) to the Issuer. In the event that the issuance of Common Stock to the Holder upon exercise of this Warrant results in the Holder, together with the Attribution Parties, collectively being deemed to beneficially own, in the aggregate, more than the Beneficial Ownership Limitation, the number of shares so issued by which the aggregate beneficial ownership of the Holder and its Attribution Parties exceeds such limitation (the “</w:t>
      </w:r>
      <w:r>
        <w:rPr>
          <w:rFonts w:ascii="Times New Roman" w:hAnsi="Times New Roman"/>
          <w:b/>
          <w:color w:val="000000"/>
          <w:sz w:val="24"/>
        </w:rPr>
        <w:t>Excess Shares</w:t>
      </w:r>
      <w:r>
        <w:rPr>
          <w:rFonts w:ascii="Times New Roman" w:hAnsi="Times New Roman"/>
          <w:color w:val="000000"/>
          <w:sz w:val="24"/>
        </w:rPr>
        <w:t xml:space="preserve">”) shall be deemed null and void and shall be cancelled </w:t>
      </w:r>
      <w:r>
        <w:rPr>
          <w:rFonts w:ascii="Times New Roman" w:hAnsi="Times New Roman"/>
          <w:i/>
          <w:color w:val="000000"/>
          <w:sz w:val="24"/>
        </w:rPr>
        <w:t>ab initio</w:t>
      </w:r>
      <w:r>
        <w:rPr>
          <w:rFonts w:ascii="Times New Roman" w:hAnsi="Times New Roman"/>
          <w:color w:val="000000"/>
          <w:sz w:val="24"/>
        </w:rPr>
        <w:t>, and the Holder and/or the Attribution Parties shall not have the power to vote or to transfer the Excess Shares. As soon as reasonably practicable after the issuance of the Excess Shares has been deemed null and void, the Issuer shall return to the Holder the exercise price paid by the Holder for the Excess Shares and the Holder shall return the Excess Shares to the Issuer. The provisions of this paragraph shall be construed and implemented in a manner otherwise than in strict conformity with the terms of this Section 1(e)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[RESERVED].</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Reservation of Shares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Required Reserve Amoun</w:t>
      </w:r>
      <w:r>
        <w:rPr>
          <w:rFonts w:ascii="Times New Roman" w:hAnsi="Times New Roman"/>
          <w:color w:val="000000"/>
          <w:sz w:val="24"/>
        </w:rPr>
        <w:t>t. So long as this Warrant remains outstanding, the Issuer shall at all times keep reserved for issuance under this Warrant a number of shares of Common Stock at least equal to 100% of the maximum number of shares of Common Stock as shall be necessary to satisfy the Issuer’s obligation to issue shares of Common Stock under this Warrant then outstanding (without regard to any limitations on exercise) (the “</w:t>
      </w:r>
      <w:r>
        <w:rPr>
          <w:rFonts w:ascii="Times New Roman" w:hAnsi="Times New Roman"/>
          <w:b/>
          <w:color w:val="000000"/>
          <w:sz w:val="24"/>
        </w:rPr>
        <w:t>Required Reserve Amount</w:t>
      </w:r>
      <w:r>
        <w:rPr>
          <w:rFonts w:ascii="Times New Roman" w:hAnsi="Times New Roman"/>
          <w:color w:val="000000"/>
          <w:sz w:val="24"/>
        </w:rPr>
        <w:t>”); provided that at no time shall the number of shares of Common Stock reserved pursuant to this Section 1(g)(i) be reduced other than proportionally in connection with any exercise of this Warrant or such other event covered by Section 2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Insufficient Authorized Shares</w:t>
      </w:r>
      <w:r>
        <w:rPr>
          <w:rFonts w:ascii="Times New Roman" w:hAnsi="Times New Roman"/>
          <w:color w:val="000000"/>
          <w:sz w:val="24"/>
        </w:rPr>
        <w:t>. If, notwithstanding Section 1(g)(i), and not in limitation thereof, at any time while this Warrant remains outstanding, the Issuer does not have a sufficient number of authorized and unreserved shares of Common Stock to satisfy its obligation to reserve the Required Reserve Amount (an “</w:t>
      </w:r>
      <w:r>
        <w:rPr>
          <w:rFonts w:ascii="Times New Roman" w:hAnsi="Times New Roman"/>
          <w:b/>
          <w:color w:val="000000"/>
          <w:sz w:val="24"/>
        </w:rPr>
        <w:t>Authorized Share Failure</w:t>
      </w:r>
      <w:r>
        <w:rPr>
          <w:rFonts w:ascii="Times New Roman" w:hAnsi="Times New Roman"/>
          <w:color w:val="000000"/>
          <w:sz w:val="24"/>
        </w:rPr>
        <w:t>”), then the Issuer shall promptly take all action reasonably necessary to increase the Issuer’s authorized shares of Common Stock to an amount sufficient to allow the Issuer to reserve the Required Reserve Amount. Without limiting the generality of the foregoing sentence, as soon as practicable after the date of the occurrence of an Authorized Share Failure, but in no event later than sixty (60) days after the occurrence of such Authorized Share Failure, the Issuer shall hold a meeting of its stockholders for the approval of an increase in the number of authorized shares of Common Stock. In connection with such meeting, the Issuer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Issuer is able to obtain the written consent of a majority of the shares of its issued and outstanding shares of Common Stock to approve the increase in the number of authorized shares of Common Stock, the Issuer may satisfy this obligation by obtaining such consent and submitting for filing with the SEC an Information Statement on Schedule 14C. In the event that the Issuer is prohibited from issuing shares of Common Stock upon an exercise of this Warrant due to the failure by the Issuer to have sufficient shares of Common Stock available out of the authorized but unissued shares of Common Stock (such unavailable number of shares of Common Stock, the “</w:t>
      </w:r>
      <w:r>
        <w:rPr>
          <w:rFonts w:ascii="Times New Roman" w:hAnsi="Times New Roman"/>
          <w:b/>
          <w:color w:val="000000"/>
          <w:sz w:val="24"/>
        </w:rPr>
        <w:t>Authorization Failure Shares</w:t>
      </w:r>
      <w:r>
        <w:rPr>
          <w:rFonts w:ascii="Times New Roman" w:hAnsi="Times New Roman"/>
          <w:color w:val="000000"/>
          <w:sz w:val="24"/>
        </w:rPr>
        <w:t>”), in lieu of delivering such Authorization Failure Shares to the Holder, the Issuer shall pay cash in exchange for the cancellation of such portion of this Warrant exercisable into such Authorization Failure Shares at a price equal to the sum of (i) the product of (x) such number of Authorization Failure Shares and (y) the fair market value (as determined by the board of directors of the Issuer, in good faith). Nothing contained in this Section 1(g)(ii) shall limit any obligations of the Issuer under any provision of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ADJUSTMENT OF EXERCISE PRICE AND NUMBER OF WARRANT SHARES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Exercise Price and number of Warrant Shares issuable upon exercise of this Warrant are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subject to adjustment from time to time as set forth in this Section 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Stock Dividends and Splits</w:t>
      </w:r>
      <w:r>
        <w:rPr>
          <w:rFonts w:ascii="Times New Roman" w:hAnsi="Times New Roman"/>
          <w:color w:val="000000"/>
          <w:sz w:val="24"/>
        </w:rPr>
        <w:t>. Without limiting any provision of Section 2 or Section 4, if the Issuer, at any time on or after the date of the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Pro Rata Distributions</w:t>
      </w:r>
      <w:r>
        <w:rPr>
          <w:rFonts w:ascii="Times New Roman" w:hAnsi="Times New Roman"/>
          <w:color w:val="000000"/>
          <w:sz w:val="24"/>
        </w:rPr>
        <w:t>. During such time after the Issuance Date as this Warrant is outstanding, if the Issuer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b/>
          <w:color w:val="000000"/>
          <w:sz w:val="24"/>
        </w:rPr>
        <w:t>Distribution</w:t>
      </w:r>
      <w:r>
        <w:rPr>
          <w:rFonts w:ascii="Times New Roman" w:hAnsi="Times New Roman"/>
          <w:color w:val="000000"/>
          <w:sz w:val="24"/>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any applicable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any applicable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any applicable Beneficial Ownership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Number of Warrant Shares</w:t>
      </w:r>
      <w:r>
        <w:rPr>
          <w:rFonts w:ascii="Times New Roman" w:hAnsi="Times New Roman"/>
          <w:color w:val="000000"/>
          <w:sz w:val="24"/>
        </w:rPr>
        <w:t xml:space="preserve">. Simultaneously with any adjustment to the Exercise Price pursuant to Section (a),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adjustment (without regard to any limitations on exercise contained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Calculations</w:t>
      </w:r>
      <w:r>
        <w:rPr>
          <w:rFonts w:ascii="Times New Roman" w:hAnsi="Times New Roman"/>
          <w:color w:val="000000"/>
          <w:sz w:val="24"/>
        </w:rPr>
        <w:t>. All calculations under this Section 2 shall be made by rounding to the nearest cent or the nearest 1/100th of a share, as applicable. The number of shares of Common Stock outstanding at any given time shall not include shares owned or held by or for the account of the Issuer, and the disposition of any such shares shall be considered an issuance or sale of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Voluntary Adjustment By Issuer</w:t>
      </w:r>
      <w:r>
        <w:rPr>
          <w:rFonts w:ascii="Times New Roman" w:hAnsi="Times New Roman"/>
          <w:color w:val="000000"/>
          <w:sz w:val="24"/>
        </w:rPr>
        <w:t>. The Issuer may at any time during the term of this Warrant, with the prior written consent of the Holder, reduce the then current Exercise Price to any amount and for any period of time deemed appropriate by the board of directors of the Issuer, subject to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PURCHASE RIGHTS; FUNDAMENTAL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Purchase Rights</w:t>
      </w:r>
      <w:r>
        <w:rPr>
          <w:rFonts w:ascii="Times New Roman" w:hAnsi="Times New Roman"/>
          <w:color w:val="000000"/>
          <w:sz w:val="24"/>
        </w:rPr>
        <w:t>. In addition to any adjustments pursuant to Section 2 above, if at any time the Issuer grants, issues or sells any Options, Convertible Securities or rights to purchase stock, warrants, securities or other property pro rata to the record holders of Common Stock (the “</w:t>
      </w:r>
      <w:r>
        <w:rPr>
          <w:rFonts w:ascii="Times New Roman" w:hAnsi="Times New Roman"/>
          <w:b/>
          <w:color w:val="000000"/>
          <w:sz w:val="24"/>
        </w:rPr>
        <w:t>Purchase Rights</w:t>
      </w:r>
      <w:r>
        <w:rPr>
          <w:rFonts w:ascii="Times New Roman" w:hAnsi="Times New Roman"/>
          <w:color w:val="000000"/>
          <w:sz w:val="24"/>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its Attribution Parties, collectively, beneficially owning in excess of the Beneficial Ownership Limitation of the Common Stock that would be issued and outstanding following receipt of such Purchase Rights (such excess amount of Common Stock, the “Excess Purchase Rights”), then the Holder shall not be entitled to participate in such Purchase Rights to the extent of the Excess Purchase Rights (and shall not have the right to acquire such Excess Purchase Rights). The Excess Purchase Rights shall be held in abeyance for the benefit of the Holder until such time or times as (1) its right to receive some or all of the Excess Purchase Rights would not result in the Holder and its Attribution Parties beneficially owning Common Stock in excess of the Beneficial Ownership Limitation and (2) the Holder so certifies in writing to the Issuer and specifies the number of shares of Common Stock it is able to receive without exceeding the Beneficial Ownership Limitation, at which time or times the Holder shall be granted that portion of the Excess Purchase Rights (and any Excess Purchase Rights granted, issued or sold on such initial Purchase Rights or on any subsequent Purchase Rights to be held similarly in abeyance) to the same extent as if there had been no such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Fundamental Transactions</w:t>
      </w:r>
      <w:r>
        <w:rPr>
          <w:rFonts w:ascii="Times New Roman" w:hAnsi="Times New Roman"/>
          <w:color w:val="000000"/>
          <w:sz w:val="24"/>
        </w:rPr>
        <w:t xml:space="preserve">. If, at any time after the Issuance Date while this Warrant is outstanding, (i) the Issuer, directly or indirectly, in one or more related transactions effects any merger or consolidation of the Issuer with or into another Person, in which the Issuer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is not the surviving entity and in which the stockholders of the Issuer immediately prior to such merger or consolidation do not own, directly or indirectly, at least 50% of the voting power of the surviving entity immediately after such merger or consolidation (excluding a merger effected solely to change the Issuer’s name), (ii) the Issuer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Issuer or another Person) is completed pursuant to which holders of Common Stock are permitted to sell, tender or exchange their shares for other securities, cash or property and has been accepted by the holders of 50% or more of the outstanding Common Stock, (iv) the Issuer,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as a result of a stock split, combination or reclassification of shares of Common Stock covered by Section 2(a)), or (v) the Issuer,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or more than 50% of the voting power of the common equity of the Issuer (each a “</w:t>
      </w:r>
      <w:r>
        <w:rPr>
          <w:rFonts w:ascii="Times New Roman" w:hAnsi="Times New Roman"/>
          <w:b/>
          <w:color w:val="000000"/>
          <w:sz w:val="24"/>
        </w:rPr>
        <w:t>Fundamental Transaction</w:t>
      </w:r>
      <w:r>
        <w:rPr>
          <w:rFonts w:ascii="Times New Roman" w:hAnsi="Times New Roman"/>
          <w:color w:val="000000"/>
          <w:sz w:val="24"/>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1(e) on the exercise of this Warrant), the number of shares of Common Stock of the successor or acquiring corporation or of the Issuer, if it is the surviving corporation, and any additional consideration (the “</w:t>
      </w:r>
      <w:r>
        <w:rPr>
          <w:rFonts w:ascii="Times New Roman" w:hAnsi="Times New Roman"/>
          <w:b/>
          <w:color w:val="000000"/>
          <w:sz w:val="24"/>
        </w:rPr>
        <w:t>Alternate Consideration</w:t>
      </w:r>
      <w:r>
        <w:rPr>
          <w:rFonts w:ascii="Times New Roman" w:hAnsi="Times New Roman"/>
          <w:color w:val="000000"/>
          <w:sz w:val="24"/>
        </w:rPr>
        <w:t>”) receivable as a result of such Fundamental Transaction by a holder of the number of shares of Common Stock for which this Warrant is exercisable immediately prior to such Fundamental Transaction (without regard to any limitation in Section 1(e) on the exercise of this Warrant) (the “</w:t>
      </w:r>
      <w:r>
        <w:rPr>
          <w:rFonts w:ascii="Times New Roman" w:hAnsi="Times New Roman"/>
          <w:b/>
          <w:color w:val="000000"/>
          <w:sz w:val="24"/>
        </w:rPr>
        <w:t>Fundamental Transaction Rights</w:t>
      </w:r>
      <w:r>
        <w:rPr>
          <w:rFonts w:ascii="Times New Roman" w:hAnsi="Times New Roman"/>
          <w:color w:val="000000"/>
          <w:sz w:val="24"/>
        </w:rPr>
        <w:t xml:space="preserve">”).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Issuer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Issuer shall cause any Successor Entity in a Fundamental Transaction in which the Issuer is not the survivor to assume in writing all of the obligations of the Issuer under this Warrant and the other Transaction Documents in accordance with the provisions of this Section 4(b) pursuant to written agreements in form and substance reasonably satisfactory to the Holder prior to such Fundamental Transaction and shall, at the option of the Holder, deliver to the Holder in exchange for this Warrant a security of the Successor Entity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“Issuer” shall refer instead to the Successor Entity), and may exercise every right and power of the Issuer and shall assume all of the obligations of the Issuer under this Warrant and the other Transaction Documents with the same effect as if such Successor Entity had been named as the Issuer herein; provided, however, that to the extent that the Holder’s right to participate in any such Fundamental Transaction Rights would result in the Holder and its Attribution Parties, collectively, beneficially owning in excess of the Beneficial Ownership Limitation of the Common Stock that would be issued and outstanding following receipt of such Fundamental Transaction Rights (such excess amount of Common Stock, the “</w:t>
      </w:r>
      <w:r>
        <w:rPr>
          <w:rFonts w:ascii="Times New Roman" w:hAnsi="Times New Roman"/>
          <w:b/>
          <w:color w:val="000000"/>
          <w:sz w:val="24"/>
        </w:rPr>
        <w:t>Excess Fundamental Transaction Rights</w:t>
      </w:r>
      <w:r>
        <w:rPr>
          <w:rFonts w:ascii="Times New Roman" w:hAnsi="Times New Roman"/>
          <w:color w:val="000000"/>
          <w:sz w:val="24"/>
        </w:rPr>
        <w:t xml:space="preserve">”), then the Holder shall not be entitled to participate in such Fundamental Transaction Rights to the extent of the Excess Fundamental Transaction Rights (and shall not have the right to acquire such Excess Fundamental Transaction Rights). The Excess Fundamental Transaction Rights shall be held in abeyance for the benefit of the Holder until such time or times as (1) its right to receive some or all of the Excess Fundamental Transaction Rights would not result in the Holder and its Attribution Parties beneficially owning Common Stock in excess of the Beneficial Ownership Limitation and (2) the Holder so certifies in writing to the Issuer and specifies the number of shares of Common Stock it is able to receive without exceeding the Beneficial Ownership Limitation, at which time or times the Holder shall be granted that portion of the Excess Fundamental Transaction Rights (and any Excess Fundamental Transaction Rights granted, issued or sold on such initial Fundamental Transaction Rights or on any subsequent Fundamental Transaction Rights to be held similarly in abeyance) to the same extent as if there had been no such limitation.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Application</w:t>
      </w:r>
      <w:r>
        <w:rPr>
          <w:rFonts w:ascii="Times New Roman" w:hAnsi="Times New Roman"/>
          <w:color w:val="000000"/>
          <w:sz w:val="24"/>
        </w:rPr>
        <w:t>. The provisions of this Section 4 shall apply similarly and equally to successive Fundamental Transactions and shall be applied as if this Warrant (and any such subsequent warrants) were fully exercisable and without regard to any limitations on the exercise of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NONCIRCUMVENTION</w:t>
      </w:r>
      <w:r>
        <w:rPr>
          <w:rFonts w:ascii="Times New Roman" w:hAnsi="Times New Roman"/>
          <w:color w:val="000000"/>
          <w:sz w:val="24"/>
        </w:rPr>
        <w:t xml:space="preserve">. The Issuer hereby covenants and agrees that the Issuer will not, by amendment of its certificate of incorporation (as in effect on the Issuance Date) or bylaws (as in effect on the Issuance Date)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generality of the foregoing, the Issuer (a) shall not increase the par value of any shares of Common Stock receivable upon the exercise of this Warrant above the Exercise Price then in effect, and (b) shall take all such actions as may be necessary or appropriate in order that the Issuer may validly and legally issue fully paid and non-assessable shares of Common Stock upon the exercise of this Warrant.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WARRANT HOLDER NOT DEEMED A STOCKHOLDER</w:t>
      </w:r>
      <w:r>
        <w:rPr>
          <w:rFonts w:ascii="Times New Roman" w:hAnsi="Times New Roman"/>
          <w:color w:val="000000"/>
          <w:sz w:val="24"/>
        </w:rPr>
        <w:t xml:space="preserve">. Except as otherwise specifically provided herein, the Holder, solely in its capacity as a holder of this Warrant, shall not be entitled to vote or receive dividends or be deemed the holder of share capital of the Issuer for any purpose, nor shall anything contained in this Warrant be construed to confer upon the Holder, solely in its capacity as the Holder of this Warrant, any of the rights of a stockholder of the Issuer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Issuer, whether such liabilities are asserted by the Issuer or by creditors of the Issuer.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REISSUANCE OF WARRANTS.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Transfer of Warrant</w:t>
      </w:r>
      <w:r>
        <w:rPr>
          <w:rFonts w:ascii="Times New Roman" w:hAnsi="Times New Roman"/>
          <w:color w:val="000000"/>
          <w:sz w:val="24"/>
        </w:rPr>
        <w:t>. If this Warrant is to be transferred, the Holder shall surrender this Warrant to the Issuer, whereupon the Issuer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Lost, Stolen or Mutilated Warrant</w:t>
      </w:r>
      <w:r>
        <w:rPr>
          <w:rFonts w:ascii="Times New Roman" w:hAnsi="Times New Roman"/>
          <w:color w:val="000000"/>
          <w:sz w:val="24"/>
        </w:rPr>
        <w:t>. Upon receipt by the Issuer of evidence reasonably satisfactory to the Issuer of the loss, theft, destruction or mutilation of this Warrant (as to which a written certification and the indemnification contemplated below shall suffice as such evidence), and, in the case of loss, theft or destruction, of any indemnification undertaking by the Holder to the Issuer in customary and reasonable form and, in the case of mutilation, upon surrender and cancellation of this Warrant, the Issuer shall execute and deliver to the Holder a new Warrant (in accordance with Section 7(d)) representing the right to purchase the Warrant Shares then underlying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Exchangeable for Multiple Warrants</w:t>
      </w:r>
      <w:r>
        <w:rPr>
          <w:rFonts w:ascii="Times New Roman" w:hAnsi="Times New Roman"/>
          <w:color w:val="000000"/>
          <w:sz w:val="24"/>
        </w:rPr>
        <w:t>. This Warrant is exchangeable, upon the surrender hereof by the Holder at the principal office of the Issuer,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Issuance of New Warrants</w:t>
      </w:r>
      <w:r>
        <w:rPr>
          <w:rFonts w:ascii="Times New Roman" w:hAnsi="Times New Roman"/>
          <w:color w:val="000000"/>
          <w:sz w:val="24"/>
        </w:rPr>
        <w:t>. Whenever the Issuer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NOTICES</w:t>
      </w:r>
      <w:r>
        <w:rPr>
          <w:rFonts w:ascii="Times New Roman" w:hAnsi="Times New Roman"/>
          <w:color w:val="000000"/>
          <w:sz w:val="24"/>
        </w:rPr>
        <w:t>. Whenever notice is required to be given under this Warrant, unless otherwise provided herein, such notice shall be given in accordance with Article X of the Purchase Agreement. The Issuer shall provide the Holder with prompt written notice of all actions taken pursuant to this Warrant (other than the issuance of shares of Common Stock upon exercise in accordance with the terms hereof), including in reasonable detail a description of such action and the reason therefor. Without limiting the generality of the foregoing, the Issuer will give written notice to the Holder (i) promptly upon each adjustment of the Exercise Price and the number of Warrant Shares, setting forth in reasonable detail, and certifying, the calculation of such adjustment(s), (ii) at least ten (10) days prior to the date on which the Issuer closes its books or takes a record (A) with respect to any dividend or distribution upon the shares of Common Stock, or (B) for determining rights to vote with respect to any Fundamental Transaction, dissolution or liquidation, provided in each case that such information shall be made known to the public prior to or in conjunction with such notice being provided to the Holder, and (iii) at least ten (10) Business Days prior to the consummation of any Fundamental Transaction. It is expressly understood and agreed that the time of execution specified by the Holder in each Exercise Notice shall be definitive and may not be disputed or challenged by the Issuer, except in the case of manifest error.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ABSENCE OF TRADING AND DISCLOSURE RESTRICTIONS</w:t>
      </w:r>
      <w:r>
        <w:rPr>
          <w:rFonts w:ascii="Times New Roman" w:hAnsi="Times New Roman"/>
          <w:color w:val="000000"/>
          <w:sz w:val="24"/>
        </w:rPr>
        <w:t>. The Issuer acknowledges and agrees that the Holder is not a fiduciary or agent of the Issuer. The Issuer shall not, and shall cause its officers, directors, employees and agents not to, provide the Holder with any material non-public information regarding the Issuer without the Holder’s prior written consent. Nothing in this Section 10 shall relieve the Holder of its obligations under applicable securities laws, including with respect to trading while in possession of material non-public information, or of any confidentiality obligations under the Purchase Agreement or any other written agreement with the Issuer.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AMENDMENT AND WAIVER</w:t>
      </w:r>
      <w:r>
        <w:rPr>
          <w:rFonts w:ascii="Times New Roman" w:hAnsi="Times New Roman"/>
          <w:color w:val="000000"/>
          <w:sz w:val="24"/>
        </w:rPr>
        <w:t>. This Warrant may be modified or amended, or the provisions hereof waived with the written consent of the Issuer and the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SEVERABILITY</w:t>
      </w:r>
      <w:r>
        <w:rPr>
          <w:rFonts w:ascii="Times New Roman" w:hAnsi="Times New Roman"/>
          <w:color w:val="000000"/>
          <w:sz w:val="24"/>
        </w:rPr>
        <w:t xml:space="preserve">.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GOVERNING LAW</w:t>
      </w:r>
      <w:r>
        <w:rPr>
          <w:rFonts w:ascii="Times New Roman" w:hAnsi="Times New Roman"/>
          <w:color w:val="000000"/>
          <w:sz w:val="24"/>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provision or rule (whether of the State of New York or any other jurisdictions) that would cause the application of the laws of any jurisdictions other than the State of New York. Each of the Issuer and the Holder hereby irrevocably waives personal service of process and consents to process being served in any such suit, action or proceeding by mailing a copy thereof to such party at the address set forth in Article X of the Purchase Agreement and agrees that such service shall constitute good and sufficient service of process and notice thereof. Each of the Issuer and the Holder hereby irrevocably submits to the exclusive jurisdiction of the Supreme Court of New York, sitting in New York County, New York, and the United States District Court for the Southern District of New York, sitting in New York, New York, ,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either party from enforcing a final judgment or other court ruling obtained in accordance with this Section 13 in any other jurisdiction. </w:t>
      </w:r>
      <w:r>
        <w:rPr>
          <w:rFonts w:ascii="Times New Roman" w:hAnsi="Times New Roman"/>
          <w:b/>
          <w:color w:val="000000"/>
          <w:sz w:val="24"/>
        </w:rPr>
        <w:t>EACH OF</w:t>
      </w:r>
      <w:r>
        <w:rPr>
          <w:rFonts w:ascii="Times New Roman" w:hAnsi="Times New Roman"/>
          <w:color w:val="000000"/>
          <w:sz w:val="24"/>
        </w:rPr>
        <w:t xml:space="preserve"> </w:t>
      </w:r>
      <w:r>
        <w:rPr>
          <w:rFonts w:ascii="Times New Roman" w:hAnsi="Times New Roman"/>
          <w:b/>
          <w:color w:val="000000"/>
          <w:sz w:val="24"/>
        </w:rPr>
        <w:t>THE ISSUER AND THE HOLDER HEREBY IRREVOCABLY WAIVES ANY RIGHT IT MAY HAVE TO, AND AGREES NOT TO REQUEST, A JURY TRIAL FOR THE ADJUDICATION OF ANY DISPUTE HEREUNDER OR IN CONNECTION WITH OR ARISING OUT OF THIS WARRANT OR ANY TRANSACTION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CONSTRUCTION; HEADINGS</w:t>
      </w:r>
      <w:r>
        <w:rPr>
          <w:rFonts w:ascii="Times New Roman" w:hAnsi="Times New Roman"/>
          <w:color w:val="000000"/>
          <w:sz w:val="24"/>
        </w:rPr>
        <w:t>. This Warrant shall be deemed to be jointly drafted by the Issuer and the Holder and shall not be construed against any Person as the drafter hereof. The headings of this Warrant are for convenience of reference and shall not form part of, or affect the interpretation of,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REMEDIES, CHARACTERIZATION, OTHER OBLIGATIONS, BREACHES AND INJUNCTIVE RELIEF</w:t>
      </w:r>
      <w:r>
        <w:rPr>
          <w:rFonts w:ascii="Times New Roman" w:hAnsi="Times New Roman"/>
          <w:color w:val="000000"/>
          <w:sz w:val="24"/>
        </w:rPr>
        <w:t xml:space="preserve">. The remedies provided in this Warrant shall be cumulative and in addition to all other remedies available under this Warrant and the other Transaction Documents, at law or in equity (including a decree of specific performance and/or other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injunctive relief); provided that in no event shall either party be liable to the other for any consequential, special, incidental, indirect or punitive damages. The Issuer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Issuer (or the performance thereof). Each party acknowledges that a breach by it of its obligations hereunder may cause irreparable harm to the other party and that the remedy at law for any such breach may be inadequate. Each party therefore agrees that, in the event of any such breach or threatened breach, the other party shall be entitled, in addition to all other available remedies, to seek specific performance and/or temporary, preliminary and permanent injunctive or other equitable relief from any court of competent jurisdiction in any such case without the necessity of proving actual damages and without posting a bond or other security. The Issuer shall provide all information and documentation to the Holder that is reasonably requested by the Holder to enable the Holder to confirm the Issuer’s compliance with the terms and conditions of this Warrant. The issuance of shares and certificates for shares as contemplated hereby upon the exercise of this Warrant shall be made without charge to the Holder or such shares for any issuance tax or other costs in respect thereof, provided that the Issuer shall not be required to pay any tax which may be payable in respect of any transfer involved in the issuance and delivery of any certificate in a name other than the Holder or its agent on its behalf.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PAYMENT OF COLLECTION, ENFORCEMENT AND OTHER COSTS</w:t>
      </w:r>
      <w:r>
        <w:rPr>
          <w:rFonts w:ascii="Times New Roman" w:hAnsi="Times New Roman"/>
          <w:color w:val="000000"/>
          <w:sz w:val="24"/>
        </w:rPr>
        <w:t>. In any action or proceeding to enforce the provisions of this Warrant, the prevailing party, as determined by a court of competent jurisdiction in a final, non-appealable judgment, shall be entitled to recover from the non-prevailing party its reasonable and documented out-of-pocket costs incurred in connection therewith, including, without limitation, reasonable attorneys’ fees and expenses.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TRANSFER</w:t>
      </w:r>
      <w:r>
        <w:rPr>
          <w:rFonts w:ascii="Times New Roman" w:hAnsi="Times New Roman"/>
          <w:color w:val="000000"/>
          <w:sz w:val="24"/>
        </w:rPr>
        <w:t>. This Warrant and all rights hereunder are transferable without the consent of the Issuer, except as may otherwise be required by applicable securities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CERTAIN DEFINITIONS</w:t>
      </w:r>
      <w:r>
        <w:rPr>
          <w:rFonts w:ascii="Times New Roman" w:hAnsi="Times New Roman"/>
          <w:color w:val="000000"/>
          <w:sz w:val="24"/>
        </w:rPr>
        <w:t>. For purposes of this Warrant, the following terms shall have the following meanings: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color w:val="000000"/>
        </w:rPr>
        <w:t>“</w:t>
      </w:r>
      <w:r>
        <w:rPr>
          <w:rFonts w:ascii="Times New Roman" w:hAnsi="Times New Roman"/>
          <w:b/>
          <w:color w:val="000000"/>
          <w:sz w:val="24"/>
        </w:rPr>
        <w:t>Affiliate</w:t>
      </w:r>
      <w:r>
        <w:rPr>
          <w:rFonts w:ascii="Times New Roman" w:hAnsi="Times New Roman"/>
          <w:color w:val="000000"/>
          <w:sz w:val="24"/>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b/>
          <w:color w:val="000000"/>
          <w:sz w:val="24"/>
        </w:rPr>
        <w:t>Attribution Parties</w:t>
      </w:r>
      <w:r>
        <w:rPr>
          <w:rFonts w:ascii="Times New Roman" w:hAnsi="Times New Roman"/>
          <w:color w:val="000000"/>
          <w:sz w:val="24"/>
        </w:rPr>
        <w:t xml:space="preserve">”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be acting as a Group together with the Holder or any of the foregoing and (iv) any other Persons whose beneficial ownership of the Issuer’s Common Stock would or could be aggregated with the Holder’s and the other Attribution Parties for purposes of Section 13(d) of the Exchange Act.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b/>
          <w:color w:val="000000"/>
          <w:sz w:val="24"/>
        </w:rPr>
        <w:t>Bloomberg</w:t>
      </w:r>
      <w:r>
        <w:rPr>
          <w:rFonts w:ascii="Times New Roman" w:hAnsi="Times New Roman"/>
          <w:color w:val="000000"/>
          <w:sz w:val="24"/>
        </w:rPr>
        <w:t>” means Bloomberg, L.P.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color w:val="000000"/>
        </w:rPr>
        <w:t>“</w:t>
      </w:r>
      <w:r>
        <w:rPr>
          <w:rFonts w:ascii="Times New Roman" w:hAnsi="Times New Roman"/>
          <w:b/>
          <w:color w:val="000000"/>
          <w:sz w:val="24"/>
        </w:rPr>
        <w:t>Common Stock</w:t>
      </w:r>
      <w:r>
        <w:rPr>
          <w:rFonts w:ascii="Times New Roman" w:hAnsi="Times New Roman"/>
          <w:color w:val="000000"/>
          <w:sz w:val="24"/>
        </w:rPr>
        <w:t>” means (i) shares of common stock, $0.0001 par value per share, of the Issuer, and (ii) any capital stock into which such common stock shall have been changed or any share capital resulting from a reclassification of such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color w:val="000000"/>
        </w:rPr>
        <w:t>“</w:t>
      </w:r>
      <w:r>
        <w:rPr>
          <w:rFonts w:ascii="Times New Roman" w:hAnsi="Times New Roman"/>
          <w:b/>
          <w:color w:val="000000"/>
          <w:sz w:val="24"/>
        </w:rPr>
        <w:t>Convertible Securities</w:t>
      </w:r>
      <w:r>
        <w:rPr>
          <w:rFonts w:ascii="Times New Roman" w:hAnsi="Times New Roman"/>
          <w:color w:val="000000"/>
          <w:sz w:val="24"/>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color w:val="000000"/>
        </w:rPr>
        <w:t>“</w:t>
      </w:r>
      <w:r>
        <w:rPr>
          <w:rFonts w:ascii="Times New Roman" w:hAnsi="Times New Roman"/>
          <w:b/>
          <w:color w:val="000000"/>
          <w:sz w:val="24"/>
        </w:rPr>
        <w:t>Group</w:t>
      </w:r>
      <w:r>
        <w:rPr>
          <w:rFonts w:ascii="Times New Roman" w:hAnsi="Times New Roman"/>
          <w:color w:val="000000"/>
          <w:sz w:val="24"/>
        </w:rPr>
        <w:t>” means a “group” as that term is used in Section 13(d) of the Exchange Act and as defined in Rule 13d-5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color w:val="000000"/>
        </w:rPr>
        <w:t>“</w:t>
      </w:r>
      <w:r>
        <w:rPr>
          <w:rFonts w:ascii="Times New Roman" w:hAnsi="Times New Roman"/>
          <w:b/>
          <w:color w:val="000000"/>
          <w:sz w:val="24"/>
        </w:rPr>
        <w:t>Options</w:t>
      </w:r>
      <w:r>
        <w:rPr>
          <w:rFonts w:ascii="Times New Roman" w:hAnsi="Times New Roman"/>
          <w:color w:val="000000"/>
          <w:sz w:val="24"/>
        </w:rPr>
        <w:t>” means any rights, warrants or options to subscribe for or purchase shares of Common Stock or Convertible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color w:val="000000"/>
        </w:rPr>
        <w:t>“</w:t>
      </w:r>
      <w:r>
        <w:rPr>
          <w:rFonts w:ascii="Times New Roman" w:hAnsi="Times New Roman"/>
          <w:b/>
          <w:color w:val="000000"/>
          <w:sz w:val="24"/>
        </w:rPr>
        <w:t>Parent Entity</w:t>
      </w:r>
      <w:r>
        <w:rPr>
          <w:rFonts w:ascii="Times New Roman" w:hAnsi="Times New Roman"/>
          <w:color w:val="000000"/>
          <w:sz w:val="24"/>
        </w:rPr>
        <w:t>” of a Person means an entity that, directly or indirectly, controls the applicable Person and whose common stock or equivalent equity security is quoted or listed on a Trading Market, or, if there is more than one such Person or Parent Entity, the Person or Parent Entity with the largest public market capitalization as of the date of consummation of the Fundamental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color w:val="000000"/>
        </w:rPr>
        <w:t>“</w:t>
      </w:r>
      <w:r>
        <w:rPr>
          <w:rFonts w:ascii="Times New Roman" w:hAnsi="Times New Roman"/>
          <w:b/>
          <w:color w:val="000000"/>
          <w:sz w:val="24"/>
        </w:rPr>
        <w:t>Person</w:t>
      </w:r>
      <w:r>
        <w:rPr>
          <w:rFonts w:ascii="Times New Roman" w:hAnsi="Times New Roman"/>
          <w:color w:val="000000"/>
          <w:sz w:val="24"/>
        </w:rPr>
        <w:t>” means an individual, a limited liability company, a partnership, a joint venture, a corporation, a trust, an unincorporated organization, any other entity or a government or any department or agency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color w:val="000000"/>
        </w:rPr>
        <w:t>“</w:t>
      </w:r>
      <w:r>
        <w:rPr>
          <w:rFonts w:ascii="Times New Roman" w:hAnsi="Times New Roman"/>
          <w:b/>
          <w:color w:val="000000"/>
          <w:sz w:val="24"/>
        </w:rPr>
        <w:t>Successor Entity</w:t>
      </w:r>
      <w:r>
        <w:rPr>
          <w:rFonts w:ascii="Times New Roman" w:hAnsi="Times New Roman"/>
          <w:color w:val="000000"/>
          <w:sz w:val="24"/>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color w:val="000000"/>
        </w:rPr>
        <w:t>“</w:t>
      </w:r>
      <w:r>
        <w:rPr>
          <w:rFonts w:ascii="Times New Roman" w:hAnsi="Times New Roman"/>
          <w:b/>
          <w:color w:val="000000"/>
          <w:sz w:val="24"/>
        </w:rPr>
        <w:t>Trading Day</w:t>
      </w:r>
      <w:r>
        <w:rPr>
          <w:rFonts w:ascii="Times New Roman" w:hAnsi="Times New Roman"/>
          <w:color w:val="000000"/>
          <w:sz w:val="24"/>
        </w:rPr>
        <w:t>” means a day on which the Trading Market is open for trading.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color w:val="000000"/>
        </w:rPr>
        <w:t>“</w:t>
      </w:r>
      <w:r>
        <w:rPr>
          <w:rFonts w:ascii="Times New Roman" w:hAnsi="Times New Roman"/>
          <w:b/>
          <w:color w:val="000000"/>
          <w:sz w:val="24"/>
        </w:rPr>
        <w:t>Trading Market</w:t>
      </w:r>
      <w:r>
        <w:rPr>
          <w:rFonts w:ascii="Times New Roman" w:hAnsi="Times New Roman"/>
          <w:color w:val="000000"/>
          <w:sz w:val="24"/>
        </w:rPr>
        <w:t>” means OTCQB; provided however, that in the event the Common Stock is ever listed or traded on the Nasdaq Capital Market, Nasdaq Global Select Market, the Nasdaq Global Market, the New York Stock Exchange, or the NYSE American, then the “Trading Market” shall mean such other market or exchange on which the Common Stock is then listed or traded to the extent such other market or exchange is the principal trading market or exchange for the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color w:val="000000"/>
        </w:rPr>
        <w:t>“</w:t>
      </w:r>
      <w:r>
        <w:rPr>
          <w:rFonts w:ascii="Times New Roman" w:hAnsi="Times New Roman"/>
          <w:b/>
          <w:color w:val="000000"/>
          <w:sz w:val="24"/>
        </w:rPr>
        <w:t>Transaction Documents</w:t>
      </w:r>
      <w:r>
        <w:rPr>
          <w:rFonts w:ascii="Times New Roman" w:hAnsi="Times New Roman"/>
          <w:color w:val="000000"/>
          <w:sz w:val="24"/>
        </w:rPr>
        <w:t>” means the Purchase Agreement, all exhibits and schedule thereto and this Warrant.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center"/>
        <w:rPr>
          <w:rFonts w:ascii="Times New Roman" w:hAnsi="Times New Roman"/>
          <w:sz w:val="24"/>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spacing w:before="60" w:after="283"/>
        <w:jc w:val="left"/>
        <w:rPr>
          <w:rFonts w:ascii="Times New Roman" w:hAnsi="Times New Roman"/>
          <w:sz w:val="24"/>
        </w:rPr>
      </w:pPr>
      <w:r>
        <w:rPr>
          <w:rFonts w:ascii="Times New Roman" w:hAnsi="Times New Roman"/>
          <w:b/>
          <w:color w:val="000000"/>
          <w:sz w:val="24"/>
        </w:rPr>
        <w:t xml:space="preserve">IN WITNESS WHEREOF, </w:t>
      </w:r>
      <w:r>
        <w:rPr>
          <w:rFonts w:ascii="Times New Roman" w:hAnsi="Times New Roman"/>
          <w:color w:val="000000"/>
          <w:sz w:val="24"/>
        </w:rPr>
        <w:t>the Issuer has caused this Warrant to purchase Common Stock to be duly executed as of the Issuance Date set out above.</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BIOATLA, INC.</w:t>
      </w:r>
    </w:p>
    <w:p>
      <w:pPr>
        <w:pStyle w:val="TextBody"/>
        <w:bidi w:val="0"/>
        <w:jc w:val="left"/>
        <w:rPr/>
      </w:pPr>
      <w:r>
        <w:rPr/>
        <w:t> </w:t>
      </w:r>
    </w:p>
    <w:p>
      <w:pPr>
        <w:pStyle w:val="TextBody"/>
        <w:bidi w:val="0"/>
        <w:jc w:val="left"/>
        <w:rPr/>
      </w:pPr>
      <w:r>
        <w:rPr/>
        <w:t> </w:t>
      </w:r>
    </w:p>
    <w:p>
      <w:pPr>
        <w:pStyle w:val="TextBody"/>
        <w:bidi w:val="0"/>
        <w:spacing w:before="132"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By:______________________________ </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jc w:val="left"/>
        <w:rPr>
          <w:rFonts w:ascii="Times New Roman" w:hAnsi="Times New Roman"/>
          <w:color w:val="000000"/>
          <w:sz w:val="24"/>
        </w:rPr>
      </w:pPr>
      <w:r>
        <w:rPr>
          <w:rFonts w:ascii="Times New Roman" w:hAnsi="Times New Roman"/>
          <w:color w:val="000000"/>
          <w:sz w:val="24"/>
        </w:rPr>
        <w:t>Title:</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Acknowledged and accepted by:</w:t>
      </w:r>
    </w:p>
    <w:p>
      <w:pPr>
        <w:pStyle w:val="TextBody"/>
        <w:bidi w:val="0"/>
        <w:jc w:val="left"/>
        <w:rPr/>
      </w:pPr>
      <w:r>
        <w:rPr/>
        <w:t> </w:t>
      </w:r>
    </w:p>
    <w:tbl>
      <w:tblPr>
        <w:tblW w:w="4606" w:type="dxa"/>
        <w:jc w:val="left"/>
        <w:tblInd w:w="0" w:type="dxa"/>
        <w:tblLayout w:type="fixed"/>
        <w:tblCellMar>
          <w:top w:w="28" w:type="dxa"/>
          <w:left w:w="28" w:type="dxa"/>
          <w:bottom w:w="28" w:type="dxa"/>
          <w:right w:w="28" w:type="dxa"/>
        </w:tblCellMar>
      </w:tblPr>
      <w:tblGrid>
        <w:gridCol w:w="4606"/>
      </w:tblGrid>
      <w:tr>
        <w:trPr/>
        <w:tc>
          <w:tcPr>
            <w:tcW w:w="4606" w:type="dxa"/>
            <w:tcBorders/>
            <w:vAlign w:val="center"/>
          </w:tcPr>
          <w:p>
            <w:pPr>
              <w:pStyle w:val="TableContents"/>
              <w:bidi w:val="0"/>
              <w:spacing w:before="0" w:after="283"/>
              <w:jc w:val="left"/>
              <w:rPr>
                <w:sz w:val="4"/>
                <w:szCs w:val="4"/>
              </w:rPr>
            </w:pPr>
            <w:r>
              <w:rPr>
                <w:sz w:val="4"/>
                <w:szCs w:val="4"/>
              </w:rPr>
            </w:r>
          </w:p>
        </w:tc>
      </w:tr>
      <w:tr>
        <w:trPr/>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24"/>
              </w:rPr>
            </w:pPr>
            <w:r>
              <w:rPr>
                <w:rFonts w:ascii="Times New Roman" w:hAnsi="Times New Roman"/>
                <w:b/>
                <w:caps/>
                <w:color w:val="000000"/>
                <w:sz w:val="24"/>
              </w:rPr>
              <w:t>YA II PN, Ltd.</w:t>
            </w:r>
          </w:p>
        </w:tc>
      </w:tr>
      <w:tr>
        <w:trPr/>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Yorkville Advisors Global, LP</w:t>
            </w:r>
          </w:p>
        </w:tc>
      </w:tr>
      <w:tr>
        <w:trPr/>
        <w:tc>
          <w:tcPr>
            <w:tcW w:w="460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Its: Investment Manager</w:t>
            </w:r>
          </w:p>
        </w:tc>
      </w:tr>
      <w:tr>
        <w:trPr/>
        <w:tc>
          <w:tcPr>
            <w:tcW w:w="4606" w:type="dxa"/>
            <w:tcBorders/>
            <w:tcMar>
              <w:top w:w="0" w:type="dxa"/>
              <w:left w:w="0" w:type="dxa"/>
              <w:bottom w:w="0" w:type="dxa"/>
              <w:right w:w="0" w:type="dxa"/>
            </w:tcMar>
            <w:vAlign w:val="center"/>
          </w:tcPr>
          <w:p>
            <w:pPr>
              <w:pStyle w:val="TableContents"/>
              <w:bidi w:val="0"/>
              <w:ind w:left="0" w:right="0" w:firstLine="720"/>
              <w:jc w:val="left"/>
              <w:rPr/>
            </w:pPr>
            <w:r>
              <w:rPr/>
              <w:t> </w:t>
            </w:r>
          </w:p>
          <w:p>
            <w:pPr>
              <w:pStyle w:val="TableContents"/>
              <w:bidi w:val="0"/>
              <w:ind w:left="0" w:right="0" w:firstLine="720"/>
              <w:jc w:val="left"/>
              <w:rPr>
                <w:rFonts w:ascii="Times New Roman" w:hAnsi="Times New Roman"/>
                <w:color w:val="000000"/>
                <w:sz w:val="24"/>
              </w:rPr>
            </w:pPr>
            <w:r>
              <w:rPr>
                <w:rFonts w:ascii="Times New Roman" w:hAnsi="Times New Roman"/>
                <w:color w:val="000000"/>
                <w:sz w:val="24"/>
              </w:rPr>
              <w:t>By: Yorkville Advisors Global II, LLC</w:t>
            </w:r>
          </w:p>
          <w:p>
            <w:pPr>
              <w:pStyle w:val="TableContents"/>
              <w:bidi w:val="0"/>
              <w:ind w:left="0" w:right="0" w:firstLine="720"/>
              <w:jc w:val="left"/>
              <w:rPr>
                <w:rFonts w:ascii="Times New Roman" w:hAnsi="Times New Roman"/>
                <w:color w:val="000000"/>
                <w:sz w:val="24"/>
              </w:rPr>
            </w:pPr>
            <w:r>
              <w:rPr>
                <w:rFonts w:ascii="Times New Roman" w:hAnsi="Times New Roman"/>
                <w:color w:val="000000"/>
                <w:sz w:val="24"/>
              </w:rPr>
              <w:t>Its: General Partner</w:t>
            </w:r>
          </w:p>
          <w:p>
            <w:pPr>
              <w:pStyle w:val="TableContents"/>
              <w:bidi w:val="0"/>
              <w:spacing w:before="0" w:after="283"/>
              <w:ind w:left="0" w:right="0" w:firstLine="720"/>
              <w:jc w:val="left"/>
              <w:rPr/>
            </w:pPr>
            <w:r>
              <w:rPr/>
              <w:t> </w:t>
            </w:r>
          </w:p>
        </w:tc>
      </w:tr>
      <w:tr>
        <w:trPr/>
        <w:tc>
          <w:tcPr>
            <w:tcW w:w="46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By: ___________________________</w:t>
            </w:r>
          </w:p>
        </w:tc>
      </w:tr>
      <w:tr>
        <w:trPr/>
        <w:tc>
          <w:tcPr>
            <w:tcW w:w="46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Name: Matthew Beckman</w:t>
            </w:r>
          </w:p>
        </w:tc>
      </w:tr>
      <w:tr>
        <w:trPr/>
        <w:tc>
          <w:tcPr>
            <w:tcW w:w="46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Title: Manager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EXERCISE NOTICE</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TO BE EXECUTED BY THE REGISTERED HOLDER TO EXERCISE THIS</w:t>
      </w:r>
    </w:p>
    <w:p>
      <w:pPr>
        <w:pStyle w:val="TextBody"/>
        <w:bidi w:val="0"/>
        <w:jc w:val="center"/>
        <w:rPr>
          <w:rFonts w:ascii="Times New Roman" w:hAnsi="Times New Roman"/>
          <w:b/>
          <w:color w:val="000000"/>
          <w:sz w:val="24"/>
        </w:rPr>
      </w:pPr>
      <w:r>
        <w:rPr>
          <w:rFonts w:ascii="Times New Roman" w:hAnsi="Times New Roman"/>
          <w:b/>
          <w:color w:val="000000"/>
          <w:sz w:val="24"/>
        </w:rPr>
        <w:t>WARRANT TO PURCHASE COMMON STOCK</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BIOATLA, INC.</w:t>
      </w:r>
    </w:p>
    <w:p>
      <w:pPr>
        <w:pStyle w:val="TextBody"/>
        <w:bidi w:val="0"/>
        <w:spacing w:before="240" w:after="283"/>
        <w:jc w:val="both"/>
        <w:rPr>
          <w:rFonts w:ascii="Times New Roman" w:hAnsi="Times New Roman"/>
          <w:sz w:val="24"/>
        </w:rPr>
      </w:pPr>
      <w:r>
        <w:rPr>
          <w:rFonts w:ascii="Times New Roman" w:hAnsi="Times New Roman"/>
          <w:color w:val="000000"/>
          <w:sz w:val="24"/>
        </w:rPr>
        <w:t>The undersigned holder hereby elects to exercise the Warrant to purchase Common Stock No. [] (the “</w:t>
      </w:r>
      <w:r>
        <w:rPr>
          <w:rFonts w:ascii="Times New Roman" w:hAnsi="Times New Roman"/>
          <w:b/>
          <w:color w:val="000000"/>
          <w:sz w:val="24"/>
        </w:rPr>
        <w:t>Warrant</w:t>
      </w:r>
      <w:r>
        <w:rPr>
          <w:rFonts w:ascii="Times New Roman" w:hAnsi="Times New Roman"/>
          <w:color w:val="000000"/>
          <w:sz w:val="24"/>
        </w:rPr>
        <w:t>”) of BioAtla, Inc., a Delaware corporation as specified below. Capitalized terms used herein and not otherwise defined shall have the respective meanings set forth in the Warrant.</w:t>
      </w:r>
    </w:p>
    <w:p>
      <w:pPr>
        <w:pStyle w:val="TextBody"/>
        <w:bidi w:val="0"/>
        <w:spacing w:before="240" w:after="283"/>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sz w:val="24"/>
        </w:rPr>
      </w:pPr>
      <w:r>
        <w:rPr>
          <w:rFonts w:ascii="Times New Roman" w:hAnsi="Times New Roman"/>
          <w:color w:val="000000"/>
          <w:sz w:val="24"/>
          <w:u w:val="single"/>
        </w:rPr>
        <w:t>Form of Exercise Price</w:t>
      </w:r>
      <w:r>
        <w:rPr>
          <w:rFonts w:ascii="Times New Roman" w:hAnsi="Times New Roman"/>
          <w:color w:val="000000"/>
          <w:sz w:val="24"/>
        </w:rPr>
        <w:t>. The Holder intends that payment of the Aggregate Exercise Price shall be made as:</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a “Cash Exercise” with respect to Warrant Shares; and/or</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a “Cashless Exercise” with respect to Warrant Shares.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Payment of Exercise Price. In the event that the Holder has elected a Cash Exercise with respect to some or all of the Warrant Shares to be issued pursuant hereto, the Holder shall pay the Aggregate Exercise Price in the sum of $__________ to BioAtla, Inc. (the “Issuer”) in accordance with the terms of the Warrant.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Delivery of Warrant Shares. The Issuer shall deliver to Holder, or its designee or agent as specified below, ________________ shares of Common Stock in accordance with the terms of the Warrant. Delivery shall be made to Holder, or for its benefit, as follows: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Check here if requesting delivery as a certificate to the following name and to the following address:</w:t>
      </w:r>
    </w:p>
    <w:p>
      <w:pPr>
        <w:pStyle w:val="TextBody"/>
        <w:bidi w:val="0"/>
        <w:spacing w:before="204" w:after="283"/>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Issue to: </w:t>
      </w:r>
    </w:p>
    <w:p>
      <w:pPr>
        <w:pStyle w:val="TextBody"/>
        <w:bidi w:val="0"/>
        <w:spacing w:before="157" w:after="283"/>
        <w:jc w:val="left"/>
        <w:rPr>
          <w:rFonts w:ascii="Times New Roman" w:hAnsi="Times New Roman"/>
          <w:color w:val="000000"/>
          <w:sz w:val="24"/>
        </w:rPr>
      </w:pPr>
      <w:r>
        <w:rPr>
          <w:rFonts w:ascii="Times New Roman" w:hAnsi="Times New Roman"/>
          <w:color w:val="000000"/>
          <w:sz w:val="24"/>
        </w:rPr>
        <w:t>____________________________________________________________</w:t>
      </w:r>
    </w:p>
    <w:p>
      <w:pPr>
        <w:pStyle w:val="TextBody"/>
        <w:bidi w:val="0"/>
        <w:spacing w:before="157" w:after="283"/>
        <w:jc w:val="left"/>
        <w:rPr>
          <w:rFonts w:ascii="Times New Roman" w:hAnsi="Times New Roman"/>
          <w:color w:val="000000"/>
          <w:sz w:val="24"/>
        </w:rPr>
      </w:pPr>
      <w:r>
        <w:rPr>
          <w:rFonts w:ascii="Times New Roman" w:hAnsi="Times New Roman"/>
          <w:color w:val="000000"/>
          <w:sz w:val="24"/>
        </w:rPr>
        <w:t>____________________________________________________________</w:t>
      </w:r>
    </w:p>
    <w:p>
      <w:pPr>
        <w:pStyle w:val="TextBody"/>
        <w:bidi w:val="0"/>
        <w:spacing w:before="147" w:after="283"/>
        <w:jc w:val="left"/>
        <w:rPr/>
      </w:pPr>
      <w:r>
        <w:rPr/>
        <w:t> </w:t>
      </w:r>
    </w:p>
    <w:p>
      <w:pPr>
        <w:pStyle w:val="TextBody"/>
        <w:bidi w:val="0"/>
        <w:spacing w:before="228" w:after="283"/>
        <w:jc w:val="left"/>
        <w:rPr/>
      </w:pPr>
      <w:r>
        <w:rPr/>
        <w:t> </w:t>
      </w:r>
    </w:p>
    <w:p>
      <w:pPr>
        <w:pStyle w:val="TextBody"/>
        <w:bidi w:val="0"/>
        <w:spacing w:before="33"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 _____________, ____</w:t>
      </w:r>
    </w:p>
    <w:p>
      <w:pPr>
        <w:pStyle w:val="TextBody"/>
        <w:bidi w:val="0"/>
        <w:jc w:val="left"/>
        <w:rPr/>
      </w:pPr>
      <w:r>
        <w:rPr/>
        <w:t> </w:t>
      </w:r>
    </w:p>
    <w:p>
      <w:pPr>
        <w:pStyle w:val="TextBody"/>
        <w:bidi w:val="0"/>
        <w:spacing w:before="12" w:after="283"/>
        <w:jc w:val="left"/>
        <w:rPr/>
      </w:pPr>
      <w:r>
        <w:rPr/>
        <w:t> </w:t>
      </w:r>
    </w:p>
    <w:p>
      <w:pPr>
        <w:pStyle w:val="TextBody"/>
        <w:bidi w:val="0"/>
        <w:spacing w:before="14" w:after="283"/>
        <w:jc w:val="left"/>
        <w:rPr>
          <w:rFonts w:ascii="Times New Roman" w:hAnsi="Times New Roman"/>
          <w:color w:val="000000"/>
          <w:sz w:val="24"/>
        </w:rPr>
      </w:pPr>
      <w:r>
        <w:rPr>
          <w:rFonts w:ascii="Times New Roman" w:hAnsi="Times New Roman"/>
          <w:color w:val="000000"/>
          <w:sz w:val="24"/>
        </w:rPr>
        <w:t>Name of Registered Holder</w:t>
      </w:r>
    </w:p>
    <w:p>
      <w:pPr>
        <w:pStyle w:val="TextBody"/>
        <w:bidi w:val="0"/>
        <w:spacing w:before="240"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By: _____________ </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jc w:val="left"/>
        <w:rPr>
          <w:rFonts w:ascii="Times New Roman" w:hAnsi="Times New Roman"/>
          <w:color w:val="000000"/>
          <w:sz w:val="24"/>
        </w:rPr>
      </w:pPr>
      <w:r>
        <w:rPr>
          <w:rFonts w:ascii="Times New Roman" w:hAnsi="Times New Roman"/>
          <w:color w:val="000000"/>
          <w:sz w:val="24"/>
        </w:rPr>
        <w:t>Title:</w:t>
      </w:r>
    </w:p>
    <w:p>
      <w:pPr>
        <w:pStyle w:val="TextBody"/>
        <w:bidi w:val="0"/>
        <w:spacing w:before="240"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Tax ID:__________________________ </w:t>
      </w:r>
    </w:p>
    <w:p>
      <w:pPr>
        <w:pStyle w:val="TextBody"/>
        <w:bidi w:val="0"/>
        <w:jc w:val="both"/>
        <w:rPr>
          <w:rFonts w:ascii="Times New Roman" w:hAnsi="Times New Roman"/>
          <w:color w:val="000000"/>
          <w:sz w:val="24"/>
        </w:rPr>
      </w:pPr>
      <w:r>
        <w:rPr>
          <w:rFonts w:ascii="Times New Roman" w:hAnsi="Times New Roman"/>
          <w:color w:val="000000"/>
          <w:sz w:val="24"/>
        </w:rPr>
        <w:t xml:space="preserve">Facsimile:________________________ </w:t>
      </w:r>
    </w:p>
    <w:p>
      <w:pPr>
        <w:pStyle w:val="TextBody"/>
        <w:bidi w:val="0"/>
        <w:jc w:val="both"/>
        <w:rPr>
          <w:rFonts w:ascii="Times New Roman" w:hAnsi="Times New Roman"/>
          <w:color w:val="000000"/>
          <w:sz w:val="24"/>
        </w:rPr>
      </w:pPr>
      <w:r>
        <w:rPr>
          <w:rFonts w:ascii="Times New Roman" w:hAnsi="Times New Roman"/>
          <w:color w:val="000000"/>
          <w:sz w:val="24"/>
        </w:rPr>
        <w:t>E-mail Address:___________________</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EXHIBIT B</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ACKNOWLEDGMENT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Issuer hereby acknowledges this Exercise Notice and hereby directs ___________________________________________________________________________ to issue the above indicated number of shares of Common Stock in accordance with the Transfer Agent</w:t>
      </w:r>
    </w:p>
    <w:p>
      <w:pPr>
        <w:pStyle w:val="TextBody"/>
        <w:bidi w:val="0"/>
        <w:jc w:val="left"/>
        <w:rPr>
          <w:rFonts w:ascii="Times New Roman" w:hAnsi="Times New Roman"/>
          <w:color w:val="000000"/>
          <w:sz w:val="24"/>
        </w:rPr>
      </w:pPr>
      <w:r>
        <w:rPr>
          <w:rFonts w:ascii="Times New Roman" w:hAnsi="Times New Roman"/>
          <w:color w:val="000000"/>
          <w:sz w:val="24"/>
        </w:rPr>
        <w:t>Instructions dated _____________, 202___,</w:t>
      </w:r>
    </w:p>
    <w:p>
      <w:pPr>
        <w:pStyle w:val="TextBody"/>
        <w:bidi w:val="0"/>
        <w:jc w:val="left"/>
        <w:rPr>
          <w:rFonts w:ascii="Times New Roman" w:hAnsi="Times New Roman"/>
          <w:color w:val="000000"/>
          <w:sz w:val="24"/>
        </w:rPr>
      </w:pPr>
      <w:r>
        <w:rPr>
          <w:rFonts w:ascii="Times New Roman" w:hAnsi="Times New Roman"/>
          <w:color w:val="000000"/>
          <w:sz w:val="24"/>
        </w:rPr>
        <w:t>____________________.</w:t>
      </w:r>
    </w:p>
    <w:p>
      <w:pPr>
        <w:pStyle w:val="TextBody"/>
        <w:bidi w:val="0"/>
        <w:jc w:val="left"/>
        <w:rPr>
          <w:rFonts w:ascii="Times New Roman" w:hAnsi="Times New Roman"/>
          <w:color w:val="000000"/>
          <w:sz w:val="24"/>
        </w:rPr>
      </w:pPr>
      <w:r>
        <w:rPr>
          <w:rFonts w:ascii="Times New Roman" w:hAnsi="Times New Roman"/>
          <w:color w:val="000000"/>
          <w:sz w:val="24"/>
        </w:rPr>
        <w:t>from the Issuer and acknowledged and agreed to by</w:t>
      </w:r>
    </w:p>
    <w:p>
      <w:pPr>
        <w:pStyle w:val="TextBody"/>
        <w:bidi w:val="0"/>
        <w:jc w:val="left"/>
        <w:rPr/>
      </w:pPr>
      <w:r>
        <w:rPr/>
        <w:t> </w:t>
      </w:r>
    </w:p>
    <w:p>
      <w:pPr>
        <w:pStyle w:val="TextBody"/>
        <w:bidi w:val="0"/>
        <w:spacing w:before="240"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BIOATLA,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jc w:val="left"/>
        <w:rPr>
          <w:rFonts w:ascii="Times New Roman" w:hAnsi="Times New Roman"/>
          <w:color w:val="000000"/>
          <w:sz w:val="24"/>
        </w:rPr>
      </w:pPr>
      <w:r>
        <w:rPr>
          <w:rFonts w:ascii="Times New Roman" w:hAnsi="Times New Roman"/>
          <w:color w:val="000000"/>
          <w:sz w:val="24"/>
        </w:rPr>
        <w:t>Title: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 w:name="bcab-ex10_1.htm"/>
      <w:bookmarkStart w:id="5" w:name="ksbcabex10_1"/>
      <w:bookmarkEnd w:id="4"/>
      <w:bookmarkEnd w:id="5"/>
      <w:r>
        <w:rPr>
          <w:rFonts w:ascii="Times New Roman" w:hAnsi="Times New Roman"/>
          <w:b/>
          <w:color w:val="000000"/>
          <w:sz w:val="24"/>
        </w:rPr>
        <w:t>Exhibit 10.1</w:t>
      </w:r>
      <w:r>
        <w:br w:type="page"/>
      </w:r>
    </w:p>
    <w:p>
      <w:pPr>
        <w:pStyle w:val="TextBody"/>
        <w:bidi w:val="0"/>
        <w:spacing w:before="240" w:after="240"/>
        <w:jc w:val="center"/>
        <w:rPr>
          <w:rFonts w:ascii="Times New Roman" w:hAnsi="Times New Roman"/>
          <w:b/>
          <w:color w:val="000000"/>
          <w:sz w:val="24"/>
          <w:u w:val="single"/>
        </w:rPr>
      </w:pPr>
      <w:r>
        <w:rPr>
          <w:rFonts w:ascii="Times New Roman" w:hAnsi="Times New Roman"/>
          <w:b/>
          <w:color w:val="000000"/>
          <w:sz w:val="24"/>
          <w:u w:val="single"/>
        </w:rPr>
        <w:t>STANDBY EQUITY PURCHASE AGREEMENT</w:t>
      </w:r>
    </w:p>
    <w:p>
      <w:pPr>
        <w:pStyle w:val="TextBody"/>
        <w:bidi w:val="0"/>
        <w:spacing w:before="0" w:after="240"/>
        <w:jc w:val="both"/>
        <w:rPr>
          <w:rFonts w:ascii="Times New Roman" w:hAnsi="Times New Roman"/>
          <w:sz w:val="24"/>
        </w:rPr>
      </w:pPr>
      <w:r>
        <w:rPr>
          <w:rFonts w:ascii="Times New Roman" w:hAnsi="Times New Roman"/>
          <w:b/>
          <w:color w:val="000000"/>
          <w:sz w:val="24"/>
        </w:rPr>
        <w:t>THIS STANDBY EQUITY PURCHASE AGREEMENT</w:t>
      </w:r>
      <w:r>
        <w:rPr>
          <w:rFonts w:ascii="Times New Roman" w:hAnsi="Times New Roman"/>
          <w:color w:val="000000"/>
          <w:sz w:val="24"/>
        </w:rPr>
        <w:t xml:space="preserve"> (this “</w:t>
      </w:r>
      <w:r>
        <w:rPr>
          <w:rFonts w:ascii="Times New Roman" w:hAnsi="Times New Roman"/>
          <w:color w:val="000000"/>
          <w:sz w:val="24"/>
          <w:u w:val="single"/>
        </w:rPr>
        <w:t>Agreement</w:t>
      </w:r>
      <w:r>
        <w:rPr>
          <w:rFonts w:ascii="Times New Roman" w:hAnsi="Times New Roman"/>
          <w:color w:val="000000"/>
          <w:sz w:val="24"/>
        </w:rPr>
        <w:t xml:space="preserve">”) dated as of October 15, 2026 is made by and between </w:t>
      </w:r>
      <w:r>
        <w:rPr>
          <w:rFonts w:ascii="Times New Roman" w:hAnsi="Times New Roman"/>
          <w:b/>
          <w:color w:val="000000"/>
          <w:sz w:val="24"/>
        </w:rPr>
        <w:t>YA II PN, LTD</w:t>
      </w:r>
      <w:r>
        <w:rPr>
          <w:rFonts w:ascii="Times New Roman" w:hAnsi="Times New Roman"/>
          <w:color w:val="000000"/>
          <w:sz w:val="24"/>
        </w:rPr>
        <w:t>., a Cayman Islands exempt limited company (the “</w:t>
      </w:r>
      <w:r>
        <w:rPr>
          <w:rFonts w:ascii="Times New Roman" w:hAnsi="Times New Roman"/>
          <w:color w:val="000000"/>
          <w:sz w:val="24"/>
          <w:u w:val="single"/>
        </w:rPr>
        <w:t>Investor</w:t>
      </w:r>
      <w:r>
        <w:rPr>
          <w:rFonts w:ascii="Times New Roman" w:hAnsi="Times New Roman"/>
          <w:color w:val="000000"/>
          <w:sz w:val="24"/>
        </w:rPr>
        <w:t xml:space="preserve">”), and </w:t>
      </w:r>
      <w:r>
        <w:rPr>
          <w:rFonts w:ascii="Times New Roman" w:hAnsi="Times New Roman"/>
          <w:b/>
          <w:color w:val="000000"/>
          <w:sz w:val="24"/>
        </w:rPr>
        <w:t>BIOATLA, INC</w:t>
      </w:r>
      <w:r>
        <w:rPr>
          <w:rFonts w:ascii="Times New Roman" w:hAnsi="Times New Roman"/>
          <w:color w:val="000000"/>
          <w:sz w:val="24"/>
        </w:rPr>
        <w:t>., a company incorporated under the laws of the State of Delaware (the “</w:t>
      </w:r>
      <w:r>
        <w:rPr>
          <w:rFonts w:ascii="Times New Roman" w:hAnsi="Times New Roman"/>
          <w:color w:val="000000"/>
          <w:sz w:val="24"/>
          <w:u w:val="single"/>
        </w:rPr>
        <w:t>Company</w:t>
      </w:r>
      <w:r>
        <w:rPr>
          <w:rFonts w:ascii="Times New Roman" w:hAnsi="Times New Roman"/>
          <w:color w:val="000000"/>
          <w:sz w:val="24"/>
        </w:rPr>
        <w:t>”). The Investor and the Company may be referred to herein individually as a “Party” and collectively as the “Parties.”</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the Parties desire that, upon the terms and subject to the conditions contained herein, the Company shall have the right to issue and sell to the Investor, from time to time as provided herein, and the Investor shall purchase from the Company, up to $40 million of the Company’s shares of common stock, par value $0.0001 per share (the “</w:t>
      </w:r>
      <w:r>
        <w:rPr>
          <w:rFonts w:ascii="Times New Roman" w:hAnsi="Times New Roman"/>
          <w:color w:val="000000"/>
          <w:sz w:val="24"/>
          <w:u w:val="single"/>
        </w:rPr>
        <w:t>Common Shares</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the offer and sale of the Common Shares issuable hereunder will be made in reliance upon Section 4(a)(2) under the Securities Act of 1933, as amended, and the rules and regulations promulgated thereunder (the “</w:t>
      </w:r>
      <w:r>
        <w:rPr>
          <w:rFonts w:ascii="Times New Roman" w:hAnsi="Times New Roman"/>
          <w:color w:val="000000"/>
          <w:sz w:val="24"/>
          <w:u w:val="single"/>
        </w:rPr>
        <w:t>Securities Act</w:t>
      </w:r>
      <w:r>
        <w:rPr>
          <w:rFonts w:ascii="Times New Roman" w:hAnsi="Times New Roman"/>
          <w:color w:val="000000"/>
          <w:sz w:val="24"/>
        </w:rPr>
        <w:t>”), or upon such other exemption from the registration requirements of the Securities Act as may be available with respect to any or all of the transactions to be made hereunder; and</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xml:space="preserve">, in consideration of the Investor’s execution and delivery of this Agreement, the Company shall pay the Commitment Fee pursuant to and in accordance with Section 11.04. </w:t>
      </w:r>
    </w:p>
    <w:p>
      <w:pPr>
        <w:pStyle w:val="TextBody"/>
        <w:bidi w:val="0"/>
        <w:spacing w:before="0" w:after="240"/>
        <w:jc w:val="both"/>
        <w:rPr>
          <w:rFonts w:ascii="Times New Roman" w:hAnsi="Times New Roman"/>
          <w:sz w:val="24"/>
        </w:rPr>
      </w:pPr>
      <w:r>
        <w:rPr>
          <w:rFonts w:ascii="Times New Roman" w:hAnsi="Times New Roman"/>
          <w:b/>
          <w:color w:val="000000"/>
          <w:sz w:val="24"/>
        </w:rPr>
        <w:t>NOW</w:t>
      </w:r>
      <w:r>
        <w:rPr>
          <w:rFonts w:ascii="Times New Roman" w:hAnsi="Times New Roman"/>
          <w:color w:val="000000"/>
          <w:sz w:val="24"/>
        </w:rPr>
        <w:t xml:space="preserve">, </w:t>
      </w:r>
      <w:r>
        <w:rPr>
          <w:rFonts w:ascii="Times New Roman" w:hAnsi="Times New Roman"/>
          <w:b/>
          <w:color w:val="000000"/>
          <w:sz w:val="24"/>
        </w:rPr>
        <w:t>THEREFORE</w:t>
      </w:r>
      <w:r>
        <w:rPr>
          <w:rFonts w:ascii="Times New Roman" w:hAnsi="Times New Roman"/>
          <w:color w:val="000000"/>
          <w:sz w:val="24"/>
        </w:rPr>
        <w:t>, the Parties hereto agree as follows: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Certain Definitions</w:t>
      </w:r>
    </w:p>
    <w:p>
      <w:pPr>
        <w:pStyle w:val="Heading2"/>
        <w:bidi w:val="0"/>
        <w:spacing w:before="0" w:after="240"/>
        <w:jc w:val="both"/>
        <w:rPr>
          <w:rFonts w:ascii="Times New Roman" w:hAnsi="Times New Roman"/>
          <w:sz w:val="24"/>
        </w:rPr>
      </w:pPr>
      <w:r>
        <w:rPr>
          <w:rFonts w:ascii="Times New Roman" w:hAnsi="Times New Roman"/>
          <w:b w:val="false"/>
          <w:color w:val="000000"/>
          <w:sz w:val="24"/>
        </w:rPr>
        <w:t>Capitalized terms used in this Agreement shall have the meanings ascribed to such terms in Annex I hereto, and hereby made a part hereof, or as otherwise set forth in this Agreement.</w:t>
      </w:r>
      <w:r>
        <w:rPr>
          <w:rFonts w:ascii="Times New Roman" w:hAnsi="Times New Roman"/>
          <w:color w:val="000000"/>
          <w:sz w:val="24"/>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Advances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Advances; Mechanics</w:t>
      </w:r>
      <w:r>
        <w:rPr>
          <w:rFonts w:ascii="Times New Roman" w:hAnsi="Times New Roman"/>
          <w:color w:val="000000"/>
          <w:sz w:val="24"/>
        </w:rPr>
        <w:t>. Upon the terms and subject to the conditions of this Agreement, during the Commitment Period, the Company, at its sole discretion, shall have the right, but not the obligation, to issue and sell to the Investor, and the Investor shall purchase from the Company, Advance Shares by the delivery to the Investor of Advance Notices on the following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Advance Notice</w:t>
      </w:r>
      <w:r>
        <w:rPr>
          <w:rFonts w:ascii="Times New Roman" w:hAnsi="Times New Roman"/>
          <w:color w:val="000000"/>
          <w:sz w:val="24"/>
        </w:rPr>
        <w:t xml:space="preserve">. At any time during the Commitment Period the Company may require the Investor to purchase Advance Shares by delivering an Advance Notice to the Investor, subject to the satisfaction or waiver by the Investor of the conditions set forth in Annex II hereto, and in accordance with the following provisions: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in its sole discretion, select the number of Advance Shares, not to exceed the Maximum Advance Amount (unless otherwise agreed by written mutual consent of the Parties), it desires to issue and sell to the Investor in each Advance Notice and the time it desires to deliver each Advance Notice.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There shall be no mandatory minimum Advances and there shall be no non-usage fee for not utilizing the Commitment Amount or any part thereof.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Date of Delivery of Advance Notice</w:t>
      </w:r>
      <w:r>
        <w:rPr>
          <w:rFonts w:ascii="Times New Roman" w:hAnsi="Times New Roman"/>
          <w:color w:val="000000"/>
          <w:sz w:val="24"/>
        </w:rPr>
        <w:t xml:space="preserve">. Advance Notices shall be delivered in accordance with the instructions set forth on the bottom of </w:t>
      </w:r>
      <w:r>
        <w:rPr>
          <w:rFonts w:ascii="Times New Roman" w:hAnsi="Times New Roman"/>
          <w:color w:val="000000"/>
          <w:sz w:val="24"/>
          <w:u w:val="single"/>
        </w:rPr>
        <w:t>Exhibit A</w:t>
      </w:r>
      <w:r>
        <w:rPr>
          <w:rFonts w:ascii="Times New Roman" w:hAnsi="Times New Roman"/>
          <w:color w:val="000000"/>
          <w:sz w:val="24"/>
        </w:rPr>
        <w:t xml:space="preserve"> attached hereto. An Advance Notice shall be deemed delivered on (i) the day it is received by the Investor if such notice is received by email at or before 9:00 a.m. New York City time (or such later time if agreed to by the Investor in its sole discretion), or (ii) the immediately succeeding day if it is received by email after 9:00 a.m. New York City time. Upon receipt of an Advance Notice, the Investor shall promptly provide written confirmation (which may be by e-mail) of receipt of such Advance Notice, and which confirmation shall specify the commencement time of the applicable Pricing Period.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Advance Limitations, Regulatory</w:t>
      </w:r>
      <w:r>
        <w:rPr>
          <w:rFonts w:ascii="Times New Roman" w:hAnsi="Times New Roman"/>
          <w:color w:val="000000"/>
          <w:sz w:val="24"/>
        </w:rPr>
        <w:t xml:space="preserve">. Regardless of the number of Advance Shares requested by the Company in an Advance Notice, the final number of Advance Shares to be issued and sold pursuant to such Advance Notice shall be reduced (if at all) in accordance with each of the following limitations: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Ownership Limitation; Commitment Amount</w:t>
      </w:r>
      <w:r>
        <w:rPr>
          <w:rFonts w:ascii="Times New Roman" w:hAnsi="Times New Roman"/>
          <w:color w:val="000000"/>
          <w:sz w:val="24"/>
        </w:rPr>
        <w:t>. At the request of the Company, the Investor shall inform the Company of the number of Common Shares the Investor and each of its Affiliates beneficially owns. Notwithstanding anything to the contrary contained in this Agreement, the Investor shall not be obligated to purchase or acquire, and shall not purchase or acquire, any Common Shares under this Agreement which, when aggregated with all other Common Shares beneficially owned by the Investor and its Affiliates (as calculated pursuant to Section 13(d) of the Exchange Act and Rule 13d-3 promulgated thereunder), would result in the beneficial ownership by the Investor and its Affiliates (on an aggregated basis) of a number of Common Shares exceeding 4.99% of the then outstanding voting power or number of Common Shares (the “</w:t>
      </w:r>
      <w:r>
        <w:rPr>
          <w:rFonts w:ascii="Times New Roman" w:hAnsi="Times New Roman"/>
          <w:color w:val="000000"/>
          <w:sz w:val="24"/>
          <w:u w:val="single"/>
        </w:rPr>
        <w:t>Ownership Limitation</w:t>
      </w:r>
      <w:r>
        <w:rPr>
          <w:rFonts w:ascii="Times New Roman" w:hAnsi="Times New Roman"/>
          <w:color w:val="000000"/>
          <w:sz w:val="24"/>
        </w:rPr>
        <w:t xml:space="preserve">”). Upon the written request of the Investor, the Company shall promptly (but no later than the next Business Day on which the transfer agent for the Common Shares is open for business) confirm orally or in writing to the Investor the number of Common Shares then outstanding. In connection with each Advance Notice delivered by the Company, any portion of an Advance that would (i) cause the Investor to exceed the Ownership Limitation or (ii) cause the aggregate number of Advance Shares issued and sold to the Investor hereunder to exceed the Commitment Amount shall automatically be withdrawn with no further action required by the Company, and such Advance Notice shall be deemed automatically modified to reduce the number of Advance Shares requested by an amount equal to such withdrawn portion; provided that in the event of any such automatic withdrawal and automatic modification, the Investor will promptly notify the Company of such event.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- 2 -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Registration Limitation</w:t>
      </w:r>
      <w:r>
        <w:rPr>
          <w:rFonts w:ascii="Times New Roman" w:hAnsi="Times New Roman"/>
          <w:color w:val="000000"/>
          <w:sz w:val="24"/>
        </w:rPr>
        <w:t>. In no event shall an Advance exceed the number of Common Shares registered in respect of the transactions contemplated hereby under the Registration Statement then in effect (the “</w:t>
      </w:r>
      <w:r>
        <w:rPr>
          <w:rFonts w:ascii="Times New Roman" w:hAnsi="Times New Roman"/>
          <w:color w:val="000000"/>
          <w:sz w:val="24"/>
          <w:u w:val="single"/>
        </w:rPr>
        <w:t>Registration Limitation</w:t>
      </w:r>
      <w:r>
        <w:rPr>
          <w:rFonts w:ascii="Times New Roman" w:hAnsi="Times New Roman"/>
          <w:color w:val="000000"/>
          <w:sz w:val="24"/>
        </w:rPr>
        <w:t xml:space="preserve">”). In connection with each Advance Notice, any portion of an Advance that would exceed the Registration Limitation shall automatically be withdrawn with no further action required by the Company and such Advance Notice shall be deemed automatically modified to reduce the aggregate amount of the requested Advance by an amount equal to such withdrawn portion; provided that in the event of any such automatic withdrawal and automatic modification, the Investor will promptly notify the Company of such event.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Minimum Acceptable Price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rPr>
        <w:t>With respect to each Advance Notice, the Company may notify the Investor of the Minimum Acceptable Price with respect to such Advance by indicating a Minimum Acceptable Price on such Advance Notice. If no Minimum Acceptable Price is specified in an Advance Notice, then no Minimum Acceptable Price shall be in effect in connection with such Advance. Each Trading Day during a Pricing Period for which (A) with respect to each Advance Notice with a Minimum Acceptable Price, the VWAP of the Common Shares is below the Minimum Acceptable Price in effect with respect to such Advance Notice, or (B) there is no VWAP (each such day in the foregoing clauses (A) and (B), an “</w:t>
      </w:r>
      <w:r>
        <w:rPr>
          <w:rFonts w:ascii="Times New Roman" w:hAnsi="Times New Roman"/>
          <w:color w:val="000000"/>
          <w:sz w:val="24"/>
          <w:u w:val="single"/>
        </w:rPr>
        <w:t>Excluded Day</w:t>
      </w:r>
      <w:r>
        <w:rPr>
          <w:rFonts w:ascii="Times New Roman" w:hAnsi="Times New Roman"/>
          <w:color w:val="000000"/>
          <w:sz w:val="24"/>
        </w:rPr>
        <w:t>”), shall result in an automatic reduction to the number of Advance Shares set forth in such Advance Notice by one-third (1/3) (the resulting amount of each Advance being the “</w:t>
      </w:r>
      <w:r>
        <w:rPr>
          <w:rFonts w:ascii="Times New Roman" w:hAnsi="Times New Roman"/>
          <w:color w:val="000000"/>
          <w:sz w:val="24"/>
          <w:u w:val="single"/>
        </w:rPr>
        <w:t>Adjusted Advance Amount</w:t>
      </w:r>
      <w:r>
        <w:rPr>
          <w:rFonts w:ascii="Times New Roman" w:hAnsi="Times New Roman"/>
          <w:color w:val="000000"/>
          <w:sz w:val="24"/>
        </w:rPr>
        <w:t>”), and each Excluded Day shall be excluded from the Pricing Period for purposes of determining the Market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sz w:val="24"/>
        </w:rPr>
      </w:pPr>
      <w:r>
        <w:rPr>
          <w:rFonts w:ascii="Times New Roman" w:hAnsi="Times New Roman"/>
          <w:color w:val="000000"/>
          <w:sz w:val="24"/>
        </w:rPr>
        <w:t>The total number of Advance Shares in respect of each Advance with any Excluded Day(s) (after reductions have been made to arrive at the Adjusted Advance Amount) shall be automatically increased by such number of Common Shares (the “</w:t>
      </w:r>
      <w:r>
        <w:rPr>
          <w:rFonts w:ascii="Times New Roman" w:hAnsi="Times New Roman"/>
          <w:color w:val="000000"/>
          <w:sz w:val="24"/>
          <w:u w:val="single"/>
        </w:rPr>
        <w:t>Additional Shares</w:t>
      </w:r>
      <w:r>
        <w:rPr>
          <w:rFonts w:ascii="Times New Roman" w:hAnsi="Times New Roman"/>
          <w:color w:val="000000"/>
          <w:sz w:val="24"/>
        </w:rPr>
        <w:t xml:space="preserve">”) equal to the greater of (a) the number of Common Shares sold by the Investor on such Excluded Day(s), if any, or (b) such number of Common Shares elected to be subscribed for by the Investor, and the subscription price per share for each Additional Share shall be equal to the Minimum Acceptable Price in effect with respect to such Advance Notice multiplied by 97%, provided that this increase shall not cause the total Advance Shares to exceed the amount set forth in the applicable Advance Notice or any limitations set forth in Section 2.01(c).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Unconditional Contract</w:t>
      </w:r>
      <w:r>
        <w:rPr>
          <w:rFonts w:ascii="Times New Roman" w:hAnsi="Times New Roman"/>
          <w:color w:val="000000"/>
          <w:sz w:val="24"/>
        </w:rPr>
        <w:t xml:space="preserve">. Notwithstanding any other provision in this Agreement, the Company and the Investor acknowledge and agree that upon the Investor’s receipt of a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- 3 -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valid Advance Notice from the Company the Parties shall be deemed to have entered into an unconditional contract binding on both Parties for the purchase and sale of the applicable number of Advance Shares pursuant to such Advance Notice in accordance with the terms of this Agreement and subject to Applicable Laws the Investor may sell Common Shares during the Pricing Period for such Advance Notice (including with respect to any Advance Shares subject to such Pricing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Closings</w:t>
      </w:r>
      <w:r>
        <w:rPr>
          <w:rFonts w:ascii="Times New Roman" w:hAnsi="Times New Roman"/>
          <w:color w:val="000000"/>
          <w:sz w:val="24"/>
        </w:rPr>
        <w:t>. The closing of each Advance and each sale and purchase of Advance Shares (each, a “</w:t>
      </w:r>
      <w:r>
        <w:rPr>
          <w:rFonts w:ascii="Times New Roman" w:hAnsi="Times New Roman"/>
          <w:color w:val="000000"/>
          <w:sz w:val="24"/>
          <w:u w:val="single"/>
        </w:rPr>
        <w:t>Closing</w:t>
      </w:r>
      <w:r>
        <w:rPr>
          <w:rFonts w:ascii="Times New Roman" w:hAnsi="Times New Roman"/>
          <w:color w:val="000000"/>
          <w:sz w:val="24"/>
        </w:rPr>
        <w:t xml:space="preserve">”) shall take place as soon as practicable on or after each Advance Date in accordance with the procedures set forth below. The Parties acknowledge that the Purchase Price is not known at the time the Advance Notice is delivered (at which time the Investor is irrevocably bound to purchase Advance Shares) but shall be determined on each Closing based on the daily prices of the Common Shares that are the inputs to the determination of the Purchase Price as set forth further below (provided that for the purposes of determining the daily VWAP for any Trading Day, the Parties may use only a specified period within a Trading Day upon mutual consent). In connection with each Closing, the Company and the Investor shall fulfill each of its obligations as set forth below: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On each Advance Date, the Investor shall deliver to the Company a written document, in the form attached hereto as </w:t>
      </w:r>
      <w:r>
        <w:rPr>
          <w:rFonts w:ascii="Times New Roman" w:hAnsi="Times New Roman"/>
          <w:color w:val="000000"/>
          <w:sz w:val="24"/>
          <w:u w:val="single"/>
        </w:rPr>
        <w:t>Exhibit B</w:t>
      </w:r>
      <w:r>
        <w:rPr>
          <w:rFonts w:ascii="Times New Roman" w:hAnsi="Times New Roman"/>
          <w:color w:val="000000"/>
          <w:sz w:val="24"/>
        </w:rPr>
        <w:t xml:space="preserve"> (each a “</w:t>
      </w:r>
      <w:r>
        <w:rPr>
          <w:rFonts w:ascii="Times New Roman" w:hAnsi="Times New Roman"/>
          <w:color w:val="000000"/>
          <w:sz w:val="24"/>
          <w:u w:val="single"/>
        </w:rPr>
        <w:t>Settlement Document</w:t>
      </w:r>
      <w:r>
        <w:rPr>
          <w:rFonts w:ascii="Times New Roman" w:hAnsi="Times New Roman"/>
          <w:color w:val="000000"/>
          <w:sz w:val="24"/>
        </w:rPr>
        <w:t xml:space="preserve">”), setting forth the final number of Advance Shares to be purchased by the Investor (taking into account any adjustments pursuant to </w:t>
      </w:r>
      <w:r>
        <w:rPr>
          <w:rFonts w:ascii="Times New Roman" w:hAnsi="Times New Roman"/>
          <w:color w:val="000000"/>
          <w:sz w:val="24"/>
          <w:u w:val="single"/>
        </w:rPr>
        <w:t>Section 2.01</w:t>
      </w:r>
      <w:r>
        <w:rPr>
          <w:rFonts w:ascii="Times New Roman" w:hAnsi="Times New Roman"/>
          <w:color w:val="000000"/>
          <w:sz w:val="24"/>
        </w:rPr>
        <w:t>), the Market Price, the Purchase Price, the aggregate proceeds to be paid by the Investor to the Company, and a report by Bloomberg, L.P. indicating the VWAP for each of the Trading Days during the Pricing Period (or, if not reported on Bloomberg, L.P., another reporting service reasonably agreed to by the parties), in each case in accordance with the terms and conditions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Promptly after receipt of the Settlement Document with respect to each Advance (and, in any event, not later than one Trading Day after such receipt), the Company will, or will cause its transfer agent to, electronically transfer such number of Advance Shares to be purchased by the Investor (as set forth in the Settlement Document) by crediting the Investor’s account or its designee’s account at the Depository Trust Company through its Deposit Withdrawal at Custodian System or by such other means of delivery as may be mutually agreed upon by the parties hereto, and transmit notification to the Investor that such share transfer has been requested. Promptly upon receipt of such notification, the Investor shall pay to the Company the aggregate purchase price of the Advance Shares (as set forth in the Settlement Document) in cash in immediately available funds to an account designated by the Company in writing and transmit notification to the Company that such funds transfer has been requested. No fractional shares shall be issued, and any fractional shares that would otherwise be issued in connection with an Advance shall be rounded down to the nearest whole number of shares. To facilitate the transfer of the Advance Shares by the Investor, the Advance Shares will not bear any restrictive legends so long as there is an effective Registration Statement covering the resale of such Advance Shares (it being understood and agreed by the Investor that notwithstanding the lack of restrictive legends, the Investor may only sell such Common Shares pursuant to the Plan of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- 4 -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Distribution set forth in the Prospectus included in the applicable Registration Statement and otherwise in compliance with the requirements of the Securities Act (including any applicable prospectus delivery requirements) or pursuant to an available exemption).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or prior to the Advance Date, each of the Company and the Investor shall deliver to the other all documents, instruments and writings expressly required to be delivered by either of them pursuant to this Agreement in order to implement and effect the transactions contemplated herein.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in this Agreement, if on any day during the Pricing Period (i) the Company notifies the Investor that a Material Outside Event has occurred, or (ii) the Company notifies the Investor of a Black Out Period, the parties agree that the pending Advance shall end and the final number of Advance Shares to be purchased by the Investor at the Closing for such Advance shall be equal to the number of Common Shares sold by the Investor during the applicable Pricing Period prior to the notification from the Company of a Material Outside Event or Black Out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Hardship</w:t>
      </w:r>
      <w:r>
        <w:rPr>
          <w:rFonts w:ascii="Times New Roman" w:hAnsi="Times New Roman"/>
          <w:color w:val="000000"/>
          <w:sz w:val="24"/>
        </w:rPr>
        <w:t>. In the event the Company fails to perform its obligations as mandated in this Agreement after the Investor’s receipt of an Advance Notice, the Company agrees that in addition to and in no way limiting the rights and obligations set forth in Article V hereto and in addition to any other remedy to which the Investor is entitled at law or in equity, including, without limitation, specific performance, it will hold the Investor harmless against any loss, claim, damage, or expense (including reasonable legal fees and expenses), as incurred, arising out of or in connection with such default by the Company and acknowledges that irreparable damage may occur in the event of any such default. It is accordingly agreed that the Investor shall be entitled to an injunction or injunctions to prevent such breaches of this Agreement and to specifically enforce (subject to Applicable Laws and the rules of the Principal Market), without the posting of a bond or other security, the terms and provisions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Completion of Resale Pursuant to the Registration Statement</w:t>
      </w:r>
      <w:r>
        <w:rPr>
          <w:rFonts w:ascii="Times New Roman" w:hAnsi="Times New Roman"/>
          <w:color w:val="000000"/>
          <w:sz w:val="24"/>
        </w:rPr>
        <w:t>. The Company shall have no further obligation to maintain the effectiveness of the Registration Statement upon the earliest of (a) the date the Investor notifies the Company in writing (which may be by e-mail) that it has completed the resale of all Registrable Securities, (b) the date on which all Registrable Securities have been sold by the Investor and (c) the date on which all Registrable Securities held by the Investor may be sold without restriction pursuant to Rule 144 under the Securities Act.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III.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Representations and Warranties of the Investor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Investor represents and warrants to the Company, as of the date hereof, as of each Advance Notice Date and as of each Advance Date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Organization and Authorization</w:t>
      </w:r>
      <w:r>
        <w:rPr>
          <w:rFonts w:ascii="Times New Roman" w:hAnsi="Times New Roman"/>
          <w:color w:val="000000"/>
          <w:sz w:val="24"/>
        </w:rPr>
        <w:t xml:space="preserve">. The Investor is duly organized, validly existing and in good standing under the laws of the Cayman Islands and has the requisite corporate power and authority to enter into and perform its obligations under the Transaction Documents to which it is a party and to purchase or acquire the Shares in accordance with the terms hereof. The decision to invest and the execution and delivery of the Transaction Documents to which it is a party by the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Investor, the performance by the Investor of its obligations hereunder and the consummation by the Investor of the transactions contemplated hereby have been duly authorized and require no other proceedings on the part of the Investor. The undersigned has the right, power and authority to execute and deliver the Transaction Documents to which it is a party and all other instruments on behalf of the Investor or its shareholders. This Agreement and the other Transaction Documents to which it is a party have been duly executed and delivered by the Investor and, assuming the execution and delivery hereof and acceptance thereof by the Company, will constitute the legal, valid and binding obligations of the Investor, enforceable against the Investor in accordance with its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Evaluation of Risks</w:t>
      </w:r>
      <w:r>
        <w:rPr>
          <w:rFonts w:ascii="Times New Roman" w:hAnsi="Times New Roman"/>
          <w:color w:val="000000"/>
          <w:sz w:val="24"/>
        </w:rPr>
        <w:t xml:space="preserve">. The Investor has such knowledge and experience in financial, tax and business matters as to be capable of evaluating the merits and risks of, and bearing the economic risks entailed by, an investment in the Common Shares of the Company and of protecting its interests in connection with the transactions contemplated hereby. The Investor acknowledges and agrees that its investment in the Company involves a high degree of risk, and that the Investor may lose all or a part of its investment.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Legal, Investment or Tax Advice from the Company</w:t>
      </w:r>
      <w:r>
        <w:rPr>
          <w:rFonts w:ascii="Times New Roman" w:hAnsi="Times New Roman"/>
          <w:color w:val="000000"/>
          <w:sz w:val="24"/>
        </w:rPr>
        <w:t xml:space="preserve">. The Investor acknowledges that it had the opportunity to review the Transaction Documents and the transactions contemplated by the Transaction Documents with its own legal counsel and investment and tax advisors. The Investor is relying solely on such counsel and advisors and not on any statements or representations of the Company or any of the Company’s representatives or agents for legal, tax, investment or other advice with respect to the Investor’s acquisition of Common Shares hereunder, the transactions contemplated by this Agreement or the laws of any jurisdiction, and the Investor acknowledges that the Investor may lose all or a part of its investment.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Investment Purpose</w:t>
      </w:r>
      <w:r>
        <w:rPr>
          <w:rFonts w:ascii="Times New Roman" w:hAnsi="Times New Roman"/>
          <w:color w:val="000000"/>
          <w:sz w:val="24"/>
        </w:rPr>
        <w:t xml:space="preserve">. The Investor is acquiring the Common Shares for its own account, for investment purposes and not with a view towards, or for resale in connection with, the public sale or distribution thereof, except pursuant to sales registered under or exempt from the registration requirements of the Securities Act or any applicable state securities laws; provided, however,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this Agreement or an applicable exemption under the Securities Act. The Investor is acquiring the Shares hereunder in the ordinary course of its business. The Investor does not presently have any agreement or understanding, directly or indirectly, with any Person to sell or distribute any of the Shares. The Investor acknowledges that it will be disclosed as an “underwriter” and a “selling stockholder” in each Registration Statement and in any Prospectus contained therein to the extent required by Applicable Law and to the extent the Prospectus is related to the resale of Registrable Securities.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Accredited Investor</w:t>
      </w:r>
      <w:r>
        <w:rPr>
          <w:rFonts w:ascii="Times New Roman" w:hAnsi="Times New Roman"/>
          <w:color w:val="000000"/>
          <w:sz w:val="24"/>
        </w:rPr>
        <w:t>. The Investor is an “</w:t>
      </w:r>
      <w:r>
        <w:rPr>
          <w:rFonts w:ascii="Times New Roman" w:hAnsi="Times New Roman"/>
          <w:color w:val="000000"/>
          <w:sz w:val="24"/>
          <w:u w:val="single"/>
        </w:rPr>
        <w:t>Accredited Investor</w:t>
      </w:r>
      <w:r>
        <w:rPr>
          <w:rFonts w:ascii="Times New Roman" w:hAnsi="Times New Roman"/>
          <w:color w:val="000000"/>
          <w:sz w:val="24"/>
        </w:rPr>
        <w:t>” as that term is defined in Rule 501(a)(3) of Regulation 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Information</w:t>
      </w:r>
      <w:r>
        <w:rPr>
          <w:rFonts w:ascii="Times New Roman" w:hAnsi="Times New Roman"/>
          <w:color w:val="000000"/>
          <w:sz w:val="24"/>
        </w:rPr>
        <w:t xml:space="preserve">. The Investor and its advisors (and its counsel), if any, have been furnished with all materials relating to the business, finances and operations of the Company and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- 6 -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other information the Investor deemed material to making an informed investment decision. The Investor and its advisors (and its counsel), if any, have been afforded the opportunity to ask questions of the Company and its management and have received answers to such questions. Neither such inquiries nor any other due diligence investigations conducted by such Investor or its advisors (and its counsel), if any, or its representatives shall modify, amend or affect the Investor’s right to rely on the Company’s representations and warranties contained in this Agreement. The Investor acknowledges and agrees that the Company has not made to the Investor, and the Investor acknowledges and agrees it has not relied upon, any representations and warranties of the Company, its employees or any third party other than the representations and warranties of the Company contained in this Agreement. The Investor understands that its investment involves a high degree of risk. The Investor has sought such accounting, legal and tax advice, as it has considered necessary to make an informed investment decision with respect to the transactions contemplated hereby.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Not an Affiliate</w:t>
      </w:r>
      <w:r>
        <w:rPr>
          <w:rFonts w:ascii="Times New Roman" w:hAnsi="Times New Roman"/>
          <w:color w:val="000000"/>
          <w:sz w:val="24"/>
        </w:rPr>
        <w:t>. The Investor is not an officer, director or a person that directly, or indirectly through one or more intermediaries, controls or is controlled by, or is under common control with the Company or any “</w:t>
      </w:r>
      <w:r>
        <w:rPr>
          <w:rFonts w:ascii="Times New Roman" w:hAnsi="Times New Roman"/>
          <w:color w:val="000000"/>
          <w:sz w:val="24"/>
          <w:u w:val="single"/>
        </w:rPr>
        <w:t>Affiliate</w:t>
      </w:r>
      <w:r>
        <w:rPr>
          <w:rFonts w:ascii="Times New Roman" w:hAnsi="Times New Roman"/>
          <w:color w:val="000000"/>
          <w:sz w:val="24"/>
        </w:rPr>
        <w:t xml:space="preserve">” of the Company (as that term is defined in Rule 405 promulgated under the Securities Act).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Prior Short Sales</w:t>
      </w:r>
      <w:r>
        <w:rPr>
          <w:rFonts w:ascii="Times New Roman" w:hAnsi="Times New Roman"/>
          <w:color w:val="000000"/>
          <w:sz w:val="24"/>
        </w:rPr>
        <w:t>. The Investor has not directly or indirectly, nor has any Person acting on behalf of or pursuant to any understanding with the Investor, engaged in any transactions in the securities of the Company (including, without limitation, any Short Sales (as such term is defined in Rule 200 of Regulation SHO of the Exchange Act) involving the Company’s securities) during the period commencing as of the time that the Investor first contacted the Company or the Company’s agents regarding the specific investment in the Company contemplated by this Agreement (which the parties agree was September 17, 2026) and ending immediately prior to the execution of this Agreement by the Investor.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General Solicitation</w:t>
      </w:r>
      <w:r>
        <w:rPr>
          <w:rFonts w:ascii="Times New Roman" w:hAnsi="Times New Roman"/>
          <w:color w:val="000000"/>
          <w:sz w:val="24"/>
        </w:rPr>
        <w:t>. Neither the Investor, nor any of its Affiliates, nor any Person acting on its or their behalf, has engaged or will engage in any form of general solicitation or general advertising (within the meaning of Regulation D) in connection with any offer or sale of the Common Shares by the Investor.</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IV.</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Representations and Warranties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set forth in the SEC Documents, the Company represents and warrants to the Investor that, as of the date hereof, each Advance Notice Date and each Advance Date (other than representations and warranties which address matters only as of a certain date, which shall be true and correct as written as of such certain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4.01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Organization and Qualification</w:t>
      </w:r>
      <w:r>
        <w:rPr>
          <w:rFonts w:ascii="Times New Roman" w:hAnsi="Times New Roman"/>
          <w:color w:val="000000"/>
          <w:sz w:val="24"/>
        </w:rPr>
        <w:t xml:space="preserve">. The Company and each of its Subsidiaries are entities duly incorporated or otherwise organized and validly existing and in good standing under the laws of their respective jurisdiction of their incorporation or organization, and has the requisite power and authority to own its properties and to carry on its business as now being conducted. Each of the Company and its Subsidiaries is duly qualified to do business and is in good standing (to the extent applicable) in every jurisdiction in which the nature of the business conducted by it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- 7 -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makes such qualification necessary, except to the extent that the failure to be so qualified or be in good standing has not had and would not be reasonably expected to have, individually or in the aggregate, a Material Adverse Effect.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4.02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Authorization, Enforcement, Compliance with Other Instruments.</w:t>
      </w:r>
      <w:r>
        <w:rPr>
          <w:rFonts w:ascii="Times New Roman" w:hAnsi="Times New Roman"/>
          <w:color w:val="000000"/>
          <w:sz w:val="24"/>
        </w:rPr>
        <w:t xml:space="preserve"> The Company has the requisite corporate power and authority to enter into and perform its obligations under this Agreement and the other Transaction Documents to which it is a party and to issue the Shares in accordance with the terms hereof and thereof. The execution and delivery by the Company of this Agreement and the other Transaction Documents to which it is a party, and the consummation by the Company of the transactions contemplated hereby and thereby (including, without limitation, the issuance of the Shares) have been or (with respect to consummation) will be duly authorized by the Company’s board of directors and no further consent or authorization will be required by the Company, its board of directors or its shareholders. This Agreement and the other Transaction Documents to which the Company is a party have been (or, when executed and delivered, will be) duly executed and delivered by the Company and, assuming the execution and delivery thereof and acceptance by the Investor, constitute (or, when duly executed and delivered, will be)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4.03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Authorization of the Shares</w:t>
      </w:r>
      <w:r>
        <w:rPr>
          <w:rFonts w:ascii="Times New Roman" w:hAnsi="Times New Roman"/>
          <w:color w:val="000000"/>
          <w:sz w:val="24"/>
        </w:rPr>
        <w:t>. The Shares to be issued under this Agreement have been, or with respect to Shares to be purchased by the Investor pursuant to an Advance Notice, will be, when issued and delivered pursuant to the terms approved by the board of directors of the Company or a duly authorized committee thereof, or a duly authorized executive committee, against payment therefor as provided herein,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Shares, when issued, will conform to the description thereof set forth in or incorporated into the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4.04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Conflict</w:t>
      </w:r>
      <w:r>
        <w:rPr>
          <w:rFonts w:ascii="Times New Roman" w:hAnsi="Times New Roman"/>
          <w:color w:val="000000"/>
          <w:sz w:val="24"/>
        </w:rPr>
        <w:t xml:space="preserve">. The execution, delivery and performance of the Transaction Documents by the Company and the consummation by the Company of the transactions contemplated hereby and thereby (including, without limitation, the issuance of the Common Shares) will not (i) result in a violation of the certificates of incorporation or other organizational documents of the Company or its Subsidiaries (with respect to consummation, as the same may be amended prior to the date on which any of the transactions contemplated hereby are consummated),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Subsidiaries is a party, or (iii) result in a violation of any law, rule, regulation, order, judgment or decree (including federal and state securities laws and regulations) applicable to the Company or its Subsidiaries or by which any property or asset of the Company or its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- 8 -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Subsidiaries is bound or affected except, in the case of clause (ii) or (iii) above, to the extent such violations have not had and would not be reasonably expected to have, individually or in the aggregate,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4.05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 Documents</w:t>
      </w:r>
      <w:r>
        <w:rPr>
          <w:rFonts w:ascii="Times New Roman" w:hAnsi="Times New Roman"/>
          <w:color w:val="000000"/>
          <w:sz w:val="24"/>
        </w:rPr>
        <w:t xml:space="preserve">. For the past two years the Company has timely filed (giving effect to permissible extensions in accordance with Rule 12b-25 under the Exchange Act) all SEC Documents. The Company has delivered or made available to the Investor through the SEC’s website at http://www.sec.gov, true and complete copies of the SEC Documents, as applicable. Except as disclosed in amendments or subsequent filings to the SEC Documents, as of its filing date (or, if amended or superseded by a filing prior to the date hereof, on the date of such amended or superseded filing), each of the SEC Documents complied in all material respects with the requirements of the Exchange Act or the Securities Act, as applicable, and the rules and regulations of the SEC promulgated thereunder applicable to the SEC Documents, and did not contain any untrue statement of a material fact or omit to state a material fact required to be stated therein or necessary in order to make the statements therein, in the light of the circumstances under which they were made, not misleading.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4.06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Financial Statements</w:t>
      </w:r>
      <w:r>
        <w:rPr>
          <w:rFonts w:ascii="Times New Roman" w:hAnsi="Times New Roman"/>
          <w:color w:val="000000"/>
          <w:sz w:val="24"/>
        </w:rPr>
        <w:t>. The consolidated financial statements of the Company included or incorporated by reference in the SEC Documents,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for the periods specified and have been prepared in compliance with the requirements of the Securities Act and Exchange Act and in conformity with generally accepted accounting principles in the United States (“</w:t>
      </w:r>
      <w:r>
        <w:rPr>
          <w:rFonts w:ascii="Times New Roman" w:hAnsi="Times New Roman"/>
          <w:color w:val="000000"/>
          <w:sz w:val="24"/>
          <w:u w:val="single"/>
        </w:rPr>
        <w:t>GAAP</w:t>
      </w:r>
      <w:r>
        <w:rPr>
          <w:rFonts w:ascii="Times New Roman" w:hAnsi="Times New Roman"/>
          <w:color w:val="000000"/>
          <w:sz w:val="24"/>
        </w:rPr>
        <w:t xml:space="preserve">”)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and (iii) such adjustments which are not material, either individually or in the aggregate) during the periods involved; the other financial and statistical data with respect to the Company and the Subsidiaries contained or incorporated by reference in the SEC Documents are accurately and fairly presented and prepared on a basis consistent with the financial statements and books and records of the Company; there are no financial statements (historical or pro forma) that are required to be included or incorporated by reference in the SEC Documents that are not included or incorporated by reference as required; the Company and the Subsidiaries do not have any material liabilities or obligations, direct or contingent (including any off-balance sheet obligations), not described in the SEC Documents to the extent required (excluding the exhibits thereto); and all disclosures contained or incorporated by reference in the SEC Documents regarding “non-GAAP financial measures” (as such term is defined by the rules and regulations of the SEC) comply in all material respects with Regulation G of the Exchange Act and Item 10 of Regulation S-K under the Securities Act, to the extent applicable. The interactive data in eXtensible Business Reporting Language included or incorporated by reference in the SEC Documents fairly presents the information called for in all material respects and has been prepared in accordance with the SEC’s rules and guidelines applicable thereto.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- 9 -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4.07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Registration Statement and Prospectus. The Company and the transactions contemplated by this Agreement meet the requirements for and comply with the conditions for the use of Form S-1 under the Securities Act. Each Registration Statement and the offer and sale of Shares as contemplated hereby, if and when filed, will meet the requirements of Rule 415 under the Securities Act and comply in all material respects with said Rule. Any statutes, regulations, contracts or other documents that are required to be described in a Registration Statement or a Prospectus, or any amendment or supplement thereto, or to be filed as exhibits to a Registration Statement have been so described or filed. Copies of each Registration Statement, any Prospectus, and any such amendments or supplements thereto and all documents incorporated by reference therein that were filed with the SEC on or prior to the date of this Agreement have been delivered, or are available through EDGAR, to the Investor and its counsel. The Company has not distributed and, prior to the later to occur of each Advance Date and completion of the distribution of the Shares, will not distribute any offering material in connection with the offering or sale of the Shares other than a Registration Statement, the Prospectus contained therein, and any required prospectus supplement, in each case as reviewed and consented to by the Investor.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4.08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Misstatement or Omission</w:t>
      </w:r>
      <w:r>
        <w:rPr>
          <w:rFonts w:ascii="Times New Roman" w:hAnsi="Times New Roman"/>
          <w:color w:val="000000"/>
          <w:sz w:val="24"/>
        </w:rPr>
        <w:t>. Each Registration Statement, when it became or becomes effective, and any Prospectus, on the date of such Prospectus or any amendment or supplement thereto, conformed and will conform in all material respects with the requirements of the Securities Act. At each Advance Notice Date and applicable Advance Date, the Registration Statement, and the Prospectus, as of such date, will conform in all material respects with the requirements of the Securities Act. Each Registration Statement, when it became or becomes effective, did not, and will not, contain an untrue statement of a material fact or omit to state a material fact required to be stated therein or necessary to make the statements therein not misleading. Each Prospectus did not, or will not, include an untrue statement of a material fact or omit to state a material fact necessary to make the statements therein, in light of the circumstances under which they were made, not misleading. The documents incorporated by reference in a Prospectus or any Prospectus Supplement did not, and any further documents filed and incorporated by reference therein will not, when filed with the SEC,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Investor specifically for use in the preparation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4.09</w:t>
      </w:r>
    </w:p>
    <w:p>
      <w:pPr>
        <w:pStyle w:val="TextBody"/>
        <w:bidi w:val="0"/>
        <w:spacing w:before="0" w:after="240"/>
        <w:jc w:val="both"/>
        <w:rPr>
          <w:rFonts w:ascii="Times New Roman" w:hAnsi="Times New Roman"/>
          <w:sz w:val="20"/>
        </w:rPr>
      </w:pPr>
      <w:r>
        <w:rPr>
          <w:rFonts w:ascii="Times New Roman" w:hAnsi="Times New Roman"/>
          <w:color w:val="000000"/>
          <w:sz w:val="24"/>
          <w:u w:val="single"/>
        </w:rPr>
        <w:t>Conformity with Securities Act and Exchange Act</w:t>
      </w:r>
      <w:r>
        <w:rPr>
          <w:rFonts w:ascii="Times New Roman" w:hAnsi="Times New Roman"/>
          <w:color w:val="000000"/>
          <w:sz w:val="24"/>
        </w:rPr>
        <w:t>. Each Registration Statement, each Prospectus, or any amendment or supplement thereto, and the documents incorporated by reference in each Registration Statement, Prospectus or any amendment or supplement thereto, when such documents were or are filed with the SEC under the Securities Act or the Exchange Act or became or become effective under the Securities Act, as the case may be, conformed or will conform in all material respects with the requirements of the Securities Act and the Exchange Act, as applicable.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Equity Capitalization</w:t>
      </w:r>
      <w:r>
        <w:rPr>
          <w:rFonts w:ascii="Times New Roman" w:hAnsi="Times New Roman"/>
          <w:color w:val="000000"/>
          <w:sz w:val="24"/>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- 10 -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date hereof, the authorized capital of the Company consists of 350,000,000 shares of Common Stock, $0.0001 par value, 15,368,569 shares of Class B Common Stock, $0.0001 par value, and 200,000,000 shares of Preferred Stock, par value $0.0001 per share. As of the date hereof, the Company has 1,668,261 shares of Common Stock outstanding, 0 shares of Class B Common Stock outstanding, and 0 shares of Preferred Stock outstanding.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Common Shares are registered pursuant to Section 12(g) of the Exchange Act and are currently quoted on the Principal Market under the trading symbol “BCAB.” The Company has taken no action designed to, or likely to have the effect of, terminating the registration of the Common Shares under the Exchange Act, removing from quotation the Common Shares from the Principal Market, nor has the Company received any notification that the SEC or the Principal Market is contemplating terminating such registration or quotation. To the Company’s knowledge, it is in compliance with all applicable eligibility requirements of the Principal Market.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Existing Securities; Obligations</w:t>
      </w:r>
      <w:r>
        <w:rPr>
          <w:rFonts w:ascii="Times New Roman" w:hAnsi="Times New Roman"/>
          <w:color w:val="000000"/>
          <w:sz w:val="24"/>
        </w:rPr>
        <w:t>. Except as disclosed in the SEC Documents: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Securities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w:t>
        <w:softHyphen/>
        <w:t>dilution or similar provisions that will be triggered by the issuance of the Shares; and (F) neither the Company nor any Subsidiary has entered into any Variable Rate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Intellectual Property Rights</w:t>
      </w:r>
      <w:r>
        <w:rPr>
          <w:rFonts w:ascii="Times New Roman" w:hAnsi="Times New Roman"/>
          <w:color w:val="000000"/>
          <w:sz w:val="24"/>
        </w:rPr>
        <w:t xml:space="preserve">. Except as disclosed in the SEC Documents,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if any, necessary to conduct their respective businesses as now conducted, except as has not had and would not be reasonably expected to have, individually or in the aggregate, a Material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- 11 -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Adverse Effect. The Company and its Subsidiaries have not received written notice of any infringement by the Company or its Subsidiaries of trademark, trade name rights, patents, patent rights, copyrights, inventions, licenses, service names, service marks, service mark registrations, or trade secrets, except as has not had and would not be reasonably expected to have, individually or in the aggregate, a Material Adverse Effect. To the knowledge of the Company,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and, except as has not had and would not be reasonably expected to have, individually or in the aggregate, a Material Adverse Effect, the Company is not aware of any facts or circumstances which might give rise to any of the foregoing.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Employee Relations</w:t>
      </w:r>
      <w:r>
        <w:rPr>
          <w:rFonts w:ascii="Times New Roman" w:hAnsi="Times New Roman"/>
          <w:color w:val="000000"/>
          <w:sz w:val="24"/>
        </w:rPr>
        <w:t xml:space="preserve">. Neither the Company nor any of its Subsidiaries is involved in any labor dispute nor, to the knowledge of the Company or any of its Subsidiaries, has any such dispute threatened, in each case which would be reasonably likely to have a Material Adverse Effect.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Environmental Laws</w:t>
      </w:r>
      <w:r>
        <w:rPr>
          <w:rFonts w:ascii="Times New Roman" w:hAnsi="Times New Roman"/>
          <w:color w:val="000000"/>
          <w:sz w:val="24"/>
        </w:rPr>
        <w:t>. The Company and its Subsidiaries (i) have not received written notice alleging any failure to comply in all material respects with all Environmental Laws (as defined below), (ii) have received all permits, licenses or other approvals required of them under applicable Environmental Laws to conduct their respective businesses and (iii) have not received written notice alleging any failure to comply with all terms and conditions of any such permit, license or approval, except, in each of the foregoing clauses (i), (ii) and (iii), as has not had and would not be reasonably expected to have, individually or in the aggregate, a Material Adverse Effect. The term “</w:t>
      </w:r>
      <w:r>
        <w:rPr>
          <w:rFonts w:ascii="Times New Roman" w:hAnsi="Times New Roman"/>
          <w:color w:val="000000"/>
          <w:sz w:val="24"/>
          <w:u w:val="single"/>
        </w:rPr>
        <w:t>Environmental Laws</w:t>
      </w:r>
      <w:r>
        <w:rPr>
          <w:rFonts w:ascii="Times New Roman" w:hAnsi="Times New Roman"/>
          <w:color w:val="000000"/>
          <w:sz w:val="24"/>
        </w:rPr>
        <w:t>” means all applicable federal, state and local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hAnsi="Times New Roman"/>
          <w:color w:val="000000"/>
          <w:sz w:val="24"/>
          <w:u w:val="single"/>
        </w:rPr>
        <w:t>Hazardous Materials</w:t>
      </w:r>
      <w:r>
        <w:rPr>
          <w:rFonts w:ascii="Times New Roman" w:hAnsi="Times New Roman"/>
          <w:color w:val="000000"/>
          <w:sz w:val="24"/>
        </w:rPr>
        <w:t xml:space="preserve">”)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Title</w:t>
      </w:r>
      <w:r>
        <w:rPr>
          <w:rFonts w:ascii="Times New Roman" w:hAnsi="Times New Roman"/>
          <w:color w:val="000000"/>
          <w:sz w:val="24"/>
        </w:rPr>
        <w:t xml:space="preserve">. Except as has not had and would not be reasonably expected to have, individually or in the aggregate, a Material Adverse Effect, the Company (or its Subsidiaries) has indefeasible fee simple or leasehold title to its properties and material assets owned by it, free and clear of any pledge, lien, security interest, encumbrance, claim or equitable interest other than (i) such as are not material to the business of the Company; (ii) such that are for the payment of federal, state or other taxes, for which appropriate reserves have been made therefor in accordance with GAAP and the payment of which is neither delinquent nor subject to penalties and (iii) such that would not, individually or in the aggregate, have or reasonably be expected to have a Material Adverse Effect. Any real property and facilities held under lease by the Company and its Subsidiaries are held by them under valid, subsisting and enforceable leases with such exceptions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- 12 -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are not material and do not interfere with the use made and proposed to be made of such property and buildings by the Company and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Insurance</w:t>
      </w:r>
      <w:r>
        <w:rPr>
          <w:rFonts w:ascii="Times New Roman" w:hAnsi="Times New Roman"/>
          <w:color w:val="000000"/>
          <w:sz w:val="24"/>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The Company has no reason to believe that it will not be able to renew its existing insurance coverage as and when such coverage expires or to obtain similar coverage from similar insurers as may be necessary to continue its business at a cost that would not be reasonably expected to have, individually or in the aggregate,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Regulatory Permits</w:t>
      </w:r>
      <w:r>
        <w:rPr>
          <w:rFonts w:ascii="Times New Roman" w:hAnsi="Times New Roman"/>
          <w:color w:val="000000"/>
          <w:sz w:val="24"/>
        </w:rPr>
        <w:t xml:space="preserve">. Except as has not had and would not be reasonably expected to have, individually or in the aggregate, a Material Adverse Effect, the Company and its Subsidiaries possess all material certificates, authorizations and permits issued by the appropriate federal, state or foreign regulatory authorities necessary to conduct their respective businesses, and neither the Company nor any such Subsidiary has received any written notice of proceedings relating to the revocation or modification of any such certificate, authorization or permits.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Internal Accounting Controls</w:t>
      </w:r>
      <w:r>
        <w:rPr>
          <w:rFonts w:ascii="Times New Roman" w:hAnsi="Times New Roman"/>
          <w:color w:val="000000"/>
          <w:sz w:val="24"/>
        </w:rPr>
        <w:t>.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management is not aware of any material weaknesses in the Company’s internal controls that are not disclosed in the SEC Documents as and when required.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Absence of Litigation</w:t>
      </w:r>
      <w:r>
        <w:rPr>
          <w:rFonts w:ascii="Times New Roman" w:hAnsi="Times New Roman"/>
          <w:color w:val="000000"/>
          <w:sz w:val="24"/>
        </w:rPr>
        <w:t>. There is no action, suit, proceeding, inquiry or investigation before or by any court, public board, government agency, self-regulatory organization or body pending against or affecting the Company, the Common Shares or any of the Company’s Subsidiaries, wherein an unfavorable decision, ruling or finding would have or be reasonably expected to have, individually or in the aggregate,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Subsidiaries</w:t>
      </w:r>
      <w:r>
        <w:rPr>
          <w:rFonts w:ascii="Times New Roman" w:hAnsi="Times New Roman"/>
          <w:color w:val="000000"/>
          <w:sz w:val="24"/>
        </w:rPr>
        <w:t>. The Company does not presently own or control, directly or indirectly, any interest in any other corporation, partnership, association or other business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Tax Status</w:t>
      </w:r>
      <w:r>
        <w:rPr>
          <w:rFonts w:ascii="Times New Roman" w:hAnsi="Times New Roman"/>
          <w:color w:val="000000"/>
          <w:sz w:val="24"/>
        </w:rPr>
        <w:t xml:space="preserve">. Except for matters that would not, individually or in the aggregate, have or reasonably be expected to result in a Material Adverse Effect, each of the Company and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- 13 -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has not received written notification of any unpaid taxes in any material amount claimed to be due by the taxing authority of any jurisdiction, and the officers of the Company and its Subsidiaries know of no basis for any such claim where the failure to pay would have or would be reasonably expected to have, individually or in the aggregate,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Certain Transactions</w:t>
      </w:r>
      <w:r>
        <w:rPr>
          <w:rFonts w:ascii="Times New Roman" w:hAnsi="Times New Roman"/>
          <w:color w:val="000000"/>
          <w:sz w:val="24"/>
        </w:rPr>
        <w:t>. Except as disclosed in the SEC Documents or as not required to be disclosed pursuant to Applicable Laws, none of the officers or directors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or director, or to the knowledge of the Company, any corporation, partnership, trust or other entity in which any officer or director has a substantial interest or is an officer, director, trustee or partner.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Rights of First Refusal</w:t>
      </w:r>
      <w:r>
        <w:rPr>
          <w:rFonts w:ascii="Times New Roman" w:hAnsi="Times New Roman"/>
          <w:color w:val="000000"/>
          <w:sz w:val="24"/>
        </w:rPr>
        <w:t xml:space="preserve">. Except as disclosed in the SEC Documents, the Company is not obligated to offer the Common Shares offered hereunder on a right of first refusal basis or otherwise to any third parties including, but not limited to, current or former shareholders of the Company, underwriters, brokers, agents or other third parties.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Dilution</w:t>
      </w:r>
      <w:r>
        <w:rPr>
          <w:rFonts w:ascii="Times New Roman" w:hAnsi="Times New Roman"/>
          <w:color w:val="000000"/>
          <w:sz w:val="24"/>
        </w:rPr>
        <w:t xml:space="preserve">. The Company is aware and acknowledges that issuance of Common Shares hereunder could cause dilution to existing shareholders and could significantly increase the outstanding number of Common Shares.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Acknowledgment Regarding Investor’s Purchase of Shares</w:t>
      </w:r>
      <w:r>
        <w:rPr>
          <w:rFonts w:ascii="Times New Roman" w:hAnsi="Times New Roman"/>
          <w:color w:val="000000"/>
          <w:sz w:val="24"/>
        </w:rPr>
        <w:t xml:space="preserve">. The Company acknowledges and agrees that the Investor is acting solely in the capacity of an arm’s length investor with respect to this Agreement and the transactions contemplated hereunder. The Company further acknowledges that the Investor is not acting as a financial advisor or fiduciary of the Company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The Company is aware and acknowledges that it shall not be able to request Advances under this Agreement if a Registration Statement is not effective or if any issuances of Common Shares pursuant to any Advances would violate any rules of the Principal Market. The Company acknowledges and agrees that it is capable of evaluating and understanding, and understands and accepts, the terms, risks and conditions of the transactions contemplated by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Finder’s Fees</w:t>
      </w:r>
      <w:r>
        <w:rPr>
          <w:rFonts w:ascii="Times New Roman" w:hAnsi="Times New Roman"/>
          <w:color w:val="000000"/>
          <w:sz w:val="24"/>
        </w:rPr>
        <w:t xml:space="preserve">. Except as set forth in the SEC Documents and except for fees and commissions payable by the Company to Tungsten Advisors (through its broker-dealer, Finalis Securities LLC), in connection with this transaction, neither the Company nor any of its Subsidiaries has incurred any liability for any finder’s fees, brokerage commissions or similar payments in connection with the transactions contemplated in the Transaction Documents.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Relationship of the Parties</w:t>
      </w:r>
      <w:r>
        <w:rPr>
          <w:rFonts w:ascii="Times New Roman" w:hAnsi="Times New Roman"/>
          <w:color w:val="000000"/>
          <w:sz w:val="24"/>
        </w:rPr>
        <w:t xml:space="preserve">. Neither the Company, nor any of its Subsidiaries, Affiliates, nor any Person acting on its or their behalf is a client or customer of the Investor or any of its Affiliates and neither the Investor nor any of its Affiliates has provided, or will provide, any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- 14 -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services to the Company or any of its Affiliates, its subsidiaries, or any Person acting on its or their behalf. The Investor’s relationship to the Company is solely as investor as provided for in the Transaction Documents.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4.27</w:t>
      </w:r>
    </w:p>
    <w:p>
      <w:pPr>
        <w:pStyle w:val="TextBody"/>
        <w:bidi w:val="0"/>
        <w:spacing w:before="0" w:after="240"/>
        <w:jc w:val="both"/>
        <w:rPr>
          <w:rFonts w:ascii="Times New Roman" w:hAnsi="Times New Roman"/>
          <w:sz w:val="20"/>
        </w:rPr>
      </w:pPr>
      <w:r>
        <w:rPr>
          <w:rFonts w:ascii="Times New Roman" w:hAnsi="Times New Roman"/>
          <w:color w:val="000000"/>
          <w:sz w:val="24"/>
          <w:u w:val="single"/>
        </w:rPr>
        <w:t>Operations</w:t>
      </w:r>
      <w:r>
        <w:rPr>
          <w:rFonts w:ascii="Times New Roman" w:hAnsi="Times New Roman"/>
          <w:color w:val="000000"/>
          <w:sz w:val="24"/>
        </w:rPr>
        <w:t>. The operations of the Company and its Subsidiaries are and have been conducted at all times in compliance with Applicable Law and</w:t>
      </w:r>
      <w:r>
        <w:rPr>
          <w:rFonts w:ascii="Times New Roman" w:hAnsi="Times New Roman"/>
          <w:color w:val="000000"/>
          <w:sz w:val="20"/>
        </w:rPr>
        <w:t xml:space="preserve"> </w:t>
      </w:r>
      <w:r>
        <w:rPr>
          <w:rFonts w:ascii="Times New Roman" w:hAnsi="Times New Roman"/>
          <w:color w:val="000000"/>
          <w:sz w:val="24"/>
        </w:rPr>
        <w:t>neither the Company nor the Subsidiaries, nor any director, officer, or employee of the Company or any Subsidiary nor, to the Company’s knowledge, any agent, Affiliate or other Person acting on behalf of the Company or any Subsidiary has, not complied with Applicable Law; and no action, suit or proceeding by or before any governmental authority involving the Company or any of its Subsidiaries with respect to Applicable Laws is pending or, to the knowledge of the Company, threatened.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Forward-Looking Statements</w:t>
      </w:r>
      <w:r>
        <w:rPr>
          <w:rFonts w:ascii="Times New Roman" w:hAnsi="Times New Roman"/>
          <w:color w:val="000000"/>
          <w:sz w:val="24"/>
        </w:rPr>
        <w:t xml:space="preserve">. Except as would not reasonably be expected to have, individually or in the aggregate, a Material Adverse Effect, no forward-looking statement (within the meaning of Section 27A of the Securities Act and Section 21E of the Exchange Act) contained in the Registration Statement or a Prospectus has been made or reaffirmed without a reasonable basis or has been disclosed other than in good faith.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Compliance with Laws</w:t>
      </w:r>
      <w:r>
        <w:rPr>
          <w:rFonts w:ascii="Times New Roman" w:hAnsi="Times New Roman"/>
          <w:color w:val="000000"/>
          <w:sz w:val="24"/>
        </w:rPr>
        <w:t>. The Company and each of its Subsidiaries are in compliance with Applicable Law; the Company has not received a notice of non-compliance, nor knows of, nor has reasonable grounds to know of, any facts that any director, officer, or employee of the Company or any Subsidiary nor, to the Company’s knowledge, any agent, Affiliate or other Person acting on behalf of the Company or any Subsidiary has, has not complied with Applicable Laws, or could give rise to a notice of non-compliance with Applicable Laws, and is not aware of any pending change or contemplated change to any Applicable Law or regulation or governmental position; in each case that would have or would be reasonably expected to have, individually or in the aggregate,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4.30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Sanctions Matters</w:t>
      </w:r>
      <w:r>
        <w:rPr>
          <w:rFonts w:ascii="Times New Roman" w:hAnsi="Times New Roman"/>
          <w:color w:val="000000"/>
          <w:sz w:val="24"/>
        </w:rPr>
        <w:t>. Neither the Company nor any of its Subsidiaries or, to the knowledge of the Company, any director, officer or controlled Affiliate of the Company or any director or officer of any Subsidiary, is a Person that is, or is owned or controlled by a Person that is (i) the subject of any sanctions administered or enforced by the U.S. Department of Treasury’s Office of Foreign Asset Control (“</w:t>
      </w:r>
      <w:r>
        <w:rPr>
          <w:rFonts w:ascii="Times New Roman" w:hAnsi="Times New Roman"/>
          <w:color w:val="000000"/>
          <w:sz w:val="24"/>
          <w:u w:val="single"/>
        </w:rPr>
        <w:t>OFAC</w:t>
      </w:r>
      <w:r>
        <w:rPr>
          <w:rFonts w:ascii="Times New Roman" w:hAnsi="Times New Roman"/>
          <w:color w:val="000000"/>
          <w:sz w:val="24"/>
        </w:rPr>
        <w:t>”), the United Nations Security Council, the European Union, His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hAnsi="Times New Roman"/>
          <w:color w:val="000000"/>
          <w:sz w:val="24"/>
          <w:u w:val="single"/>
        </w:rPr>
        <w:t>Sanctions</w:t>
      </w:r>
      <w:r>
        <w:rPr>
          <w:rFonts w:ascii="Times New Roman" w:hAnsi="Times New Roman"/>
          <w:color w:val="000000"/>
          <w:sz w:val="24"/>
        </w:rPr>
        <w:t>”), or (ii) located, organized or resident in a country or territory that is the subject of Sanctions that broadly prohibit dealings with that country or territory (including, without limitation, the Crimea, Zaporizhzhia and Kherson regions of Ukraine, the Donetsk People’s Republic and Luhansk People’s Republic in Ukraine, Cuba, Iran, North Korea, Russia, Sudan and Syria (the “</w:t>
      </w:r>
      <w:r>
        <w:rPr>
          <w:rFonts w:ascii="Times New Roman" w:hAnsi="Times New Roman"/>
          <w:color w:val="000000"/>
          <w:sz w:val="24"/>
          <w:u w:val="single"/>
        </w:rPr>
        <w:t>Sanctioned Countries</w:t>
      </w:r>
      <w:r>
        <w:rPr>
          <w:rFonts w:ascii="Times New Roman" w:hAnsi="Times New Roman"/>
          <w:color w:val="000000"/>
          <w:sz w:val="24"/>
        </w:rPr>
        <w:t xml:space="preserve">”)). Neither the Company nor any of its Subsidiaries will, directly or indirectly, use the proceeds from the sale of Advance Shares,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 (b) in any other manner that will result in a violation of Sanctions or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- 15 -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Applicable Laws by any Person (including any Person participating in the transactions contemplated by this Agreement, whether as underwriter, advisor, investor or otherwise). For the past five years, neither the Company nor any of its Subsidiaries has engaged in, and is now not engaged in, any dealings or transactions with any Person, or in any country or territory, that at the time of the dealing or transaction is or was the subject of Sanctions or was a Sanctioned Country. Neither the Company nor any of its Subsidiaries nor any director, officer or controlled Affiliate of the Company or any of its Subsidiaries, has ever had funds blocked by a United States bank or financial institution, temporarily or otherwise, as a result of OFAC concerns.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4.31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General Solicitation</w:t>
      </w:r>
      <w:r>
        <w:rPr>
          <w:rFonts w:ascii="Times New Roman" w:hAnsi="Times New Roman"/>
          <w:color w:val="000000"/>
          <w:sz w:val="24"/>
        </w:rPr>
        <w:t>. Neither the Company, nor any of its Affiliates, nor any Person acting on its or their behalf, has engaged or will engage in any form of general solicitation or general advertising (within the meaning of Regulation D) in connection with the offer or sale of the Common Shares.</w:t>
      </w:r>
    </w:p>
    <w:p>
      <w:pPr>
        <w:pStyle w:val="Heading2"/>
        <w:bidi w:val="0"/>
        <w:spacing w:before="0" w:after="24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V.</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Indemnification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Investor and the Company represent to the other the following with respect to itself: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Indemnification by the Company</w:t>
      </w:r>
      <w:r>
        <w:rPr>
          <w:rFonts w:ascii="Times New Roman" w:hAnsi="Times New Roman"/>
          <w:color w:val="000000"/>
          <w:sz w:val="24"/>
        </w:rPr>
        <w:t>. In consideration of the Investor’s execution and delivery of this Agreement and acquiring the Shares hereunder, and in addition to all of the Company’s other obligations under this Agreement, the Company shall defend, protect, indemnify and hold harmless the Investor, its investment manager, Yorkville Advisors Global, LP, and their respective Affiliates, and each of the foregoing’s respective officers, directors, managers, members, partners, employees and agents (including, without limitation, those retained in connection with the transactions contemplated by this Agreement) and each Person who controls any of the foregoing within the meaning of Section 15 of the Securities Act or Section 20 of the Exchange Act (collectively, the “</w:t>
      </w:r>
      <w:r>
        <w:rPr>
          <w:rFonts w:ascii="Times New Roman" w:hAnsi="Times New Roman"/>
          <w:color w:val="000000"/>
          <w:sz w:val="24"/>
          <w:u w:val="single"/>
        </w:rPr>
        <w:t>Investor Indemnitees</w:t>
      </w:r>
      <w:r>
        <w:rPr>
          <w:rFonts w:ascii="Times New Roman" w:hAnsi="Times New Roman"/>
          <w:color w:val="000000"/>
          <w:sz w:val="24"/>
        </w:rPr>
        <w:t>”) from and against any and all actions, causes of action, suits, claims, losses, costs, penalties, fees, liabilities and damages, and reasonable and documented expenses in connection therewith (irrespective of whether any such Investor Indemnitee is a party to the action for which indemnification hereunder is sought), and including reasonable and documented attorneys’ fees and disbursements (the “</w:t>
      </w:r>
      <w:r>
        <w:rPr>
          <w:rFonts w:ascii="Times New Roman" w:hAnsi="Times New Roman"/>
          <w:color w:val="000000"/>
          <w:sz w:val="24"/>
          <w:u w:val="single"/>
        </w:rPr>
        <w:t>Indemnified Liabilities</w:t>
      </w:r>
      <w:r>
        <w:rPr>
          <w:rFonts w:ascii="Times New Roman" w:hAnsi="Times New Roman"/>
          <w:color w:val="000000"/>
          <w:sz w:val="24"/>
        </w:rPr>
        <w:t xml:space="preserve">”), incurred by the Investor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(b) any material misrepresentation or breach of any material representation or material warranty made by the Company in this Agreement or any other certificate, instrument or document contemplated hereby or thereby; or (c) any material breach of any material covenant, material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- 16 -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or material obligation of the Company contained in this Agreement or any other certificate, instrument or document contemplated hereby or thereby. To the extent that the foregoing undertaking by the Company may be unenforceable under Applicable Law, the Company shall make the maximum contribution to the payment and satisfaction of each of the Indemnified Liabilities, which is permissible under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Indemnification by the Investor</w:t>
      </w:r>
      <w:r>
        <w:rPr>
          <w:rFonts w:ascii="Times New Roman" w:hAnsi="Times New Roman"/>
          <w:color w:val="000000"/>
          <w:sz w:val="24"/>
        </w:rPr>
        <w:t>. In consideration of the Company’s execution and delivery of this Agreement, and in addition to all of the Investor’s other obligations under this Agreement, the Investor shall defend, protect, indemnify and hold harmless the Company, its Subsidiaries and all of their respective officers, directors, shareholders, employees and agents (including, without limitation, those retained in connection with the transactions contemplated by this Agreement) and each Person who controls the Company within the meaning of Section 15 of the Securities Act or Section 20 of the Exchange Act (collectively, the “</w:t>
      </w:r>
      <w:r>
        <w:rPr>
          <w:rFonts w:ascii="Times New Roman" w:hAnsi="Times New Roman"/>
          <w:color w:val="000000"/>
          <w:sz w:val="24"/>
          <w:u w:val="single"/>
        </w:rPr>
        <w:t>Company Indemnitees</w:t>
      </w:r>
      <w:r>
        <w:rPr>
          <w:rFonts w:ascii="Times New Roman" w:hAnsi="Times New Roman"/>
          <w:color w:val="000000"/>
          <w:sz w:val="24"/>
        </w:rPr>
        <w:t xml:space="preserve">”) from and against any and all Indemnified Liabilities incurred by the Company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Investor will only be liable for written information relating to the Investor furnished to the Company by or on behalf of the Investor specifically for inclusion in the documents referred to in the foregoing indemnity, and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Investor by or on behalf of the Company specifically for inclusion therein; (b) any material misrepresentation or breach of any material representation or material warranty made by the Investor in this Agreement or any instrument or document contemplated hereby or thereby executed by the Investor; or (c) any material breach of any material covenant, agreement or obligation of the Investor contained in this Agreement or any other certificate, instrument or document contemplated hereby or thereby executed by the Investor. To the extent that the foregoing undertaking by the Investor may be unenforceable under Applicable Laws, the Investor shall make the maximum contribution to the payment and satisfaction of each of the Indemnified Liabilities, which is permissible under Applicable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Notice of Claim</w:t>
      </w:r>
      <w:r>
        <w:rPr>
          <w:rFonts w:ascii="Times New Roman" w:hAnsi="Times New Roman"/>
          <w:color w:val="000000"/>
          <w:sz w:val="24"/>
        </w:rPr>
        <w:t xml:space="preserve">. Promptly after receipt by an Investor Indemnitee or Company Indemnitee of notice of the commencement of any action or proceeding (including any governmental action or proceeding) involving an Indemnified Liability, such Investor Indemnitee or Company Indemnitee, as applicable, shall, if a claim for an Indemnified Liability in respect thereof is to be made against any indemnifying party under this Article V, deliver to the indemnifying party a written notice of the commencement thereof; but the failure to so notify the indemnifying party will not relieve it of liability under this Article V except to the extent the indemnifying party is prejudiced by such failure. The indemnifying party shall have the right to participate in, and, to the extent the indemnifying party so desires, jointly with any other indemnifying party similarly noticed, to assume control of the defense thereof with counsel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- 17 -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mutually reasonably satisfactory to the indemnifying party and the Investor Indemnitee or Company Indemnitee, as the case may be; provided, however, that an Investor Indemnitee or Company Indemnitee shall have the right to retain its own counsel with the actual and reasonable third party fees and expenses of not more than one counsel for such Investor Indemnitee or Company Indemnitee to be paid by the indemnifying party, if, in the reasonable opinion of counsel retained by the indemnifying party, the representation by such counsel of the Investor Indemnitee or Company Indemnitee and the indemnifying party would be inappropriate due to actual or potential differing interests between such Investor Indemnitee or Company Indemnitee and any other party represented by such counsel in such proceeding. The Investor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or Company Indemnitee which relates to such action or claim. The indemnifying party shall keep the Investor Indemnitee or Company Indemnitee reasonably apprised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or Company Indemnitee, consent to entry of any judgment or enter into any settlement or other compromise which does not include as an unconditional term thereof the giving by the claimant or plaintiff to such Investor Indemnitee or Company Indemnitee of a release from all liability in respect to such claim or litigation. Following indemnification as provided for hereunder, the indemnifying party shall be subrogated to all rights of the Investor Indemnitee or Company Indemnitee with respect to all third parties, firms or corporations relating to the matter for which indemnification has been made. The indemnification required by this Article V shall be made by periodic payments of the amount thereof during the course of the investigation or defense, as and when bills are received and payment therefor is due.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Remedies</w:t>
      </w:r>
      <w:r>
        <w:rPr>
          <w:rFonts w:ascii="Times New Roman" w:hAnsi="Times New Roman"/>
          <w:color w:val="000000"/>
          <w:sz w:val="24"/>
        </w:rPr>
        <w:t xml:space="preserve">. The remedies provided for in this Article V are not exclusive and shall not limit any right or remedy which may be available to any indemnified Person at law or equity. The obligations of the parties to indemnify or make contribution under this Article V shall survive expiration or termination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Limitation of liability</w:t>
      </w:r>
      <w:r>
        <w:rPr>
          <w:rFonts w:ascii="Times New Roman" w:hAnsi="Times New Roman"/>
          <w:color w:val="000000"/>
          <w:sz w:val="24"/>
        </w:rPr>
        <w:t>. Notwithstanding the foregoing, no Party shall seek, nor shall any be entitled to recover from the other Party for, punitive, indirect, incidental or consequential damages.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VI.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Covenants</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The Company covenants with the Investor, and the Investor covenants with the Company, as follows, which covenants of one party are for the benefit of the other party, during the Commitment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Registration Statement</w:t>
      </w:r>
      <w:r>
        <w:rPr>
          <w:rFonts w:ascii="Times New Roman" w:hAnsi="Times New Roman"/>
          <w:color w:val="000000"/>
          <w:sz w:val="24"/>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- 18 -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Filing of a Registration Statement</w:t>
      </w:r>
      <w:r>
        <w:rPr>
          <w:rFonts w:ascii="Times New Roman" w:hAnsi="Times New Roman"/>
          <w:color w:val="000000"/>
          <w:sz w:val="24"/>
        </w:rPr>
        <w:t xml:space="preserve">. The Company shall prepare and file with the SEC a Registration Statement, or multiple Registration Statements, for the resale by the Investor of the Registrable Securities. The Company in its sole discretion may choose when to file such Registration Statements; </w:t>
      </w:r>
      <w:r>
        <w:rPr>
          <w:rFonts w:ascii="Times New Roman" w:hAnsi="Times New Roman"/>
          <w:i/>
          <w:color w:val="000000"/>
          <w:sz w:val="24"/>
        </w:rPr>
        <w:t>provided, however</w:t>
      </w:r>
      <w:r>
        <w:rPr>
          <w:rFonts w:ascii="Times New Roman" w:hAnsi="Times New Roman"/>
          <w:color w:val="000000"/>
          <w:sz w:val="24"/>
        </w:rPr>
        <w:t>, that the Company shall not have the ability to request any Advances until the effectiveness of a Registration 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Maintaining a Registration Statement</w:t>
      </w:r>
      <w:r>
        <w:rPr>
          <w:rFonts w:ascii="Times New Roman" w:hAnsi="Times New Roman"/>
          <w:color w:val="000000"/>
          <w:sz w:val="24"/>
        </w:rPr>
        <w:t>. The Company shall maintain the effectiveness of any Registration Statement that has been declared effective at all times during the Commitment Period, provided, however, that Company shall have no further obligation to maintain the effectiveness of the Registration Statement upon the occurrence of an event set forth in Section 2.04. . Notwithstanding anything to the contrary contained in this Agreement, the Company shall ensure that, when filed,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During the Commitment Period, the Company shall notify the Investor promptly if (i) the Registration Statement shall cease to be effective under the Securities Act, (ii) the Common Shares shall cease to be quoted on the Principal Market, (iii) the Common Shares cease to be registered under Section 12(b) or Section 12(g) of the Exchange Act or (iv) the Company fails to file in a timely manner all reports and other documents required of it as a reporting company under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Filing Procedures</w:t>
      </w:r>
      <w:r>
        <w:rPr>
          <w:rFonts w:ascii="Times New Roman" w:hAnsi="Times New Roman"/>
          <w:color w:val="000000"/>
          <w:sz w:val="24"/>
        </w:rPr>
        <w:t xml:space="preserve">. The Company shall (A) permit counsel to the Investor an opportunity to review and comment upon (i) each Registration Statement at least three (3) Trading Days prior to its filing with the SEC and (ii) all amendments and supplements to each Registration Statement (including, without limitation, the Prospectus contained therein) (except for Annual Reports on Form 10-K, Quarterly Reports on Form 10-Q, Current Reports on Form 8-K, and any similar or successor reports or Prospectus Supplements the contents of which is limited to that set forth in such reports) within a reasonable number of days prior to their filing with the SEC, and (B) shall reasonably consider any comments of the Investor and its counsel on any such Registration Statement or amendment or supplement thereto or to any Prospectus contained therein. The Company shall promptly furnish to the Investor, without charge, (i) electronic copies of any correspondence from the SEC or the staff of the SEC to the Company or its representatives relating to each Registration Statement (which correspondence shall be redacted to exclude any material, non-public information regarding the Company or any of its Subsidiaries), (ii) after the same is prepared and filed with the SEC, one (1) electronic copy of each Registration Statement and any amendment(s) and supplement(s) thereto, including, without limitation, financial statements and schedules, all documents incorporated therein by reference, if requested by the Investor, and all exhibits and (iii) upon the effectiveness of each Registration Statement, one (1) electronic copy of the Prospectus included in such Registration Statement and all amendments and supplements thereto; provided, however,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- 19 -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not be required to furnish any document to the extent such document is available on EDGAR).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Amendments and Other Filings</w:t>
      </w:r>
      <w:r>
        <w:rPr>
          <w:rFonts w:ascii="Times New Roman" w:hAnsi="Times New Roman"/>
          <w:color w:val="000000"/>
          <w:sz w:val="24"/>
        </w:rPr>
        <w:t>. The Company shall (i) prepare and file with the SEC such amendments (including post-effective amendments) and supplements to a Registration Statement and the related prospectus used in connection with such Registration Statement, which prospectus is to be filed pursuant to Rule 424 promulgated under the Securities Act, as may be necessary to keep such Registration Statement effective at all times during the Commitment Period, and prepare and file with the SEC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promulgated under the Securities Act; (iii) provide the Investor copies of all correspondence from and to the SEC relating to a Registration Statement (provided that the Company may excise any information contained therein which would constitute material non-public information, and (iv) comply with the provisions of the Securities Act with respect to the Registration Statement. In the case of amendments and supplements to a Registration Statement which are required to be filed pursuant to this Agreement (including pursuant to this Section 6.01(d) by reason of the Company’s filing a report on Form 10-K, Form 10-Q, or Form 8-K or any analogous report under the Exchange Act, the Company shall file such report in a Prospectus Supplement filed pursuant to Rule 424 promulgated under the Securities Act to incorporate such filing into the Registration Statement, if applicable, or shall file such amendments or supplements with the SEC either on the day on which the Exchange Act report is filed which created the requirement for the Company to amend or supplement the Registration Statement, if feasible, or otherwise promptly thereafter.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Blue-Sky</w:t>
      </w:r>
      <w:r>
        <w:rPr>
          <w:rFonts w:ascii="Times New Roman" w:hAnsi="Times New Roman"/>
          <w:color w:val="000000"/>
          <w:sz w:val="24"/>
        </w:rPr>
        <w:t xml:space="preserve">. The Company shall use its commercially reasonable efforts to, if required by Applicable Laws, (i) register and qualify the Common Shares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Commitment Period, (iii) take such other actions as may be necessary to maintain such registrations and qualifications in effect at all times during the Commitment Period, and (iv) take all other actions reasonably necessary or advisable to qualify the Common Shares for sale in such jurisdictions; provided, however, that the Company shall not be required in connection therewith or as a condition thereto to (w) make any change to its Certificate of Incorporation or Bylaws or any other organizational documents of the Company or any of its Subsidiaries, (x) qualify to do business in any jurisdiction where it would not otherwise be required to qualify but for this Section 6.01(e), (y) subject itself to general taxation in any such jurisdiction, or (z) file a general consent to service of process in any such jurisdiction. The Company shall promptly notify the Investor of the receipt by the Company of any notification with respect to the suspension of the registration or qualification of any of the Common Shares for sale under the securities or “blue sky” laws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- 20 -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any jurisdiction in the United States or its receipt of actual notice of the initiation or threat of any proceeding for such purpose.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Suspension of Registration Statement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Establishment of a Black Out Period</w:t>
      </w:r>
      <w:r>
        <w:rPr>
          <w:rFonts w:ascii="Times New Roman" w:hAnsi="Times New Roman"/>
          <w:color w:val="000000"/>
          <w:sz w:val="24"/>
        </w:rPr>
        <w:t>. During the Commitment Period, the Company from time to time may suspend the use of the Registration Statement by written notice to the Investor in the event that the Company determines in good faith that such suspension is necessary to (i) delay the disclosure of material non-public information concerning the Company, the disclosure of which at the time is not, in good faith opinion, in the best interests of the Company or (ii) amend or supplement the Registration Statement or Prospectus so that such Registration Statement or Prospectus shall not include an untrue statement of a material fact or omit to state a material fact required to be stated therein or necessary to make the statements therein, in light of the circumstances under which they were made, not misleading (a “</w:t>
      </w:r>
      <w:r>
        <w:rPr>
          <w:rFonts w:ascii="Times New Roman" w:hAnsi="Times New Roman"/>
          <w:color w:val="000000"/>
          <w:sz w:val="24"/>
          <w:u w:val="single"/>
        </w:rPr>
        <w:t>Black Out Period</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Sales by Investor During the Black Out Period</w:t>
      </w:r>
      <w:r>
        <w:rPr>
          <w:rFonts w:ascii="Times New Roman" w:hAnsi="Times New Roman"/>
          <w:color w:val="000000"/>
          <w:sz w:val="24"/>
        </w:rPr>
        <w:t xml:space="preserve">. During such Black Out Period, the Investor agrees not to sell any Common Shares of the Company pursuant to such Registration Statement, but may sell shares pursuant to an exemption from registration, if available, subject to the Investor’s compliance with Applicable Laws.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Limitations on the Black Out Period</w:t>
      </w:r>
      <w:r>
        <w:rPr>
          <w:rFonts w:ascii="Times New Roman" w:hAnsi="Times New Roman"/>
          <w:color w:val="000000"/>
          <w:sz w:val="24"/>
        </w:rPr>
        <w:t>. The Company shall not impose any Black Out Period that is longer than 20 days or in a manner that is more restrictive (including, without limitation, as to duration) than the comparable restrictions that the Company may impose on transfers of the Company’s equity securities by its directors and senior executive officers. In addition, the Company shall not deliver any Advance Notice during any Black Out Period. If the public announcement of such material, nonpublic information is made during a Black Out Period, the Black Out Period shall terminate immediately after such announcement, and the Company shall immediately notify the Investor of the termination of the Black Out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Listing of Common Shares</w:t>
      </w:r>
      <w:r>
        <w:rPr>
          <w:rFonts w:ascii="Times New Roman" w:hAnsi="Times New Roman"/>
          <w:color w:val="000000"/>
          <w:sz w:val="24"/>
        </w:rPr>
        <w:t xml:space="preserve">. As of each Advance Notice Date and the relevant Advance Date, the Shares to be sold by the Company from time to time hereunder will have been registered under Section 12(g) of the Exchange Act and eligible for quotation (or, if the Principal Market is a national securities exchange, approved for listing) on the Principal Market, subject to official notice of issuance.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Opinion of Counsel</w:t>
      </w:r>
      <w:r>
        <w:rPr>
          <w:rFonts w:ascii="Times New Roman" w:hAnsi="Times New Roman"/>
          <w:color w:val="000000"/>
          <w:sz w:val="24"/>
        </w:rPr>
        <w:t>. Prior to the date of the delivery by the Company of the first Advance Notice, the Investor shall have received an opinion letter from counsel to the Company in form and substance reasonably satisfactory to the Investor.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Exchange Act Registration</w:t>
      </w:r>
      <w:r>
        <w:rPr>
          <w:rFonts w:ascii="Times New Roman" w:hAnsi="Times New Roman"/>
          <w:color w:val="000000"/>
          <w:sz w:val="24"/>
        </w:rPr>
        <w:t>. During the Commitment Period, the Company will file in a timely manner all reports and other documents required of it as a reporting company under the Exchange Act and will not take any action or file any document (whether or not permitted by Exchange Act or the rules thereunder) to terminate or suspend its reporting and filing obligations under the Exchange Act.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- 21 -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Transfer Agent Instructions</w:t>
      </w:r>
      <w:r>
        <w:rPr>
          <w:rFonts w:ascii="Times New Roman" w:hAnsi="Times New Roman"/>
          <w:color w:val="000000"/>
          <w:sz w:val="24"/>
        </w:rPr>
        <w:t>. During the Commitment Period (or such shorter time as permitted by Section 2.04 of this Agreement) and subject to Applicable Laws, the Company shall cause (including, if necessary, by causing legal counsel for the Company to deliver an opinion) the transfer agent for the Common Shares to remove restrictive legends from Common Shares purchased by the Investor pursuant to this Agreement, provided that counsel for the Company shall have been furnished with such documents as they may require for the purpose of enabling them to render the opinions or make the statements requested by the transfer agent, or in order to evidence the accuracy of any of the representations or warranties, or the fulfillment of any of the covenants, obligations or conditions, contained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Corporate Existence</w:t>
      </w:r>
      <w:r>
        <w:rPr>
          <w:rFonts w:ascii="Times New Roman" w:hAnsi="Times New Roman"/>
          <w:color w:val="000000"/>
          <w:sz w:val="24"/>
        </w:rPr>
        <w:t>. The Company will use commercially reasonable efforts to preserve and continue the corporate existence of the Company during the Commitment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Notice of Certain Events Affecting Registration; Suspension of Right to Make an Advance</w:t>
      </w:r>
      <w:r>
        <w:rPr>
          <w:rFonts w:ascii="Times New Roman" w:hAnsi="Times New Roman"/>
          <w:color w:val="000000"/>
          <w:sz w:val="24"/>
        </w:rPr>
        <w:t>. The Company will promptly notify the Investor, and confirm in writing, upon its becoming aware of the occurrence of any of the following events in respect of a Registration Statement or related Prospectus (in each of which cases, if the information constitutes material non-public information, the information provided to the Investor will be kept confidential until disclosed by the Company): (i) receipt of any request for additional information by the SEC or any other Federal or state governmental authority during the period of effectiveness of the Registration Statement the response to which would require any post</w:t>
        <w:noBreakHyphen/>
        <w:t xml:space="preserve">effective amendments or supplements to the Registration Statement or the Prospectus; (ii) 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Common Shares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of the necessity to amend the Registration Statement or supplement a related Prospectus to comply with the Securities Act or any other law (and the Company will promptly make available to the Investor any such supplement or amendment to the related Prospectus; provided, however, the Company shall not be required to furnish any document to the extent such document is available on EDGAR); (v) the Company’s reasonable determination that a post-effective amendment to the Registration Statement would be required under Applicable Law; (vi) the Common Shares shall cease to be quoted (or, if the Principal Market is a national securities exchange, authorized for listing) on the Principal Market; or (vii) the Company fails to file in a timely manner all reports and other documents required of it as a reporting company under the Exchange Act. The Company shall not deliver to the Investor any Advance Notice, and the Company shall not sell any Shares pursuant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- 22 -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to any pending Advance Notice (other than as required pursuant to Section 2.02(d)), during the continuation of any of the foregoing events (each of the events described in the immediately preceding clauses (i) through (vii), inclusive, a “</w:t>
      </w:r>
      <w:r>
        <w:rPr>
          <w:rFonts w:ascii="Times New Roman" w:hAnsi="Times New Roman"/>
          <w:color w:val="000000"/>
          <w:sz w:val="24"/>
          <w:u w:val="single"/>
        </w:rPr>
        <w:t>Material Outside Event</w:t>
      </w:r>
      <w:r>
        <w:rPr>
          <w:rFonts w:ascii="Times New Roman" w:hAnsi="Times New Roman"/>
          <w:color w:val="000000"/>
          <w:sz w:val="24"/>
        </w:rPr>
        <w:t>”). For the avoidance of doubt, a transfer of the quotation or listing of the Common Shares from one Principal Market to another shall not constitute a Material Outside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Consolidation</w:t>
      </w:r>
      <w:r>
        <w:rPr>
          <w:rFonts w:ascii="Times New Roman" w:hAnsi="Times New Roman"/>
          <w:color w:val="000000"/>
          <w:sz w:val="24"/>
        </w:rPr>
        <w:t>. If an Advance Notice has been delivered to the Investor, then the Company shall not effect any consolidation of the Company with or into, or a transfer of all or substantially all the assets of the Company to another entity before the transaction contemplated in such Advance Notice has been closed in accordance with Section 2.02 hereof, and all Shares in connection with such Advance have been received by the Investor.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Issuance of the Company’s Shares.</w:t>
      </w:r>
      <w:r>
        <w:rPr>
          <w:rFonts w:ascii="Times New Roman" w:hAnsi="Times New Roman"/>
          <w:color w:val="000000"/>
          <w:sz w:val="24"/>
        </w:rPr>
        <w:t xml:space="preserve"> The issuance and sale of the Shares hereunder shall be made in accordance with the provisions and requirements of Section 4(a)(2) of the Securities Act and any applicable state securities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Expenses</w:t>
      </w:r>
      <w:r>
        <w:rPr>
          <w:rFonts w:ascii="Times New Roman" w:hAnsi="Times New Roman"/>
          <w:color w:val="000000"/>
          <w:sz w:val="24"/>
        </w:rPr>
        <w:t xml:space="preserve">. The Company, whether or not the transactions contemplated hereunder are consummated or this Agreement is terminated, will pay all reasonable and documented expenses incident to the performance of its obligations hereunder, including but not limited to (i) the preparation, printing and filing of the Registration Statement and each amendment and supplement thereto, of each Prospectus and of each amendment and supplement thereto; (ii) the preparation, issuance and delivery of any Shares issued pursuant to this Agreement, (iii) all fees and disbursements of the Company’s counsel, accountants and other advisors (but not, for the avoidance doubt, the fees and disbursements of Investor’s counsel, accountants and other advisors), (iv) the qualification of the Shares under securities laws in accordance with the provisions of this Agreement, including filing fees in connection therewith, (v) the printing and delivery of copies of any Prospectus and any amendments or supplements thereto reasonably requested by the Investor, (vi) the fees and expenses incurred in connection with the listing or qualification of the Shares for trading on the Principal Market, and (vii) filing fees of the SEC and the Principal Market.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Current Report.</w:t>
      </w:r>
      <w:r>
        <w:rPr>
          <w:rFonts w:ascii="Times New Roman" w:hAnsi="Times New Roman"/>
          <w:color w:val="000000"/>
          <w:sz w:val="24"/>
        </w:rPr>
        <w:t xml:space="preserve"> The Company shall, not later than 5:30 p.m., New York City time, on the fourth Business Day after the date of this Agreement, file with the SEC a current report on Form 8-K describing all the material terms of the transactions contemplated by the Transaction Documents in the form required by the Exchange Act and attaching all the material Transaction Documents (including any exhibits thereto, the “</w:t>
      </w:r>
      <w:r>
        <w:rPr>
          <w:rFonts w:ascii="Times New Roman" w:hAnsi="Times New Roman"/>
          <w:color w:val="000000"/>
          <w:sz w:val="24"/>
          <w:u w:val="single"/>
        </w:rPr>
        <w:t>Current Report</w:t>
      </w:r>
      <w:r>
        <w:rPr>
          <w:rFonts w:ascii="Times New Roman" w:hAnsi="Times New Roman"/>
          <w:color w:val="000000"/>
          <w:sz w:val="24"/>
        </w:rPr>
        <w:t xml:space="preserve">”). The Company shall provide the Investor and its legal counsel a reasonable opportunity to comment on a draft of the Current Report including any exhibits to be filed thereto, as applicable, prior to filing the Current Report with the SEC and shall reasonably consider all such comments. Notwithstanding anything contained in this Agreement to the contrary, the Company expressly agrees that prior to delivery of an Advance Notice, the Company shall have publicly disclosed all material, non-public information provided to the Investor (or the Investor’s representatives or agents) by the Company or any of its Subsidiaries, or any of their respective officers, directors, employees, agents or representatives (if any) in connection with the transactions contemplated by the Transaction Documents. The Company shall not, and the Company shall cause each of its Subsidiaries and each of its and their respective officers, directors, employees and agents not to, provide the Investor with any material,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- 23 -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non-public information regarding the Company or any of its Subsidiaries without the express prior written consent of the Investor (which may be granted or withheld in the Investor’s sole discretion). Notwithstanding anything contained in this Agreement to the contrary, the Company expressly agrees that it shall publicly disclose in the Current Report or otherwise make publicly available any information communicated to the Investor by or, to the knowledge of the Company, on behalf of the Company in connection with the transactions contemplated by the Transaction Documents, which, following the Effective Date would, if not so disclosed, constitute material, non-public information regarding the Company or its Subsidiaries. The Company understands and confirms that the Investor will rely on the foregoing representations in effecting resales of Shares. In addition, effective upon the filing of the Current Report, the Company acknowledges and agrees that any and all confidentiality or similar obligations with respect to the transactions contemplated by the Transaction Documents under any agreement, whether written or oral, between the Company, any of its Subsidiaries or any of their respective officers, directors, Affiliates, employees or agents, on the one hand, and Investor or any of its respective officers, directors, Affiliates, employees or agents, on the other hand, shall terminate.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Advance Notice Limitation</w:t>
      </w:r>
      <w:r>
        <w:rPr>
          <w:rFonts w:ascii="Times New Roman" w:hAnsi="Times New Roman"/>
          <w:color w:val="000000"/>
          <w:sz w:val="24"/>
        </w:rPr>
        <w:t xml:space="preserve">. The Company shall not deliver an Advance Notice if a shareholder meeting or corporate action, or the record date for any shareholder meeting or any corporate action, would fall during the period beginning two Trading Days prior to the date of delivery of such Advance Notice and ending two Trading Days following the Closing of such Advance.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Use of Proceeds</w:t>
      </w:r>
      <w:r>
        <w:rPr>
          <w:rFonts w:ascii="Times New Roman" w:hAnsi="Times New Roman"/>
          <w:color w:val="000000"/>
          <w:sz w:val="24"/>
        </w:rPr>
        <w:t xml:space="preserve">. The proceeds from the sale of the Shares by the Company to Investor shall be used by the Company in the manner as will be set forth in the Prospectus included in any Registration Statement (and any post-effective amendment thereto) and any Prospectus Supplement thereto filed pursuant to this Agreement. Neither the Company nor any Subsidiary will, directly or indirectly, use the proceeds of the transactions contemplated herein, or lend, contribute, facilitate or otherwise make available such proceeds to any Person (i) to fund, either directly or indirectly, any activities or business of or with any Person that is identified on the list of Specially Designated Nationals and Blocker Persons maintained by OFAC, or in any country or territory, that, at the time of such funding, is, or whose government is, the subject of Sanctions or Sanctions Programs, or (ii) in any other manner that will result in a violation of Sanctions or Applicable Laws.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Compliance with Laws</w:t>
      </w:r>
      <w:r>
        <w:rPr>
          <w:rFonts w:ascii="Times New Roman" w:hAnsi="Times New Roman"/>
          <w:color w:val="000000"/>
          <w:sz w:val="24"/>
        </w:rPr>
        <w:t xml:space="preserve">. The Company shall comply in all material respects with all Applicable Laws.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Market Activities</w:t>
      </w:r>
      <w:r>
        <w:rPr>
          <w:rFonts w:ascii="Times New Roman" w:hAnsi="Times New Roman"/>
          <w:color w:val="000000"/>
          <w:sz w:val="24"/>
        </w:rPr>
        <w:t>. Neither the Company, nor any Subsidiary, nor any of their respective officers, directors or controlling persons will, directly or indirectly, (i) take any action designed to cause or result in, or that constitutes or might reasonably be expected to constitute or result, in the stabilization or manipulation of the price of any security of the Company to facilitate the sale or resale of Common Shares or (ii) sell, bid for, or purchase Common Shares in violation of Regulation M, or pay anyone any compensation for soliciting purchases of the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Trading Information</w:t>
      </w:r>
      <w:r>
        <w:rPr>
          <w:rFonts w:ascii="Times New Roman" w:hAnsi="Times New Roman"/>
          <w:color w:val="000000"/>
          <w:sz w:val="24"/>
        </w:rPr>
        <w:t xml:space="preserve">. Upon the Company’s request, with respect to any Trading Day on which the Investor has sold Comon Shares, the Investor agrees to provide the Company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- 24 -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trading reports setting forth the number and average sales prices of Common Shares sold by the Investor during such Trading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Selling Restrictions</w:t>
      </w:r>
      <w:r>
        <w:rPr>
          <w:rFonts w:ascii="Times New Roman" w:hAnsi="Times New Roman"/>
          <w:color w:val="000000"/>
          <w:sz w:val="24"/>
        </w:rPr>
        <w:t>. Except as expressly set forth below, the Investor covenants that from and after the date hereof through and including the Trading Day next following the expiration or termination of this Agreement as provided in Section 9.01 (the “</w:t>
      </w:r>
      <w:r>
        <w:rPr>
          <w:rFonts w:ascii="Times New Roman" w:hAnsi="Times New Roman"/>
          <w:color w:val="000000"/>
          <w:sz w:val="24"/>
          <w:u w:val="single"/>
        </w:rPr>
        <w:t>Restricted Period</w:t>
      </w:r>
      <w:r>
        <w:rPr>
          <w:rFonts w:ascii="Times New Roman" w:hAnsi="Times New Roman"/>
          <w:color w:val="000000"/>
          <w:sz w:val="24"/>
        </w:rPr>
        <w:t>”), none of the Investor any of its officers, or any entity managed or controlled by the Investor (collectively, the “</w:t>
      </w:r>
      <w:r>
        <w:rPr>
          <w:rFonts w:ascii="Times New Roman" w:hAnsi="Times New Roman"/>
          <w:color w:val="000000"/>
          <w:sz w:val="24"/>
          <w:u w:val="single"/>
        </w:rPr>
        <w:t>Restricted Persons</w:t>
      </w:r>
      <w:r>
        <w:rPr>
          <w:rFonts w:ascii="Times New Roman" w:hAnsi="Times New Roman"/>
          <w:color w:val="000000"/>
          <w:sz w:val="24"/>
        </w:rPr>
        <w:t>” and each of the foregoing is referred to herein as a “</w:t>
      </w:r>
      <w:r>
        <w:rPr>
          <w:rFonts w:ascii="Times New Roman" w:hAnsi="Times New Roman"/>
          <w:color w:val="000000"/>
          <w:sz w:val="24"/>
          <w:u w:val="single"/>
        </w:rPr>
        <w:t>Restricted Person</w:t>
      </w:r>
      <w:r>
        <w:rPr>
          <w:rFonts w:ascii="Times New Roman" w:hAnsi="Times New Roman"/>
          <w:color w:val="000000"/>
          <w:sz w:val="24"/>
        </w:rPr>
        <w:t xml:space="preserve">”) shall engage in any “short sale” (as such term is defined in Rule 200 of Regulation SHO of the Exchange Act) of the Common Shares, either for its own principal account or for the principal account of any other Restricted Person, solely to the extent such “short sale” establishes a net short position in the Common Shares. Notwithstanding the foregoing, it is expressly understood and agreed that (1) nothing contained herein shall (without implication that the contrary would otherwise be true) prohibit any Restricted Person during the Restricted Period from: (i) selling “long” (as defined under Rule 200 promulgated under Regulation SHO) any Common Shares; (ii) selling a number of Common Shares equal to the number of Advance Shares that such Restricted Person is unconditionally obligated to purchase under a pending Advance Notice but has not yet received from the Company or the transfer agent pursuant to this Agreement; or (iii) selling a number of shares of Common Shares equal to the number of Common Shares that the Investor is entitled to receive, but has not yet received from the Company or the transfer agent, upon the completion of a pending exercise of the Commitment Fee Warrants for which a valid Exercise Notice (as defined in the Commitment Fee Warrants) has been submitted to the Company, and (2) for the purposes of determining a net short position, the Investor shall be considered long shares beneficially owned by the Investor underlying the Commitment Fee Warrants.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Assignment</w:t>
      </w:r>
      <w:r>
        <w:rPr>
          <w:rFonts w:ascii="Times New Roman" w:hAnsi="Times New Roman"/>
          <w:color w:val="000000"/>
          <w:sz w:val="24"/>
        </w:rPr>
        <w:t>. This Agreement shall be binding upon and shall inure to the benefit of the Parties and their respective successors and permitted assigns. No Party shall have any power or any right to assign or transfer, in whole or in part, this Agreement, or any of its rights or any of its obligations hereunder, including, without limitation, any right to pursue any claim for damages pursuant to this Agreement or the transactions contemplated herein, or to pursue any claim for any breach or default of this Agreement, or any right arising from the purported assignor’s due performance of its obligations hereunder, without the prior written consent of the other Party and any such purported assignment in contravention of the provisions herein shall be null and void and of no force or effect. Without the consent of the Investor, the Company shall not have the right to assign or transfer any of its rights or provide any third party the right to bind or obligate the Company, to deliver Advance Notices or effect Advances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6.20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Non-Public Information</w:t>
      </w:r>
      <w:r>
        <w:rPr>
          <w:rFonts w:ascii="Times New Roman" w:hAnsi="Times New Roman"/>
          <w:color w:val="000000"/>
          <w:sz w:val="24"/>
        </w:rPr>
        <w:t xml:space="preserve">. The Company covenants and agrees that, other than as expressly required by Section 6.08 hereof, it shall refrain from disclosing, and shall cause its officers, directors, employees and agents to refrain from disclosing, any material non-public information (as determined under the Securities Act, the Exchange Act, or the rules and regulations of the SEC) to the Investor without also disseminating such information to the public, unless prior to disclosure of such information the Company identifies such information as being material non-public information and the Investor agrees in writing to accept such material non-public information for review. Unless specifically agreed to in writing, in no event shall the Investor have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- 25 -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duty of confidentiality or be deemed to have agreed to maintain information in confidence, with respect to the delivery of any Advance Notices.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6.21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Frustration</w:t>
      </w:r>
      <w:r>
        <w:rPr>
          <w:rFonts w:ascii="Times New Roman" w:hAnsi="Times New Roman"/>
          <w:color w:val="000000"/>
          <w:sz w:val="24"/>
        </w:rPr>
        <w:t>.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the Transaction Documents to which it is a party, including, without limitation, the obligation of the Company to deliver the Shares to the Investor in respect of an Advance Notice.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VII.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Non-Exclusive Agreement</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Notwithstanding anything contained herein, this Agreement and the rights awarded to the Investor hereunder are non-exclusive, and the Company may, at any time throughout the term of this Agreement and thereafter, issue and allot, or undertake to issue and allot, any shares and/or securities and/or convertible notes, bonds, debentures, options to acquire shares or other securities and/or other facilities which may be converted into or replaced by Common Shares or other securities of the Company, and to extend, renew and/or recycle any bonds and/or debentures, and/or grant any rights with respect to its existing and/or future share capital.</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VIII.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br/>
        <w:t>Choice of Law/Jurisdiction; Waiver of Jury Trial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Agreement, and any and all claims, proceedings or causes of action relating to this Agreement or arising from this Agreement or the transactions contemplated herein, including, without limitation, tort claims, statutory claims and contract claims, shall be interpreted, construed, governed and enforced under and solely in accordance with the substantive and procedural laws of the State of New York, in each case as in effect from time to time and as the same may be amended from time to time, and as applied to agreements performed wholly within the State of New York. The Parties further agree that any action between them shall be heard in New York County, New York, and expressly consent to the jurisdiction and venue of the Supreme Court of New York, sitting in New York County, New York and the United States District Court of the Southern District of New York, sitting in New York, New York, for the adjudication of any civil action asserted pursuant to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8.02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PARTY HERETO HEREBY WAIVES, TO THE FULLEST EXTENT PERMITTED BY APPLICABLE LAW, ANY RIGHT IT MAY HAVE TO A TRIAL BY JURY IN ANY LEGAL PROCEEDING DIRECTLY OR INDIRECTLY ARISING OUT OF OR RELATING TO THIS AGREEMENT OR THE TRANSACTIONS CONTEMPLATED HEREIN, THE PERFORMANCE THEREOF OR THE FINANCINGS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- 26 -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OTHER PARTY HERETO HAVE BEEN INDUCED TO ENTER INTO THIS AGREEMENT BY, AMONG OTHER THINGS, THE MUTUAL WAIVERS AND CERTIFICATIONS IN THIS PARAGRAPH.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IX.</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9.01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Unless earlier terminated as provided hereunder, this Agreement shall terminate automatically on the earlier of (i) 36 months following the Effective Date or (ii) the date on which the Investor shall have made payment of Advances pursuant to this Agreement for Common Shares equal to the Commitment Amount.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may terminate this Agreement effective upon five Trading Days’ prior written notice to the Investor; provided that (i) there are no outstanding Advance Notices, the Common Shares under which have yet to be issued, and (ii) the Company has paid all amounts owed to the Investor pursuant to this Agreement. This Agreement may be terminated at any time by the mutual written consent of the parties, effective as of the date of such mutual written consent unless otherwise provided in such written consent.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Nothing in this Section 9.01 shall be deemed to release the Company or the Investor from any liability for any breach under this Agreement prior to the valid termination hereof, or to impair the rights of the Company and the Investor to compel specific performance by the other party of its obligations under this Agreement prior to the valid termination hereof. The indemnification provisions contained in Article V shall survive termination hereunder.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X.</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Notices</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Other than with respect to Advance Notices, which must be in writing delivered in accordance with Section 2.01(b) and will be deemed delivered on the day set forth in Section 2.01(b), any notices, consents, waivers, or other communications required or permitted to be given under the terms of this Agreement must be in writing and will be deemed to have been delivered (i) upon receipt, when delivered personally, (ii) upon receipt, when sent by e-mail if sent on a Trading Day, or, if not sent on a Trading Day, on the immediately following Trading Day, (iii) 5 days after being sent by U.S. certified mail, return receipt requested, or (iv) 1 day after deposit with a nationally recognized overnight delivery service, in each case properly addressed to the party to receive the same. The addresses for such communications (except for Advance Notices which shall be delivered in accordance with Exhibit A hereof) shall be:</w:t>
      </w:r>
    </w:p>
    <w:tbl>
      <w:tblPr>
        <w:tblW w:w="5252" w:type="dxa"/>
        <w:jc w:val="left"/>
        <w:tblInd w:w="0" w:type="dxa"/>
        <w:tblLayout w:type="fixed"/>
        <w:tblCellMar>
          <w:top w:w="28" w:type="dxa"/>
          <w:left w:w="28" w:type="dxa"/>
          <w:bottom w:w="28" w:type="dxa"/>
          <w:right w:w="28" w:type="dxa"/>
        </w:tblCellMar>
      </w:tblPr>
      <w:tblGrid>
        <w:gridCol w:w="2206"/>
        <w:gridCol w:w="3046"/>
      </w:tblGrid>
      <w:tr>
        <w:trPr/>
        <w:tc>
          <w:tcPr>
            <w:tcW w:w="220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If to the Company, to:</w:t>
            </w:r>
          </w:p>
        </w:tc>
        <w:tc>
          <w:tcPr>
            <w:tcW w:w="30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BioAtla, Inc.</w:t>
              <w:br/>
              <w:t>11085 Torreyana Road</w:t>
            </w:r>
          </w:p>
          <w:p>
            <w:pPr>
              <w:pStyle w:val="TableContents"/>
              <w:bidi w:val="0"/>
              <w:jc w:val="left"/>
              <w:rPr>
                <w:rFonts w:ascii="Times New Roman" w:hAnsi="Times New Roman"/>
                <w:color w:val="000000"/>
                <w:sz w:val="24"/>
              </w:rPr>
            </w:pPr>
            <w:r>
              <w:rPr>
                <w:rFonts w:ascii="Times New Roman" w:hAnsi="Times New Roman"/>
                <w:color w:val="000000"/>
                <w:sz w:val="24"/>
              </w:rPr>
              <w:t>San Diego, California 92121</w:t>
            </w:r>
          </w:p>
          <w:p>
            <w:pPr>
              <w:pStyle w:val="TableContents"/>
              <w:bidi w:val="0"/>
              <w:jc w:val="left"/>
              <w:rPr>
                <w:rFonts w:ascii="Times New Roman" w:hAnsi="Times New Roman"/>
                <w:color w:val="000000"/>
                <w:sz w:val="24"/>
              </w:rPr>
            </w:pPr>
            <w:r>
              <w:rPr>
                <w:rFonts w:ascii="Times New Roman" w:hAnsi="Times New Roman"/>
                <w:color w:val="000000"/>
                <w:sz w:val="24"/>
              </w:rPr>
              <w:t>Telephone: (858) 558-0708</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 Jay M. Short, Ph.D.</w:t>
            </w:r>
          </w:p>
        </w:tc>
      </w:tr>
    </w:tbl>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- 27 -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032" w:type="dxa"/>
        <w:jc w:val="left"/>
        <w:tblInd w:w="0" w:type="dxa"/>
        <w:tblLayout w:type="fixed"/>
        <w:tblCellMar>
          <w:top w:w="28" w:type="dxa"/>
          <w:left w:w="28" w:type="dxa"/>
          <w:bottom w:w="28" w:type="dxa"/>
          <w:right w:w="28" w:type="dxa"/>
        </w:tblCellMar>
      </w:tblPr>
      <w:tblGrid>
        <w:gridCol w:w="4126"/>
        <w:gridCol w:w="4906"/>
      </w:tblGrid>
      <w:tr>
        <w:trPr/>
        <w:tc>
          <w:tcPr>
            <w:tcW w:w="4126" w:type="dxa"/>
            <w:tcBorders/>
            <w:vAlign w:val="center"/>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r>
      <w:tr>
        <w:trPr/>
        <w:tc>
          <w:tcPr>
            <w:tcW w:w="4126" w:type="dxa"/>
            <w:tcBorders/>
            <w:tcMar>
              <w:top w:w="0" w:type="dxa"/>
              <w:left w:w="0" w:type="dxa"/>
              <w:bottom w:w="0" w:type="dxa"/>
              <w:right w:w="0" w:type="dxa"/>
            </w:tcMar>
            <w:vAlign w:val="center"/>
          </w:tcPr>
          <w:p>
            <w:pPr>
              <w:pStyle w:val="TableContents"/>
              <w:bidi w:val="0"/>
              <w:spacing w:before="0" w:after="283"/>
              <w:jc w:val="left"/>
              <w:rPr/>
            </w:pPr>
            <w:r>
              <w:rPr/>
              <w:t> </w:t>
            </w:r>
          </w:p>
        </w:tc>
        <w:tc>
          <w:tcPr>
            <w:tcW w:w="4906" w:type="dxa"/>
            <w:tcBorders/>
            <w:tcMar>
              <w:top w:w="0" w:type="dxa"/>
              <w:left w:w="0" w:type="dxa"/>
              <w:bottom w:w="0" w:type="dxa"/>
              <w:right w:w="0" w:type="dxa"/>
            </w:tcMar>
            <w:vAlign w:val="center"/>
          </w:tcPr>
          <w:p>
            <w:pPr>
              <w:pStyle w:val="Heading2"/>
              <w:bidi w:val="0"/>
              <w:spacing w:before="0" w:after="240"/>
              <w:jc w:val="left"/>
              <w:rPr>
                <w:rFonts w:ascii="Times New Roman" w:hAnsi="Times New Roman"/>
                <w:sz w:val="24"/>
              </w:rPr>
            </w:pPr>
            <w:r>
              <w:rPr>
                <w:rFonts w:ascii="Times New Roman" w:hAnsi="Times New Roman"/>
                <w:b w:val="false"/>
                <w:color w:val="000000"/>
                <w:sz w:val="24"/>
              </w:rPr>
              <w:t>E-Mail:</w:t>
            </w:r>
            <w:r>
              <w:rPr>
                <w:rFonts w:ascii="Times New Roman" w:hAnsi="Times New Roman"/>
                <w:color w:val="000000"/>
                <w:sz w:val="24"/>
              </w:rPr>
              <w:t xml:space="preserve"> </w:t>
            </w:r>
          </w:p>
        </w:tc>
      </w:tr>
      <w:tr>
        <w:trPr/>
        <w:tc>
          <w:tcPr>
            <w:tcW w:w="41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With copies (which shall not</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constitute notice or delivery of process) to:</w:t>
            </w:r>
          </w:p>
        </w:tc>
        <w:tc>
          <w:tcPr>
            <w:tcW w:w="49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Orrick, Herrington &amp; Sutcliffe LLP</w:t>
            </w:r>
          </w:p>
          <w:p>
            <w:pPr>
              <w:pStyle w:val="TableContents"/>
              <w:bidi w:val="0"/>
              <w:jc w:val="left"/>
              <w:rPr>
                <w:rFonts w:ascii="Times New Roman" w:hAnsi="Times New Roman"/>
                <w:color w:val="000000"/>
                <w:sz w:val="24"/>
              </w:rPr>
            </w:pPr>
            <w:r>
              <w:rPr>
                <w:rFonts w:ascii="Times New Roman" w:hAnsi="Times New Roman"/>
                <w:color w:val="000000"/>
                <w:sz w:val="24"/>
              </w:rPr>
              <w:t>405 Howard Street</w:t>
            </w:r>
          </w:p>
          <w:p>
            <w:pPr>
              <w:pStyle w:val="TableContents"/>
              <w:bidi w:val="0"/>
              <w:jc w:val="left"/>
              <w:rPr>
                <w:rFonts w:ascii="Times New Roman" w:hAnsi="Times New Roman"/>
                <w:color w:val="000000"/>
                <w:sz w:val="24"/>
              </w:rPr>
            </w:pPr>
            <w:r>
              <w:rPr>
                <w:rFonts w:ascii="Times New Roman" w:hAnsi="Times New Roman"/>
                <w:color w:val="000000"/>
                <w:sz w:val="24"/>
              </w:rPr>
              <w:t>San Francisco, California 94105</w:t>
            </w:r>
          </w:p>
          <w:p>
            <w:pPr>
              <w:pStyle w:val="TableContents"/>
              <w:bidi w:val="0"/>
              <w:jc w:val="left"/>
              <w:rPr>
                <w:rFonts w:ascii="Times New Roman" w:hAnsi="Times New Roman"/>
                <w:color w:val="000000"/>
                <w:sz w:val="24"/>
              </w:rPr>
            </w:pPr>
            <w:r>
              <w:rPr>
                <w:rFonts w:ascii="Times New Roman" w:hAnsi="Times New Roman"/>
                <w:color w:val="000000"/>
                <w:sz w:val="24"/>
              </w:rPr>
              <w:t>Attention: Niki Fang, Esq.; David Schulman, Esq.</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Email:</w:t>
            </w:r>
          </w:p>
        </w:tc>
      </w:tr>
      <w:tr>
        <w:trPr/>
        <w:tc>
          <w:tcPr>
            <w:tcW w:w="4126" w:type="dxa"/>
            <w:tcBorders/>
            <w:tcMar>
              <w:top w:w="0" w:type="dxa"/>
              <w:left w:w="0" w:type="dxa"/>
              <w:bottom w:w="0" w:type="dxa"/>
              <w:right w:w="0" w:type="dxa"/>
            </w:tcMar>
            <w:vAlign w:val="center"/>
          </w:tcPr>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If to the Investor:</w:t>
            </w:r>
          </w:p>
        </w:tc>
        <w:tc>
          <w:tcPr>
            <w:tcW w:w="4906" w:type="dxa"/>
            <w:tcBorders/>
            <w:tcMar>
              <w:top w:w="0" w:type="dxa"/>
              <w:left w:w="0" w:type="dxa"/>
              <w:bottom w:w="0" w:type="dxa"/>
              <w:right w:w="0" w:type="dxa"/>
            </w:tcMar>
            <w:vAlign w:val="center"/>
          </w:tcPr>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YA II PN, Ltd.</w:t>
              <w:br/>
              <w:t>1012 Springfield Avenue</w:t>
              <w:br/>
              <w:t>Mountainside, NJ 07092</w:t>
              <w:br/>
              <w:t>Attn: Mark Angelo</w:t>
              <w:br/>
              <w:t>E-mail:</w:t>
            </w:r>
          </w:p>
        </w:tc>
      </w:tr>
      <w:tr>
        <w:trPr/>
        <w:tc>
          <w:tcPr>
            <w:tcW w:w="41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With a copy (which shall not</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constitute notice or delivery of process) to:</w:t>
            </w:r>
          </w:p>
        </w:tc>
        <w:tc>
          <w:tcPr>
            <w:tcW w:w="4906" w:type="dxa"/>
            <w:tcBorders/>
            <w:tcMar>
              <w:top w:w="0" w:type="dxa"/>
              <w:left w:w="0" w:type="dxa"/>
              <w:bottom w:w="0" w:type="dxa"/>
              <w:right w:w="0" w:type="dxa"/>
            </w:tcMar>
            <w:vAlign w:val="center"/>
          </w:tcPr>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David Fine, Esq.</w:t>
              <w:br/>
              <w:t>1012 Springfield Avenue</w:t>
              <w:br/>
              <w:t>Mountainside, NJ 07092</w:t>
              <w:br/>
              <w:t>E-mail:</w:t>
            </w:r>
          </w:p>
        </w:tc>
      </w:tr>
    </w:tbl>
    <w:p>
      <w:pPr>
        <w:pStyle w:val="Heading2"/>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at such other address and/or e-mail and/or to the attention of such other Person as the recipient party has specified by written notice given to each other party three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in accordance with clause (i), (ii) or (iii) above, respectively.</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XI.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Miscellaneous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Counterparts</w:t>
      </w:r>
      <w:r>
        <w:rPr>
          <w:rFonts w:ascii="Times New Roman" w:hAnsi="Times New Roman"/>
          <w:color w:val="000000"/>
          <w:sz w:val="24"/>
        </w:rPr>
        <w:t xml:space="preserve">. 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w:t>
      </w:r>
      <w:r>
        <w:rPr>
          <w:rFonts w:ascii="Times New Roman" w:hAnsi="Times New Roman"/>
          <w:i/>
          <w:color w:val="000000"/>
          <w:sz w:val="24"/>
        </w:rPr>
        <w:t>e.g.</w:t>
      </w:r>
      <w:r>
        <w:rPr>
          <w:rFonts w:ascii="Times New Roman" w:hAnsi="Times New Roman"/>
          <w:color w:val="000000"/>
          <w:sz w:val="24"/>
        </w:rPr>
        <w:t xml:space="preserve">, www.docusign.com), including by e-mail attachment, shall be deemed to have been duly and validly delivered and be valid and effective for all purposes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Entire Agreement; Amendments</w:t>
      </w:r>
      <w:r>
        <w:rPr>
          <w:rFonts w:ascii="Times New Roman" w:hAnsi="Times New Roman"/>
          <w:color w:val="000000"/>
          <w:sz w:val="24"/>
        </w:rPr>
        <w:t xml:space="preserve">. This Agreement supersedes all other prior oral or written agreements between the Investor, the Company, their respective Affiliates and Persons acting on their behalf with respect to the matters discussed herein, and this Agreement contains the entire understanding of the parties with respect to the matters covered herein and, except as specifically set forth herein, neither the Company nor the Investor makes any representation, warranty, covenant or undertaking with respect to such matters. No provision of this Agreement may be waived or amended other than by agreement of the parties to this Agreement. The failure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- 28 -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any party hereto to exercise any right, power or remedy provided under this Agreement or otherwise available in respect hereof at law or in equity, or to insist upon strict compliance by any other party hereto with its obligations hereunder, shall not constitute a waiver by such party of its right to exercise any such right, power or remedy or any other right, power or remedy or to demand strict compliance with such obligations hereunder. No custom or practice of the parties at variance with the terms hereof shall constitute a waiver by any party of its right to exercise any right, power or remedy available to it hereunder or any other right, power or remedy or to demand strict compliance with the terms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Reporting Entity for the Common Shares</w:t>
      </w:r>
      <w:r>
        <w:rPr>
          <w:rFonts w:ascii="Times New Roman" w:hAnsi="Times New Roman"/>
          <w:color w:val="000000"/>
          <w:sz w:val="24"/>
        </w:rPr>
        <w:t>. The reporting entity relied upon for the determination of the trading price or trading volume of the Common Shares on any given Trading Day for the purposes of this Agreement shall be Bloomberg, L.P. or any successor thereto. The written mutual consent of the Investor and the Company shall be required to employ any other reporting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Commitment Fee</w:t>
      </w:r>
      <w:r>
        <w:rPr>
          <w:rFonts w:ascii="Times New Roman" w:hAnsi="Times New Roman"/>
          <w:color w:val="000000"/>
          <w:sz w:val="24"/>
        </w:rPr>
        <w:t>. Each of the parties shall pay its own fees and expenses (including the fees of any attorneys, accountants, appraisers or others engaged by such party) in connection with this Agreement and the transactions contemplated hereby, except that the Company shall pay a commitment fee in an amount equal to $500,000 (the “</w:t>
      </w:r>
      <w:r>
        <w:rPr>
          <w:rFonts w:ascii="Times New Roman" w:hAnsi="Times New Roman"/>
          <w:color w:val="000000"/>
          <w:sz w:val="24"/>
          <w:u w:val="single"/>
        </w:rPr>
        <w:t>Commitment Fee</w:t>
      </w:r>
      <w:r>
        <w:rPr>
          <w:rFonts w:ascii="Times New Roman" w:hAnsi="Times New Roman"/>
          <w:color w:val="000000"/>
          <w:sz w:val="24"/>
        </w:rPr>
        <w:t xml:space="preserve">”). The Commitment Fee shall be earned on the date hereof and shall be paid as follows: (i) one-half of the Commitment Fee shall be paid within five days of the date hereof, at the Company’s election, either in cash, or by the issuance to the Investor of warrants in the form attached hereto as </w:t>
      </w:r>
      <w:r>
        <w:rPr>
          <w:rFonts w:ascii="Times New Roman" w:hAnsi="Times New Roman"/>
          <w:color w:val="000000"/>
          <w:sz w:val="24"/>
          <w:u w:val="single"/>
        </w:rPr>
        <w:t>Exhibit C</w:t>
      </w:r>
      <w:r>
        <w:rPr>
          <w:rFonts w:ascii="Times New Roman" w:hAnsi="Times New Roman"/>
          <w:color w:val="000000"/>
          <w:sz w:val="24"/>
        </w:rPr>
        <w:t xml:space="preserve"> (the “</w:t>
      </w:r>
      <w:r>
        <w:rPr>
          <w:rFonts w:ascii="Times New Roman" w:hAnsi="Times New Roman"/>
          <w:color w:val="000000"/>
          <w:sz w:val="24"/>
          <w:u w:val="single"/>
        </w:rPr>
        <w:t>Commitment Fee Warrants</w:t>
      </w:r>
      <w:r>
        <w:rPr>
          <w:rFonts w:ascii="Times New Roman" w:hAnsi="Times New Roman"/>
          <w:color w:val="000000"/>
          <w:sz w:val="24"/>
        </w:rPr>
        <w:t>”) exercisable for such number of Common Shares that is equal to one-half of the Commitment Fee divided by the average of the daily VWAPs of the Common Shares during the 5 Trading Days immediately prior to the Effective Date, and (ii) the remaining one-half of the Commitment Fee shall be paid on or before December 31, 2026, at the Company’s election, either in cash, or by the issuance to the Investor of additional Commitment Fee Warrants exercisable for such number of additional Common Shares that is equal to the one-half of the Commitment Fee divided by the average of the daily VWAPs of the Common Shares during the 5 Trading Days immediately prior to December 31, 2026 (such Common Shares underlying the Commitment Fee Warrants, the “</w:t>
      </w:r>
      <w:r>
        <w:rPr>
          <w:rFonts w:ascii="Times New Roman" w:hAnsi="Times New Roman"/>
          <w:color w:val="000000"/>
          <w:sz w:val="24"/>
          <w:u w:val="single"/>
        </w:rPr>
        <w:t>Commitment Shares</w:t>
      </w:r>
      <w:r>
        <w:rPr>
          <w:rFonts w:ascii="Times New Roman" w:hAnsi="Times New Roman"/>
          <w:color w:val="000000"/>
          <w:sz w:val="24"/>
        </w:rPr>
        <w:t xml:space="preserve">”). Any Commitment Shares underlying Commitment Fee Warrants that have been issued prior to the filing of the initial Registration Statement shall be included on the initial Registration Statement. The Commitment Fee Warrants shall be issued in reliance on Section 4(a)(2) of the Securities Act. Upon issuance hereunder Commitment Fee Warrants shall bear a restrictive legend in substantially the following form: </w:t>
      </w:r>
    </w:p>
    <w:p>
      <w:pPr>
        <w:pStyle w:val="Heading2"/>
        <w:bidi w:val="0"/>
        <w:spacing w:before="0" w:after="240"/>
        <w:jc w:val="both"/>
        <w:rPr/>
      </w:pPr>
      <w:r>
        <w:rPr>
          <w:color w:val="000000"/>
        </w:rPr>
        <w:t>“</w:t>
      </w:r>
      <w:r>
        <w:rPr>
          <w:rFonts w:ascii="Times New Roman" w:hAnsi="Times New Roman"/>
          <w:b w:val="false"/>
          <w:color w:val="000000"/>
          <w:sz w:val="24"/>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r>
        <w:rPr>
          <w:rFonts w:ascii="Times New Roman" w:hAnsi="Times New Roman"/>
          <w:color w:val="000000"/>
          <w:sz w:val="24"/>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- 29 -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Brokerage</w:t>
      </w:r>
      <w:r>
        <w:rPr>
          <w:rFonts w:ascii="Times New Roman" w:hAnsi="Times New Roman"/>
          <w:color w:val="000000"/>
          <w:sz w:val="24"/>
        </w:rPr>
        <w:t>. 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 to have been rendered on behalf of the indemnifying party in connection with this Agreement or the transactions contemplated hereby.</w:t>
      </w:r>
    </w:p>
    <w:p>
      <w:pPr>
        <w:pStyle w:val="TextBody"/>
        <w:bidi w:val="0"/>
        <w:jc w:val="center"/>
        <w:rPr>
          <w:rFonts w:ascii="Times New Roman" w:hAnsi="Times New Roman"/>
          <w:b/>
          <w:color w:val="000000"/>
          <w:sz w:val="24"/>
        </w:rPr>
      </w:pPr>
      <w:r>
        <w:rPr>
          <w:rFonts w:ascii="Times New Roman" w:hAnsi="Times New Roman"/>
          <w:b/>
          <w:color w:val="000000"/>
          <w:sz w:val="24"/>
        </w:rPr>
        <w:t>[REMAINDER OF PAGE INTENTIONALLY LEFT BLANK]</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- 30 -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b/>
          <w:color w:val="000000"/>
          <w:sz w:val="24"/>
        </w:rPr>
        <w:t>IN WITNESS WHEREOF</w:t>
      </w:r>
      <w:r>
        <w:rPr>
          <w:rFonts w:ascii="Times New Roman" w:hAnsi="Times New Roman"/>
          <w:color w:val="000000"/>
          <w:sz w:val="24"/>
        </w:rPr>
        <w:t>, the parties hereto have caused this Standby Equity Purchase Agreement to be executed by the undersigned, thereunto duly authorized, as of the date first set forth above.</w:t>
      </w:r>
    </w:p>
    <w:tbl>
      <w:tblPr>
        <w:tblW w:w="5472" w:type="dxa"/>
        <w:jc w:val="left"/>
        <w:tblInd w:w="0" w:type="dxa"/>
        <w:tblLayout w:type="fixed"/>
        <w:tblCellMar>
          <w:top w:w="28" w:type="dxa"/>
          <w:left w:w="28" w:type="dxa"/>
          <w:bottom w:w="28" w:type="dxa"/>
          <w:right w:w="28" w:type="dxa"/>
        </w:tblCellMar>
      </w:tblPr>
      <w:tblGrid>
        <w:gridCol w:w="881"/>
        <w:gridCol w:w="4591"/>
      </w:tblGrid>
      <w:tr>
        <w:trPr/>
        <w:tc>
          <w:tcPr>
            <w:tcW w:w="881"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COMPANY:</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aps/>
                <w:color w:val="000000"/>
                <w:sz w:val="24"/>
              </w:rPr>
              <w:t>BioAtla, Inc.</w:t>
            </w:r>
            <w:r>
              <w:rPr>
                <w:rFonts w:ascii="Times New Roman" w:hAnsi="Times New Roman"/>
                <w:caps/>
                <w:color w:val="000000"/>
                <w:sz w:val="24"/>
              </w:rPr>
              <w:t xml:space="preserve"> </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 /s/ Jay M. Short</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Jay M. Short</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Chief Executive Officer</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INVESTOR:</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24"/>
              </w:rPr>
            </w:pPr>
            <w:r>
              <w:rPr>
                <w:rFonts w:ascii="Times New Roman" w:hAnsi="Times New Roman"/>
                <w:b/>
                <w:caps/>
                <w:color w:val="000000"/>
                <w:sz w:val="24"/>
              </w:rPr>
              <w:t>YA II PN, Ltd.</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Yorkville Advisors Global, LP</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Its: Investment Manager</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4591" w:type="dxa"/>
            <w:tcBorders/>
            <w:tcMar>
              <w:top w:w="0" w:type="dxa"/>
              <w:left w:w="0" w:type="dxa"/>
              <w:bottom w:w="0" w:type="dxa"/>
              <w:right w:w="0" w:type="dxa"/>
            </w:tcMar>
            <w:vAlign w:val="center"/>
          </w:tcPr>
          <w:p>
            <w:pPr>
              <w:pStyle w:val="TableContents"/>
              <w:bidi w:val="0"/>
              <w:ind w:left="0" w:right="0" w:firstLine="720"/>
              <w:jc w:val="left"/>
              <w:rPr/>
            </w:pPr>
            <w:r>
              <w:rPr/>
              <w:t> </w:t>
            </w:r>
          </w:p>
          <w:p>
            <w:pPr>
              <w:pStyle w:val="TableContents"/>
              <w:bidi w:val="0"/>
              <w:ind w:left="0" w:right="0" w:firstLine="720"/>
              <w:jc w:val="left"/>
              <w:rPr>
                <w:rFonts w:ascii="Times New Roman" w:hAnsi="Times New Roman"/>
                <w:color w:val="000000"/>
                <w:sz w:val="24"/>
              </w:rPr>
            </w:pPr>
            <w:r>
              <w:rPr>
                <w:rFonts w:ascii="Times New Roman" w:hAnsi="Times New Roman"/>
                <w:color w:val="000000"/>
                <w:sz w:val="24"/>
              </w:rPr>
              <w:t>By: Yorkville Advisors Global II, LLC</w:t>
            </w:r>
          </w:p>
          <w:p>
            <w:pPr>
              <w:pStyle w:val="TableContents"/>
              <w:bidi w:val="0"/>
              <w:ind w:left="0" w:right="0" w:firstLine="720"/>
              <w:jc w:val="left"/>
              <w:rPr>
                <w:rFonts w:ascii="Times New Roman" w:hAnsi="Times New Roman"/>
                <w:color w:val="000000"/>
                <w:sz w:val="24"/>
              </w:rPr>
            </w:pPr>
            <w:r>
              <w:rPr>
                <w:rFonts w:ascii="Times New Roman" w:hAnsi="Times New Roman"/>
                <w:color w:val="000000"/>
                <w:sz w:val="24"/>
              </w:rPr>
              <w:t>Its: General Partner</w:t>
            </w:r>
          </w:p>
          <w:p>
            <w:pPr>
              <w:pStyle w:val="TableContents"/>
              <w:bidi w:val="0"/>
              <w:spacing w:before="0" w:after="283"/>
              <w:ind w:left="0" w:right="0" w:firstLine="720"/>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4"/>
              </w:rPr>
              <w:t>By:</w:t>
            </w:r>
            <w:r>
              <w:rPr>
                <w:rFonts w:ascii="Times New Roman" w:hAnsi="Times New Roman"/>
                <w:color w:val="000000"/>
                <w:sz w:val="24"/>
                <w:u w:val="single"/>
              </w:rPr>
              <w:t> /s/ Matthew Beckman</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Name: Matthew Beckman</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Title: Manager</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- 31 -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4"/>
        </w:rPr>
      </w:pPr>
      <w:r>
        <w:rPr>
          <w:rFonts w:ascii="Times New Roman" w:hAnsi="Times New Roman"/>
          <w:b/>
          <w:color w:val="000000"/>
          <w:sz w:val="24"/>
        </w:rPr>
        <w:t>ANNEX I TO THE</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STANDBY EQUITY PURCHASE AGREEMENT</w:t>
      </w:r>
    </w:p>
    <w:p>
      <w:pPr>
        <w:pStyle w:val="TextBody"/>
        <w:bidi w:val="0"/>
        <w:jc w:val="center"/>
        <w:rPr>
          <w:rFonts w:ascii="Times New Roman" w:hAnsi="Times New Roman"/>
          <w:b/>
          <w:color w:val="000000"/>
          <w:sz w:val="24"/>
        </w:rPr>
      </w:pPr>
      <w:r>
        <w:rPr>
          <w:rFonts w:ascii="Times New Roman" w:hAnsi="Times New Roman"/>
          <w:b/>
          <w:color w:val="000000"/>
          <w:sz w:val="24"/>
        </w:rPr>
        <w:t>DEFINITIONS</w:t>
      </w:r>
    </w:p>
    <w:p>
      <w:pPr>
        <w:pStyle w:val="TextBody"/>
        <w:bidi w:val="0"/>
        <w:jc w:val="center"/>
        <w:rPr/>
      </w:pPr>
      <w:r>
        <w:rPr/>
        <w:t> </w:t>
      </w:r>
    </w:p>
    <w:p>
      <w:pPr>
        <w:pStyle w:val="Heading2"/>
        <w:bidi w:val="0"/>
        <w:spacing w:before="0" w:after="240"/>
        <w:jc w:val="both"/>
        <w:rPr/>
      </w:pPr>
      <w:r>
        <w:rPr>
          <w:color w:val="000000"/>
        </w:rPr>
        <w:t>“</w:t>
      </w:r>
      <w:r>
        <w:rPr>
          <w:rFonts w:ascii="Times New Roman" w:hAnsi="Times New Roman"/>
          <w:b w:val="false"/>
          <w:color w:val="000000"/>
          <w:sz w:val="24"/>
          <w:u w:val="single"/>
        </w:rPr>
        <w:t>Additional Shares</w:t>
      </w:r>
      <w:r>
        <w:rPr>
          <w:rFonts w:ascii="Times New Roman" w:hAnsi="Times New Roman"/>
          <w:color w:val="000000"/>
          <w:sz w:val="24"/>
        </w:rPr>
        <w:t xml:space="preserve">” </w:t>
      </w:r>
      <w:r>
        <w:rPr>
          <w:rFonts w:ascii="Times New Roman" w:hAnsi="Times New Roman"/>
          <w:b w:val="false"/>
          <w:color w:val="000000"/>
          <w:sz w:val="24"/>
        </w:rPr>
        <w:t>shall have the meaning set forth in Section 2.01(d)(ii).</w:t>
      </w:r>
    </w:p>
    <w:p>
      <w:pPr>
        <w:pStyle w:val="Heading2"/>
        <w:bidi w:val="0"/>
        <w:spacing w:before="0" w:after="240"/>
        <w:jc w:val="both"/>
        <w:rPr/>
      </w:pPr>
      <w:r>
        <w:rPr>
          <w:color w:val="000000"/>
        </w:rPr>
        <w:t>“</w:t>
      </w:r>
      <w:r>
        <w:rPr>
          <w:rFonts w:ascii="Times New Roman" w:hAnsi="Times New Roman"/>
          <w:b w:val="false"/>
          <w:color w:val="000000"/>
          <w:sz w:val="24"/>
          <w:u w:val="single"/>
        </w:rPr>
        <w:t>Adjusted Advance Amount</w:t>
      </w:r>
      <w:r>
        <w:rPr>
          <w:rFonts w:ascii="Times New Roman" w:hAnsi="Times New Roman"/>
          <w:color w:val="000000"/>
          <w:sz w:val="24"/>
        </w:rPr>
        <w:t xml:space="preserve">” </w:t>
      </w:r>
      <w:r>
        <w:rPr>
          <w:rFonts w:ascii="Times New Roman" w:hAnsi="Times New Roman"/>
          <w:b w:val="false"/>
          <w:color w:val="000000"/>
          <w:sz w:val="24"/>
        </w:rPr>
        <w:t>shall have the meaning set forth in Section 2.01(d)(i).</w:t>
      </w:r>
    </w:p>
    <w:p>
      <w:pPr>
        <w:pStyle w:val="Heading2"/>
        <w:bidi w:val="0"/>
        <w:spacing w:before="0" w:after="240"/>
        <w:jc w:val="both"/>
        <w:rPr/>
      </w:pPr>
      <w:r>
        <w:rPr>
          <w:color w:val="000000"/>
        </w:rPr>
        <w:t>“</w:t>
      </w:r>
      <w:r>
        <w:rPr>
          <w:rFonts w:ascii="Times New Roman" w:hAnsi="Times New Roman"/>
          <w:b w:val="false"/>
          <w:color w:val="000000"/>
          <w:sz w:val="24"/>
          <w:u w:val="single"/>
        </w:rPr>
        <w:t>Advance</w:t>
      </w:r>
      <w:r>
        <w:rPr>
          <w:rFonts w:ascii="Times New Roman" w:hAnsi="Times New Roman"/>
          <w:color w:val="000000"/>
          <w:sz w:val="24"/>
        </w:rPr>
        <w:t xml:space="preserve">” </w:t>
      </w:r>
      <w:r>
        <w:rPr>
          <w:rFonts w:ascii="Times New Roman" w:hAnsi="Times New Roman"/>
          <w:b w:val="false"/>
          <w:color w:val="000000"/>
          <w:sz w:val="24"/>
        </w:rPr>
        <w:t>shall mean any issuance and sale of Advance Shares by the Company to the Investor pursuant to this Agreement.</w:t>
      </w:r>
    </w:p>
    <w:p>
      <w:pPr>
        <w:pStyle w:val="Heading2"/>
        <w:bidi w:val="0"/>
        <w:spacing w:before="0" w:after="240"/>
        <w:jc w:val="both"/>
        <w:rPr/>
      </w:pPr>
      <w:r>
        <w:rPr>
          <w:color w:val="000000"/>
        </w:rPr>
        <w:t>“</w:t>
      </w:r>
      <w:r>
        <w:rPr>
          <w:rFonts w:ascii="Times New Roman" w:hAnsi="Times New Roman"/>
          <w:b w:val="false"/>
          <w:color w:val="000000"/>
          <w:sz w:val="24"/>
          <w:u w:val="single"/>
        </w:rPr>
        <w:t>Advance Date</w:t>
      </w:r>
      <w:r>
        <w:rPr>
          <w:rFonts w:ascii="Times New Roman" w:hAnsi="Times New Roman"/>
          <w:color w:val="000000"/>
          <w:sz w:val="24"/>
        </w:rPr>
        <w:t xml:space="preserve">” </w:t>
      </w:r>
      <w:r>
        <w:rPr>
          <w:rFonts w:ascii="Times New Roman" w:hAnsi="Times New Roman"/>
          <w:b w:val="false"/>
          <w:color w:val="000000"/>
          <w:sz w:val="24"/>
        </w:rPr>
        <w:t>shall mean the first Trading Day after expiration of the applicable Pricing Period for each Advance.</w:t>
      </w:r>
    </w:p>
    <w:p>
      <w:pPr>
        <w:pStyle w:val="Heading2"/>
        <w:bidi w:val="0"/>
        <w:spacing w:before="0" w:after="240"/>
        <w:jc w:val="both"/>
        <w:rPr/>
      </w:pPr>
      <w:r>
        <w:rPr>
          <w:color w:val="000000"/>
        </w:rPr>
        <w:t>“</w:t>
      </w:r>
      <w:r>
        <w:rPr>
          <w:rFonts w:ascii="Times New Roman" w:hAnsi="Times New Roman"/>
          <w:b w:val="false"/>
          <w:color w:val="000000"/>
          <w:sz w:val="24"/>
          <w:u w:val="single"/>
        </w:rPr>
        <w:t>Advance Notice</w:t>
      </w:r>
      <w:r>
        <w:rPr>
          <w:rFonts w:ascii="Times New Roman" w:hAnsi="Times New Roman"/>
          <w:color w:val="000000"/>
          <w:sz w:val="24"/>
        </w:rPr>
        <w:t xml:space="preserve">” </w:t>
      </w:r>
      <w:r>
        <w:rPr>
          <w:rFonts w:ascii="Times New Roman" w:hAnsi="Times New Roman"/>
          <w:b w:val="false"/>
          <w:color w:val="000000"/>
          <w:sz w:val="24"/>
        </w:rPr>
        <w:t>shall mean a written notice in the form of Exhibit A attached hereto to the Investor executed by an officer of the Company and setting forth the number of Advance Shares that the Company desires to issue and sell to the Investor.</w:t>
      </w:r>
    </w:p>
    <w:p>
      <w:pPr>
        <w:pStyle w:val="Heading2"/>
        <w:bidi w:val="0"/>
        <w:spacing w:before="0" w:after="240"/>
        <w:jc w:val="both"/>
        <w:rPr/>
      </w:pPr>
      <w:r>
        <w:rPr>
          <w:color w:val="000000"/>
        </w:rPr>
        <w:t>“</w:t>
      </w:r>
      <w:r>
        <w:rPr>
          <w:rFonts w:ascii="Times New Roman" w:hAnsi="Times New Roman"/>
          <w:b w:val="false"/>
          <w:color w:val="000000"/>
          <w:sz w:val="24"/>
          <w:u w:val="single"/>
        </w:rPr>
        <w:t>Advance Notice Date</w:t>
      </w:r>
      <w:r>
        <w:rPr>
          <w:rFonts w:ascii="Times New Roman" w:hAnsi="Times New Roman"/>
          <w:color w:val="000000"/>
          <w:sz w:val="24"/>
        </w:rPr>
        <w:t xml:space="preserve">” </w:t>
      </w:r>
      <w:r>
        <w:rPr>
          <w:rFonts w:ascii="Times New Roman" w:hAnsi="Times New Roman"/>
          <w:b w:val="false"/>
          <w:color w:val="000000"/>
          <w:sz w:val="24"/>
        </w:rPr>
        <w:t>shall mean each date the Company is deemed to have delivered (in accordance with Section 2.01(b) of this Agreement) an Advance Notice to the Investor, subject to the terms of this Agreement.</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Advance Shares</w:t>
      </w:r>
      <w:r>
        <w:rPr>
          <w:rFonts w:ascii="Times New Roman" w:hAnsi="Times New Roman"/>
          <w:color w:val="000000"/>
          <w:sz w:val="24"/>
        </w:rPr>
        <w:t xml:space="preserve">” </w:t>
      </w:r>
      <w:r>
        <w:rPr>
          <w:rFonts w:ascii="Times New Roman" w:hAnsi="Times New Roman"/>
          <w:b w:val="false"/>
          <w:color w:val="000000"/>
          <w:sz w:val="24"/>
        </w:rPr>
        <w:t>shall mean the Common Shares that the Company shall issue and sell to the Investor pursuant to an Advance Notice delivered in accordance with the terms of this Agreement.</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Affiliate</w:t>
      </w:r>
      <w:r>
        <w:rPr>
          <w:rFonts w:ascii="Times New Roman" w:hAnsi="Times New Roman"/>
          <w:color w:val="000000"/>
          <w:sz w:val="24"/>
        </w:rPr>
        <w:t xml:space="preserve">” </w:t>
      </w:r>
      <w:r>
        <w:rPr>
          <w:rFonts w:ascii="Times New Roman" w:hAnsi="Times New Roman"/>
          <w:b w:val="false"/>
          <w:color w:val="000000"/>
          <w:sz w:val="24"/>
        </w:rPr>
        <w:t>shall have the meaning set forth in Section 3.07.</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Agreement</w:t>
      </w:r>
      <w:r>
        <w:rPr>
          <w:rFonts w:ascii="Times New Roman" w:hAnsi="Times New Roman"/>
          <w:color w:val="000000"/>
          <w:sz w:val="24"/>
        </w:rPr>
        <w:t xml:space="preserve">” </w:t>
      </w:r>
      <w:r>
        <w:rPr>
          <w:rFonts w:ascii="Times New Roman" w:hAnsi="Times New Roman"/>
          <w:b w:val="false"/>
          <w:color w:val="000000"/>
          <w:sz w:val="24"/>
        </w:rPr>
        <w:t>shall have the meaning set forth in the preamble of this Agreement.</w:t>
      </w:r>
    </w:p>
    <w:p>
      <w:pPr>
        <w:pStyle w:val="Heading2"/>
        <w:bidi w:val="0"/>
        <w:spacing w:before="0" w:after="240"/>
        <w:jc w:val="both"/>
        <w:rPr/>
      </w:pPr>
      <w:r>
        <w:rPr>
          <w:color w:val="000000"/>
        </w:rPr>
        <w:t>“</w:t>
      </w:r>
      <w:r>
        <w:rPr>
          <w:rFonts w:ascii="Times New Roman" w:hAnsi="Times New Roman"/>
          <w:b w:val="false"/>
          <w:color w:val="000000"/>
          <w:sz w:val="24"/>
          <w:u w:val="single"/>
        </w:rPr>
        <w:t>Applicable Laws</w:t>
      </w:r>
      <w:r>
        <w:rPr>
          <w:rFonts w:ascii="Times New Roman" w:hAnsi="Times New Roman"/>
          <w:color w:val="000000"/>
          <w:sz w:val="24"/>
        </w:rPr>
        <w:t xml:space="preserve">” </w:t>
      </w:r>
      <w:r>
        <w:rPr>
          <w:rFonts w:ascii="Times New Roman" w:hAnsi="Times New Roman"/>
          <w:b w:val="false"/>
          <w:color w:val="000000"/>
          <w:sz w:val="24"/>
        </w:rPr>
        <w:t>shall mean all applicable laws, statutes, rules, regulations, orders, decrees, rulings, injunctions, executive orders, directives, policies, guidelines and codes having the force of law, whether local, national, or international, as amended from time to time, including without limitation (i) all applicable laws that relate to money laundering, terrorist financing, financial record keeping and reporting, (ii) all applicable laws that relate to anti-bribery, anti-corruption, books and records and internal controls, including the United States Foreign Corrupt Practices Act of 1977, and (iii) any Sanctions laws.</w:t>
      </w:r>
    </w:p>
    <w:p>
      <w:pPr>
        <w:pStyle w:val="Heading2"/>
        <w:bidi w:val="0"/>
        <w:spacing w:before="0" w:after="240"/>
        <w:jc w:val="both"/>
        <w:rPr/>
      </w:pPr>
      <w:r>
        <w:rPr>
          <w:color w:val="000000"/>
        </w:rPr>
        <w:t>“</w:t>
      </w:r>
      <w:r>
        <w:rPr>
          <w:rFonts w:ascii="Times New Roman" w:hAnsi="Times New Roman"/>
          <w:b w:val="false"/>
          <w:color w:val="000000"/>
          <w:sz w:val="24"/>
          <w:u w:val="single"/>
        </w:rPr>
        <w:t>Average Price</w:t>
      </w:r>
      <w:r>
        <w:rPr>
          <w:rFonts w:ascii="Times New Roman" w:hAnsi="Times New Roman"/>
          <w:color w:val="000000"/>
          <w:sz w:val="24"/>
        </w:rPr>
        <w:t xml:space="preserve">” </w:t>
      </w:r>
      <w:r>
        <w:rPr>
          <w:rFonts w:ascii="Times New Roman" w:hAnsi="Times New Roman"/>
          <w:b w:val="false"/>
          <w:color w:val="000000"/>
          <w:sz w:val="24"/>
        </w:rPr>
        <w:t>shall mean a price per Share equal to the quotient obtained by dividing (i) the aggregate gross purchase price paid by the Investor for all Shares purchased pursuant to this Agreement, by (ii) the aggregate number of Shares issued pursuant to this Agreement.</w:t>
      </w:r>
    </w:p>
    <w:p>
      <w:pPr>
        <w:pStyle w:val="Heading2"/>
        <w:bidi w:val="0"/>
        <w:spacing w:before="0" w:after="240"/>
        <w:jc w:val="both"/>
        <w:rPr/>
      </w:pPr>
      <w:r>
        <w:rPr>
          <w:color w:val="000000"/>
        </w:rPr>
        <w:t>“</w:t>
      </w:r>
      <w:r>
        <w:rPr>
          <w:rFonts w:ascii="Times New Roman" w:hAnsi="Times New Roman"/>
          <w:b w:val="false"/>
          <w:color w:val="000000"/>
          <w:sz w:val="24"/>
          <w:u w:val="single"/>
        </w:rPr>
        <w:t>Black Out Period</w:t>
      </w:r>
      <w:r>
        <w:rPr>
          <w:rFonts w:ascii="Times New Roman" w:hAnsi="Times New Roman"/>
          <w:color w:val="000000"/>
          <w:sz w:val="24"/>
        </w:rPr>
        <w:t xml:space="preserve">” </w:t>
      </w:r>
      <w:r>
        <w:rPr>
          <w:rFonts w:ascii="Times New Roman" w:hAnsi="Times New Roman"/>
          <w:b w:val="false"/>
          <w:color w:val="000000"/>
          <w:sz w:val="24"/>
        </w:rPr>
        <w:t>shall have the meaning set forth in Section 6.02(a).</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4"/>
        </w:rPr>
        <w:t>” shall mean any day except any Saturday, any Sunday, any day which is a federal legal holiday in the United States or any day on which banking institutions in the State of New York are authorized or required by Applicable Law to close.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pPr>
      <w:r>
        <w:rPr>
          <w:color w:val="000000"/>
        </w:rPr>
        <w:t>“</w:t>
      </w:r>
      <w:r>
        <w:rPr>
          <w:rFonts w:ascii="Times New Roman" w:hAnsi="Times New Roman"/>
          <w:b w:val="false"/>
          <w:color w:val="000000"/>
          <w:sz w:val="24"/>
          <w:u w:val="single"/>
        </w:rPr>
        <w:t>Closing</w:t>
      </w:r>
      <w:r>
        <w:rPr>
          <w:rFonts w:ascii="Times New Roman" w:hAnsi="Times New Roman"/>
          <w:color w:val="000000"/>
          <w:sz w:val="24"/>
        </w:rPr>
        <w:t xml:space="preserve">” </w:t>
      </w:r>
      <w:r>
        <w:rPr>
          <w:rFonts w:ascii="Times New Roman" w:hAnsi="Times New Roman"/>
          <w:b w:val="false"/>
          <w:color w:val="000000"/>
          <w:sz w:val="24"/>
        </w:rPr>
        <w:t>shall have the meaning set forth in Section 2.02.</w:t>
      </w:r>
    </w:p>
    <w:p>
      <w:pPr>
        <w:pStyle w:val="Heading2"/>
        <w:bidi w:val="0"/>
        <w:spacing w:before="0" w:after="240"/>
        <w:jc w:val="both"/>
        <w:rPr/>
      </w:pPr>
      <w:r>
        <w:rPr>
          <w:color w:val="000000"/>
        </w:rPr>
        <w:t>“</w:t>
      </w:r>
      <w:r>
        <w:rPr>
          <w:rFonts w:ascii="Times New Roman" w:hAnsi="Times New Roman"/>
          <w:b w:val="false"/>
          <w:color w:val="000000"/>
          <w:sz w:val="24"/>
          <w:u w:val="single"/>
        </w:rPr>
        <w:t>Commitment Amount</w:t>
      </w:r>
      <w:r>
        <w:rPr>
          <w:rFonts w:ascii="Times New Roman" w:hAnsi="Times New Roman"/>
          <w:color w:val="000000"/>
          <w:sz w:val="24"/>
        </w:rPr>
        <w:t xml:space="preserve">” </w:t>
      </w:r>
      <w:r>
        <w:rPr>
          <w:rFonts w:ascii="Times New Roman" w:hAnsi="Times New Roman"/>
          <w:b w:val="false"/>
          <w:color w:val="000000"/>
          <w:sz w:val="24"/>
        </w:rPr>
        <w:t>shall mean $40,000,000 of Common Shares.</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Commitment Fee</w:t>
      </w:r>
      <w:r>
        <w:rPr>
          <w:rFonts w:ascii="Times New Roman" w:hAnsi="Times New Roman"/>
          <w:color w:val="000000"/>
          <w:sz w:val="24"/>
        </w:rPr>
        <w:t xml:space="preserve">” </w:t>
      </w:r>
      <w:r>
        <w:rPr>
          <w:rFonts w:ascii="Times New Roman" w:hAnsi="Times New Roman"/>
          <w:b w:val="false"/>
          <w:color w:val="000000"/>
          <w:sz w:val="24"/>
        </w:rPr>
        <w:t>shall have the meaning set forth in Section 11.04.</w:t>
      </w:r>
    </w:p>
    <w:p>
      <w:pPr>
        <w:pStyle w:val="Heading2"/>
        <w:bidi w:val="0"/>
        <w:spacing w:before="0" w:after="240"/>
        <w:jc w:val="both"/>
        <w:rPr/>
      </w:pPr>
      <w:r>
        <w:rPr>
          <w:color w:val="000000"/>
        </w:rPr>
        <w:t>“</w:t>
      </w:r>
      <w:r>
        <w:rPr>
          <w:rFonts w:ascii="Times New Roman" w:hAnsi="Times New Roman"/>
          <w:b w:val="false"/>
          <w:color w:val="000000"/>
          <w:sz w:val="24"/>
          <w:u w:val="single"/>
        </w:rPr>
        <w:t>Commitment Fee Warrants</w:t>
      </w:r>
      <w:r>
        <w:rPr>
          <w:rFonts w:ascii="Times New Roman" w:hAnsi="Times New Roman"/>
          <w:color w:val="000000"/>
          <w:sz w:val="24"/>
        </w:rPr>
        <w:t xml:space="preserve">” </w:t>
      </w:r>
      <w:r>
        <w:rPr>
          <w:rFonts w:ascii="Times New Roman" w:hAnsi="Times New Roman"/>
          <w:b w:val="false"/>
          <w:color w:val="000000"/>
          <w:sz w:val="24"/>
        </w:rPr>
        <w:t>shall have the meaning set forth in Section 11.04.</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Commitment Period</w:t>
      </w:r>
      <w:r>
        <w:rPr>
          <w:rFonts w:ascii="Times New Roman" w:hAnsi="Times New Roman"/>
          <w:color w:val="000000"/>
          <w:sz w:val="24"/>
        </w:rPr>
        <w:t xml:space="preserve">” </w:t>
      </w:r>
      <w:r>
        <w:rPr>
          <w:rFonts w:ascii="Times New Roman" w:hAnsi="Times New Roman"/>
          <w:b w:val="false"/>
          <w:color w:val="000000"/>
          <w:sz w:val="24"/>
        </w:rPr>
        <w:t>shall mean the period commencing on the Effective Date and expiring upon the date of termination of this Agreement in accordance with Section 9.01.</w:t>
      </w:r>
    </w:p>
    <w:p>
      <w:pPr>
        <w:pStyle w:val="Heading2"/>
        <w:bidi w:val="0"/>
        <w:spacing w:before="0" w:after="240"/>
        <w:jc w:val="both"/>
        <w:rPr/>
      </w:pPr>
      <w:r>
        <w:rPr>
          <w:color w:val="000000"/>
        </w:rPr>
        <w:t>“</w:t>
      </w:r>
      <w:r>
        <w:rPr>
          <w:rFonts w:ascii="Times New Roman" w:hAnsi="Times New Roman"/>
          <w:b w:val="false"/>
          <w:color w:val="000000"/>
          <w:sz w:val="24"/>
          <w:u w:val="single"/>
        </w:rPr>
        <w:t>Commitment Shares</w:t>
      </w:r>
      <w:r>
        <w:rPr>
          <w:rFonts w:ascii="Times New Roman" w:hAnsi="Times New Roman"/>
          <w:color w:val="000000"/>
          <w:sz w:val="24"/>
        </w:rPr>
        <w:t xml:space="preserve">” </w:t>
      </w:r>
      <w:r>
        <w:rPr>
          <w:rFonts w:ascii="Times New Roman" w:hAnsi="Times New Roman"/>
          <w:b w:val="false"/>
          <w:color w:val="000000"/>
          <w:sz w:val="24"/>
        </w:rPr>
        <w:t>shall have the meaning set forth in Section 11.04.</w:t>
      </w:r>
    </w:p>
    <w:p>
      <w:pPr>
        <w:pStyle w:val="Heading2"/>
        <w:bidi w:val="0"/>
        <w:spacing w:before="0" w:after="240"/>
        <w:jc w:val="both"/>
        <w:rPr/>
      </w:pPr>
      <w:r>
        <w:rPr>
          <w:color w:val="000000"/>
        </w:rPr>
        <w:t>“</w:t>
      </w:r>
      <w:r>
        <w:rPr>
          <w:rFonts w:ascii="Times New Roman" w:hAnsi="Times New Roman"/>
          <w:b w:val="false"/>
          <w:color w:val="000000"/>
          <w:sz w:val="24"/>
          <w:u w:val="single"/>
        </w:rPr>
        <w:t>Common Share Equivalents</w:t>
      </w:r>
      <w:r>
        <w:rPr>
          <w:rFonts w:ascii="Times New Roman" w:hAnsi="Times New Roman"/>
          <w:color w:val="000000"/>
          <w:sz w:val="24"/>
        </w:rPr>
        <w:t xml:space="preserve">” </w:t>
      </w:r>
      <w:r>
        <w:rPr>
          <w:rFonts w:ascii="Times New Roman" w:hAnsi="Times New Roman"/>
          <w:b w:val="false"/>
          <w:color w:val="000000"/>
          <w:sz w:val="24"/>
        </w:rPr>
        <w:t>shall mean any securities of the Company or its Subsidiaries which entitle the holder thereof to acquire at any time Common Shares, including, without limitation, any debt, preferred stock, rights, options, warrants or other instrument that is at any time convertible into or exercisable or exchangeable for, or otherwise entitles the holder thereof to receive, Common Shares.</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Common Shares</w:t>
      </w:r>
      <w:r>
        <w:rPr>
          <w:rFonts w:ascii="Times New Roman" w:hAnsi="Times New Roman"/>
          <w:color w:val="000000"/>
          <w:sz w:val="24"/>
        </w:rPr>
        <w:t xml:space="preserve">” </w:t>
      </w:r>
      <w:r>
        <w:rPr>
          <w:rFonts w:ascii="Times New Roman" w:hAnsi="Times New Roman"/>
          <w:b w:val="false"/>
          <w:color w:val="000000"/>
          <w:sz w:val="24"/>
        </w:rPr>
        <w:t>shall have the meaning set forth in the recitals of this Agreement.</w:t>
      </w:r>
    </w:p>
    <w:p>
      <w:pPr>
        <w:pStyle w:val="Heading2"/>
        <w:bidi w:val="0"/>
        <w:spacing w:before="0" w:after="240"/>
        <w:jc w:val="both"/>
        <w:rPr/>
      </w:pPr>
      <w:r>
        <w:rPr>
          <w:color w:val="000000"/>
        </w:rPr>
        <w:t>“</w:t>
      </w:r>
      <w:r>
        <w:rPr>
          <w:rFonts w:ascii="Times New Roman" w:hAnsi="Times New Roman"/>
          <w:b w:val="false"/>
          <w:color w:val="000000"/>
          <w:sz w:val="24"/>
          <w:u w:val="single"/>
        </w:rPr>
        <w:t>Company</w:t>
      </w:r>
      <w:r>
        <w:rPr>
          <w:rFonts w:ascii="Times New Roman" w:hAnsi="Times New Roman"/>
          <w:color w:val="000000"/>
          <w:sz w:val="24"/>
        </w:rPr>
        <w:t xml:space="preserve">” </w:t>
      </w:r>
      <w:r>
        <w:rPr>
          <w:rFonts w:ascii="Times New Roman" w:hAnsi="Times New Roman"/>
          <w:b w:val="false"/>
          <w:color w:val="000000"/>
          <w:sz w:val="24"/>
        </w:rPr>
        <w:t>shall have the meaning set forth in the preamble of this Agreement.</w:t>
      </w:r>
    </w:p>
    <w:p>
      <w:pPr>
        <w:pStyle w:val="Heading2"/>
        <w:bidi w:val="0"/>
        <w:spacing w:before="0" w:after="240"/>
        <w:jc w:val="both"/>
        <w:rPr/>
      </w:pPr>
      <w:r>
        <w:rPr>
          <w:color w:val="000000"/>
        </w:rPr>
        <w:t>“</w:t>
      </w:r>
      <w:r>
        <w:rPr>
          <w:rFonts w:ascii="Times New Roman" w:hAnsi="Times New Roman"/>
          <w:b w:val="false"/>
          <w:color w:val="000000"/>
          <w:sz w:val="24"/>
          <w:u w:val="single"/>
        </w:rPr>
        <w:t>Company Indemnitees</w:t>
      </w:r>
      <w:r>
        <w:rPr>
          <w:rFonts w:ascii="Times New Roman" w:hAnsi="Times New Roman"/>
          <w:color w:val="000000"/>
          <w:sz w:val="24"/>
        </w:rPr>
        <w:t xml:space="preserve">” </w:t>
      </w:r>
      <w:r>
        <w:rPr>
          <w:rFonts w:ascii="Times New Roman" w:hAnsi="Times New Roman"/>
          <w:b w:val="false"/>
          <w:color w:val="000000"/>
          <w:sz w:val="24"/>
        </w:rPr>
        <w:t>shall have the meaning set forth in Section 5.02.</w:t>
      </w:r>
    </w:p>
    <w:p>
      <w:pPr>
        <w:pStyle w:val="Heading2"/>
        <w:bidi w:val="0"/>
        <w:spacing w:before="0" w:after="240"/>
        <w:jc w:val="both"/>
        <w:rPr/>
      </w:pPr>
      <w:r>
        <w:rPr>
          <w:color w:val="000000"/>
        </w:rPr>
        <w:t>“</w:t>
      </w:r>
      <w:r>
        <w:rPr>
          <w:rFonts w:ascii="Times New Roman" w:hAnsi="Times New Roman"/>
          <w:b w:val="false"/>
          <w:color w:val="000000"/>
          <w:sz w:val="24"/>
          <w:u w:val="single"/>
        </w:rPr>
        <w:t>Condition Satisfaction Date</w:t>
      </w:r>
      <w:r>
        <w:rPr>
          <w:rFonts w:ascii="Times New Roman" w:hAnsi="Times New Roman"/>
          <w:color w:val="000000"/>
          <w:sz w:val="24"/>
        </w:rPr>
        <w:t xml:space="preserve">” </w:t>
      </w:r>
      <w:r>
        <w:rPr>
          <w:rFonts w:ascii="Times New Roman" w:hAnsi="Times New Roman"/>
          <w:b w:val="false"/>
          <w:color w:val="000000"/>
          <w:sz w:val="24"/>
        </w:rPr>
        <w:t>shall have the meaning set forth in Annex II.</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Current Report</w:t>
      </w:r>
      <w:r>
        <w:rPr>
          <w:rFonts w:ascii="Times New Roman" w:hAnsi="Times New Roman"/>
          <w:color w:val="000000"/>
          <w:sz w:val="24"/>
        </w:rPr>
        <w:t xml:space="preserve">” </w:t>
      </w:r>
      <w:r>
        <w:rPr>
          <w:rFonts w:ascii="Times New Roman" w:hAnsi="Times New Roman"/>
          <w:b w:val="false"/>
          <w:color w:val="000000"/>
          <w:sz w:val="24"/>
        </w:rPr>
        <w:t>shall have the meaning set forth in Section 6.12.</w:t>
      </w:r>
    </w:p>
    <w:p>
      <w:pPr>
        <w:pStyle w:val="Heading2"/>
        <w:bidi w:val="0"/>
        <w:spacing w:before="0" w:after="240"/>
        <w:jc w:val="both"/>
        <w:rPr/>
      </w:pPr>
      <w:r>
        <w:rPr>
          <w:color w:val="000000"/>
        </w:rPr>
        <w:t>“</w:t>
      </w:r>
      <w:r>
        <w:rPr>
          <w:rFonts w:ascii="Times New Roman" w:hAnsi="Times New Roman"/>
          <w:b w:val="false"/>
          <w:color w:val="000000"/>
          <w:sz w:val="24"/>
          <w:u w:val="single"/>
        </w:rPr>
        <w:t>Daily Traded Amount</w:t>
      </w:r>
      <w:r>
        <w:rPr>
          <w:rFonts w:ascii="Times New Roman" w:hAnsi="Times New Roman"/>
          <w:color w:val="000000"/>
          <w:sz w:val="24"/>
        </w:rPr>
        <w:t xml:space="preserve">” </w:t>
      </w:r>
      <w:r>
        <w:rPr>
          <w:rFonts w:ascii="Times New Roman" w:hAnsi="Times New Roman"/>
          <w:b w:val="false"/>
          <w:color w:val="000000"/>
          <w:sz w:val="24"/>
        </w:rPr>
        <w:t>shall mean the daily trading volume of the Common Shares on the Principal Market during regular trading hours as reported by Bloomberg L.P.</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Effective Date</w:t>
      </w:r>
      <w:r>
        <w:rPr>
          <w:rFonts w:ascii="Times New Roman" w:hAnsi="Times New Roman"/>
          <w:color w:val="000000"/>
          <w:sz w:val="24"/>
        </w:rPr>
        <w:t xml:space="preserve">” </w:t>
      </w:r>
      <w:r>
        <w:rPr>
          <w:rFonts w:ascii="Times New Roman" w:hAnsi="Times New Roman"/>
          <w:b w:val="false"/>
          <w:color w:val="000000"/>
          <w:sz w:val="24"/>
        </w:rPr>
        <w:t>shall mean the date hereof.</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Environmental Laws</w:t>
      </w:r>
      <w:r>
        <w:rPr>
          <w:rFonts w:ascii="Times New Roman" w:hAnsi="Times New Roman"/>
          <w:color w:val="000000"/>
          <w:sz w:val="24"/>
        </w:rPr>
        <w:t xml:space="preserve">” </w:t>
      </w:r>
      <w:r>
        <w:rPr>
          <w:rFonts w:ascii="Times New Roman" w:hAnsi="Times New Roman"/>
          <w:b w:val="false"/>
          <w:color w:val="000000"/>
          <w:sz w:val="24"/>
        </w:rPr>
        <w:t>shall have the meaning set forth in Section 4.13.</w:t>
      </w:r>
    </w:p>
    <w:p>
      <w:pPr>
        <w:pStyle w:val="Heading2"/>
        <w:bidi w:val="0"/>
        <w:spacing w:before="0" w:after="240"/>
        <w:jc w:val="both"/>
        <w:rPr/>
      </w:pPr>
      <w:r>
        <w:rPr>
          <w:color w:val="000000"/>
        </w:rPr>
        <w:t>“</w:t>
      </w:r>
      <w:r>
        <w:rPr>
          <w:rFonts w:ascii="Times New Roman" w:hAnsi="Times New Roman"/>
          <w:b w:val="false"/>
          <w:color w:val="000000"/>
          <w:sz w:val="24"/>
          <w:u w:val="single"/>
        </w:rPr>
        <w:t>Exchange Act</w:t>
      </w:r>
      <w:r>
        <w:rPr>
          <w:rFonts w:ascii="Times New Roman" w:hAnsi="Times New Roman"/>
          <w:color w:val="000000"/>
          <w:sz w:val="24"/>
        </w:rPr>
        <w:t xml:space="preserve">” </w:t>
      </w:r>
      <w:r>
        <w:rPr>
          <w:rFonts w:ascii="Times New Roman" w:hAnsi="Times New Roman"/>
          <w:b w:val="false"/>
          <w:color w:val="000000"/>
          <w:sz w:val="24"/>
        </w:rPr>
        <w:t>shall mean the U.S. Securities Exchange Act of 1934, as amended, and the rules and regulations promulgated thereunder.</w:t>
      </w:r>
    </w:p>
    <w:p>
      <w:pPr>
        <w:pStyle w:val="Heading2"/>
        <w:bidi w:val="0"/>
        <w:spacing w:before="0" w:after="240"/>
        <w:jc w:val="both"/>
        <w:rPr/>
      </w:pPr>
      <w:r>
        <w:rPr>
          <w:color w:val="000000"/>
        </w:rPr>
        <w:t>“</w:t>
      </w:r>
      <w:r>
        <w:rPr>
          <w:rFonts w:ascii="Times New Roman" w:hAnsi="Times New Roman"/>
          <w:b w:val="false"/>
          <w:color w:val="000000"/>
          <w:sz w:val="24"/>
          <w:u w:val="single"/>
        </w:rPr>
        <w:t>Exchange Cap</w:t>
      </w:r>
      <w:r>
        <w:rPr>
          <w:rFonts w:ascii="Times New Roman" w:hAnsi="Times New Roman"/>
          <w:color w:val="000000"/>
          <w:sz w:val="24"/>
        </w:rPr>
        <w:t xml:space="preserve">” </w:t>
      </w:r>
      <w:r>
        <w:rPr>
          <w:rFonts w:ascii="Times New Roman" w:hAnsi="Times New Roman"/>
          <w:b w:val="false"/>
          <w:color w:val="000000"/>
          <w:sz w:val="24"/>
        </w:rPr>
        <w:t>shall have the meaning set forth in Section 2.01(c)(iii).</w:t>
      </w:r>
    </w:p>
    <w:p>
      <w:pPr>
        <w:pStyle w:val="Heading2"/>
        <w:bidi w:val="0"/>
        <w:spacing w:before="0" w:after="240"/>
        <w:jc w:val="both"/>
        <w:rPr/>
      </w:pPr>
      <w:r>
        <w:rPr>
          <w:color w:val="000000"/>
        </w:rPr>
        <w:t>“</w:t>
      </w:r>
      <w:r>
        <w:rPr>
          <w:rFonts w:ascii="Times New Roman" w:hAnsi="Times New Roman"/>
          <w:b w:val="false"/>
          <w:color w:val="000000"/>
          <w:sz w:val="24"/>
          <w:u w:val="single"/>
        </w:rPr>
        <w:t>Excluded Day</w:t>
      </w:r>
      <w:r>
        <w:rPr>
          <w:rFonts w:ascii="Times New Roman" w:hAnsi="Times New Roman"/>
          <w:color w:val="000000"/>
          <w:sz w:val="24"/>
        </w:rPr>
        <w:t xml:space="preserve">” </w:t>
      </w:r>
      <w:r>
        <w:rPr>
          <w:rFonts w:ascii="Times New Roman" w:hAnsi="Times New Roman"/>
          <w:b w:val="false"/>
          <w:color w:val="000000"/>
          <w:sz w:val="24"/>
        </w:rPr>
        <w:t>shall have the meaning set forth in Section 2.01(d)(i).</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GAAP</w:t>
      </w:r>
      <w:r>
        <w:rPr>
          <w:rFonts w:ascii="Times New Roman" w:hAnsi="Times New Roman"/>
          <w:color w:val="000000"/>
          <w:sz w:val="24"/>
        </w:rPr>
        <w:t xml:space="preserve">” </w:t>
      </w:r>
      <w:r>
        <w:rPr>
          <w:rFonts w:ascii="Times New Roman" w:hAnsi="Times New Roman"/>
          <w:b w:val="false"/>
          <w:color w:val="000000"/>
          <w:sz w:val="24"/>
        </w:rPr>
        <w:t>shall have the meaning set forth in Section 4.06.</w:t>
      </w:r>
    </w:p>
    <w:p>
      <w:pPr>
        <w:pStyle w:val="Heading2"/>
        <w:bidi w:val="0"/>
        <w:spacing w:before="0" w:after="240"/>
        <w:jc w:val="both"/>
        <w:rPr/>
      </w:pPr>
      <w:r>
        <w:rPr>
          <w:color w:val="000000"/>
        </w:rPr>
        <w:t>“</w:t>
      </w:r>
      <w:r>
        <w:rPr>
          <w:rFonts w:ascii="Times New Roman" w:hAnsi="Times New Roman"/>
          <w:b w:val="false"/>
          <w:color w:val="000000"/>
          <w:sz w:val="24"/>
          <w:u w:val="single"/>
        </w:rPr>
        <w:t>Hazardous Materials</w:t>
      </w:r>
      <w:r>
        <w:rPr>
          <w:rFonts w:ascii="Times New Roman" w:hAnsi="Times New Roman"/>
          <w:color w:val="000000"/>
          <w:sz w:val="24"/>
        </w:rPr>
        <w:t xml:space="preserve">” </w:t>
      </w:r>
      <w:r>
        <w:rPr>
          <w:rFonts w:ascii="Times New Roman" w:hAnsi="Times New Roman"/>
          <w:b w:val="false"/>
          <w:color w:val="000000"/>
          <w:sz w:val="24"/>
        </w:rPr>
        <w:t>shall have the meaning set forth in Section 4.13.</w:t>
      </w:r>
    </w:p>
    <w:p>
      <w:pPr>
        <w:pStyle w:val="Heading2"/>
        <w:bidi w:val="0"/>
        <w:spacing w:before="0" w:after="240"/>
        <w:jc w:val="both"/>
        <w:rPr/>
      </w:pPr>
      <w:r>
        <w:rPr>
          <w:color w:val="000000"/>
        </w:rPr>
        <w:t>“</w:t>
      </w:r>
      <w:r>
        <w:rPr>
          <w:rFonts w:ascii="Times New Roman" w:hAnsi="Times New Roman"/>
          <w:b w:val="false"/>
          <w:color w:val="000000"/>
          <w:sz w:val="24"/>
          <w:u w:val="single"/>
        </w:rPr>
        <w:t>Indemnified Liabilities</w:t>
      </w:r>
      <w:r>
        <w:rPr>
          <w:rFonts w:ascii="Times New Roman" w:hAnsi="Times New Roman"/>
          <w:color w:val="000000"/>
          <w:sz w:val="24"/>
        </w:rPr>
        <w:t xml:space="preserve">” </w:t>
      </w:r>
      <w:r>
        <w:rPr>
          <w:rFonts w:ascii="Times New Roman" w:hAnsi="Times New Roman"/>
          <w:b w:val="false"/>
          <w:color w:val="000000"/>
          <w:sz w:val="24"/>
        </w:rPr>
        <w:t>shall have the meaning set forth in Section 5.01.</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pPr>
      <w:r>
        <w:rPr>
          <w:color w:val="000000"/>
        </w:rPr>
        <w:t>“</w:t>
      </w:r>
      <w:r>
        <w:rPr>
          <w:rFonts w:ascii="Times New Roman" w:hAnsi="Times New Roman"/>
          <w:b w:val="false"/>
          <w:color w:val="000000"/>
          <w:sz w:val="24"/>
          <w:u w:val="single"/>
        </w:rPr>
        <w:t>Investor</w:t>
      </w:r>
      <w:r>
        <w:rPr>
          <w:rFonts w:ascii="Times New Roman" w:hAnsi="Times New Roman"/>
          <w:color w:val="000000"/>
          <w:sz w:val="24"/>
        </w:rPr>
        <w:t xml:space="preserve">” </w:t>
      </w:r>
      <w:r>
        <w:rPr>
          <w:rFonts w:ascii="Times New Roman" w:hAnsi="Times New Roman"/>
          <w:b w:val="false"/>
          <w:color w:val="000000"/>
          <w:sz w:val="24"/>
        </w:rPr>
        <w:t>shall have the meaning set forth in the preamble of this Agreement.</w:t>
      </w:r>
    </w:p>
    <w:p>
      <w:pPr>
        <w:pStyle w:val="Heading2"/>
        <w:bidi w:val="0"/>
        <w:spacing w:before="0" w:after="240"/>
        <w:jc w:val="both"/>
        <w:rPr/>
      </w:pPr>
      <w:r>
        <w:rPr>
          <w:color w:val="000000"/>
        </w:rPr>
        <w:t>“</w:t>
      </w:r>
      <w:r>
        <w:rPr>
          <w:rFonts w:ascii="Times New Roman" w:hAnsi="Times New Roman"/>
          <w:b w:val="false"/>
          <w:color w:val="000000"/>
          <w:sz w:val="24"/>
          <w:u w:val="single"/>
        </w:rPr>
        <w:t>Investor Indemnitees</w:t>
      </w:r>
      <w:r>
        <w:rPr>
          <w:rFonts w:ascii="Times New Roman" w:hAnsi="Times New Roman"/>
          <w:color w:val="000000"/>
          <w:sz w:val="24"/>
        </w:rPr>
        <w:t xml:space="preserve">” </w:t>
      </w:r>
      <w:r>
        <w:rPr>
          <w:rFonts w:ascii="Times New Roman" w:hAnsi="Times New Roman"/>
          <w:b w:val="false"/>
          <w:color w:val="000000"/>
          <w:sz w:val="24"/>
        </w:rPr>
        <w:t>shall have the meaning set forth in Section 5.01.</w:t>
      </w:r>
    </w:p>
    <w:p>
      <w:pPr>
        <w:pStyle w:val="Heading2"/>
        <w:bidi w:val="0"/>
        <w:spacing w:before="0" w:after="240"/>
        <w:jc w:val="both"/>
        <w:rPr/>
      </w:pPr>
      <w:r>
        <w:rPr>
          <w:color w:val="000000"/>
        </w:rPr>
        <w:t>“</w:t>
      </w:r>
      <w:r>
        <w:rPr>
          <w:rFonts w:ascii="Times New Roman" w:hAnsi="Times New Roman"/>
          <w:b w:val="false"/>
          <w:color w:val="000000"/>
          <w:sz w:val="24"/>
          <w:u w:val="single"/>
        </w:rPr>
        <w:t>Market Price</w:t>
      </w:r>
      <w:r>
        <w:rPr>
          <w:rFonts w:ascii="Times New Roman" w:hAnsi="Times New Roman"/>
          <w:color w:val="000000"/>
          <w:sz w:val="24"/>
        </w:rPr>
        <w:t xml:space="preserve">” </w:t>
      </w:r>
      <w:r>
        <w:rPr>
          <w:rFonts w:ascii="Times New Roman" w:hAnsi="Times New Roman"/>
          <w:b w:val="false"/>
          <w:color w:val="000000"/>
          <w:sz w:val="24"/>
        </w:rPr>
        <w:t>shall mean the lowest of the daily VWAPs of the Common Shares during the relevant Pricing Period, other than the daily VWAP on any Excluded Days.</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Material Adverse Effect</w:t>
      </w:r>
      <w:r>
        <w:rPr>
          <w:rFonts w:ascii="Times New Roman" w:hAnsi="Times New Roman"/>
          <w:color w:val="000000"/>
          <w:sz w:val="24"/>
        </w:rPr>
        <w:t xml:space="preserve">” </w:t>
      </w:r>
      <w:r>
        <w:rPr>
          <w:rFonts w:ascii="Times New Roman" w:hAnsi="Times New Roman"/>
          <w:b w:val="false"/>
          <w:color w:val="000000"/>
          <w:sz w:val="24"/>
        </w:rPr>
        <w:t>shall mean any event, occurrence or condition that has had or would reasonably be expected to have (i) a material adverse effect on the legality, validity or enforceability of this Agreement or the transactions contemplated herein, (ii) a material adverse effect on the results of operations, assets, business or condition (financial or otherwise) of the Company and its Subsidiaries, taken as a whole, or (iii) a material adverse effect on the Company’s ability to perform in any material respect on a timely basis its obligations under this Agreement.</w:t>
      </w:r>
    </w:p>
    <w:p>
      <w:pPr>
        <w:pStyle w:val="Heading2"/>
        <w:bidi w:val="0"/>
        <w:spacing w:before="0" w:after="240"/>
        <w:jc w:val="both"/>
        <w:rPr/>
      </w:pPr>
      <w:r>
        <w:rPr>
          <w:color w:val="000000"/>
        </w:rPr>
        <w:t>“</w:t>
      </w:r>
      <w:r>
        <w:rPr>
          <w:rFonts w:ascii="Times New Roman" w:hAnsi="Times New Roman"/>
          <w:b w:val="false"/>
          <w:color w:val="000000"/>
          <w:sz w:val="24"/>
          <w:u w:val="single"/>
        </w:rPr>
        <w:t>Material Outside Event</w:t>
      </w:r>
      <w:r>
        <w:rPr>
          <w:rFonts w:ascii="Times New Roman" w:hAnsi="Times New Roman"/>
          <w:color w:val="000000"/>
          <w:sz w:val="24"/>
        </w:rPr>
        <w:t xml:space="preserve">” </w:t>
      </w:r>
      <w:r>
        <w:rPr>
          <w:rFonts w:ascii="Times New Roman" w:hAnsi="Times New Roman"/>
          <w:b w:val="false"/>
          <w:color w:val="000000"/>
          <w:sz w:val="24"/>
        </w:rPr>
        <w:t>shall have the meaning set forth in Section 6.08.</w:t>
      </w:r>
    </w:p>
    <w:p>
      <w:pPr>
        <w:pStyle w:val="Heading2"/>
        <w:bidi w:val="0"/>
        <w:spacing w:before="0" w:after="240"/>
        <w:jc w:val="both"/>
        <w:rPr/>
      </w:pPr>
      <w:r>
        <w:rPr>
          <w:color w:val="000000"/>
        </w:rPr>
        <w:t>“</w:t>
      </w:r>
      <w:r>
        <w:rPr>
          <w:rFonts w:ascii="Times New Roman" w:hAnsi="Times New Roman"/>
          <w:b w:val="false"/>
          <w:color w:val="000000"/>
          <w:sz w:val="24"/>
          <w:u w:val="single"/>
        </w:rPr>
        <w:t>Maximum Advance Amount</w:t>
      </w:r>
      <w:r>
        <w:rPr>
          <w:rFonts w:ascii="Times New Roman" w:hAnsi="Times New Roman"/>
          <w:color w:val="000000"/>
          <w:sz w:val="24"/>
        </w:rPr>
        <w:t xml:space="preserve">” </w:t>
      </w:r>
      <w:r>
        <w:rPr>
          <w:rFonts w:ascii="Times New Roman" w:hAnsi="Times New Roman"/>
          <w:b w:val="false"/>
          <w:color w:val="000000"/>
          <w:sz w:val="24"/>
        </w:rPr>
        <w:t>in respect of each Advance Notice means an amount equal to one hundred percent (100%) of the average of the Daily Traded Amount during the five consecutive Trading Day immediately preceding an Advance Notice; provided that the Parties may agree in writing from time to time to adjust such amount in accordance with the terms of this Agreement.</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Minimum Acceptable Price</w:t>
      </w:r>
      <w:r>
        <w:rPr>
          <w:rFonts w:ascii="Times New Roman" w:hAnsi="Times New Roman"/>
          <w:color w:val="000000"/>
          <w:sz w:val="24"/>
        </w:rPr>
        <w:t xml:space="preserve">” </w:t>
      </w:r>
      <w:r>
        <w:rPr>
          <w:rFonts w:ascii="Times New Roman" w:hAnsi="Times New Roman"/>
          <w:b w:val="false"/>
          <w:color w:val="000000"/>
          <w:sz w:val="24"/>
        </w:rPr>
        <w:t>shall mean the minimum price notified by the Company to the Investor in each Advance Notice, if applicable.</w:t>
      </w:r>
    </w:p>
    <w:p>
      <w:pPr>
        <w:pStyle w:val="Heading2"/>
        <w:bidi w:val="0"/>
        <w:spacing w:before="0" w:after="240"/>
        <w:jc w:val="both"/>
        <w:rPr/>
      </w:pPr>
      <w:r>
        <w:rPr>
          <w:color w:val="000000"/>
        </w:rPr>
        <w:t>“</w:t>
      </w:r>
      <w:r>
        <w:rPr>
          <w:rFonts w:ascii="Times New Roman" w:hAnsi="Times New Roman"/>
          <w:b w:val="false"/>
          <w:color w:val="000000"/>
          <w:sz w:val="24"/>
          <w:u w:val="single"/>
        </w:rPr>
        <w:t>OFAC</w:t>
      </w:r>
      <w:r>
        <w:rPr>
          <w:rFonts w:ascii="Times New Roman" w:hAnsi="Times New Roman"/>
          <w:color w:val="000000"/>
          <w:sz w:val="24"/>
        </w:rPr>
        <w:t xml:space="preserve">” </w:t>
      </w:r>
      <w:r>
        <w:rPr>
          <w:rFonts w:ascii="Times New Roman" w:hAnsi="Times New Roman"/>
          <w:b w:val="false"/>
          <w:color w:val="000000"/>
          <w:sz w:val="24"/>
        </w:rPr>
        <w:t>shall have the meaning set forth in Section 4.30.</w:t>
      </w:r>
    </w:p>
    <w:p>
      <w:pPr>
        <w:pStyle w:val="Heading2"/>
        <w:bidi w:val="0"/>
        <w:spacing w:before="0" w:after="240"/>
        <w:jc w:val="both"/>
        <w:rPr>
          <w:color w:val="000000"/>
        </w:rPr>
      </w:pPr>
      <w:r>
        <w:rPr>
          <w:color w:val="000000"/>
        </w:rPr>
        <w:t>“</w:t>
      </w:r>
      <w:r>
        <w:rPr>
          <w:rFonts w:ascii="Times New Roman" w:hAnsi="Times New Roman"/>
          <w:b w:val="false"/>
          <w:color w:val="000000"/>
          <w:sz w:val="24"/>
        </w:rPr>
        <w:t>OTCQB” shall mean OTCQB Venture Market operated by OTC Markets Group Inc.</w:t>
      </w:r>
    </w:p>
    <w:p>
      <w:pPr>
        <w:pStyle w:val="Heading2"/>
        <w:bidi w:val="0"/>
        <w:spacing w:before="0" w:after="240"/>
        <w:jc w:val="both"/>
        <w:rPr/>
      </w:pPr>
      <w:r>
        <w:rPr>
          <w:color w:val="000000"/>
        </w:rPr>
        <w:t>“</w:t>
      </w:r>
      <w:r>
        <w:rPr>
          <w:rFonts w:ascii="Times New Roman" w:hAnsi="Times New Roman"/>
          <w:b w:val="false"/>
          <w:color w:val="000000"/>
          <w:sz w:val="24"/>
          <w:u w:val="single"/>
        </w:rPr>
        <w:t>Ownership Limitation</w:t>
      </w:r>
      <w:r>
        <w:rPr>
          <w:rFonts w:ascii="Times New Roman" w:hAnsi="Times New Roman"/>
          <w:color w:val="000000"/>
          <w:sz w:val="24"/>
        </w:rPr>
        <w:t xml:space="preserve">” </w:t>
      </w:r>
      <w:r>
        <w:rPr>
          <w:rFonts w:ascii="Times New Roman" w:hAnsi="Times New Roman"/>
          <w:b w:val="false"/>
          <w:color w:val="000000"/>
          <w:sz w:val="24"/>
        </w:rPr>
        <w:t>shall have the meaning set forth in Section 2.01(c)(i).</w:t>
      </w:r>
    </w:p>
    <w:p>
      <w:pPr>
        <w:pStyle w:val="Heading2"/>
        <w:bidi w:val="0"/>
        <w:spacing w:before="0" w:after="240"/>
        <w:jc w:val="both"/>
        <w:rPr/>
      </w:pPr>
      <w:r>
        <w:rPr>
          <w:color w:val="000000"/>
        </w:rPr>
        <w:t>“</w:t>
      </w:r>
      <w:r>
        <w:rPr>
          <w:rFonts w:ascii="Times New Roman" w:hAnsi="Times New Roman"/>
          <w:b w:val="false"/>
          <w:color w:val="000000"/>
          <w:sz w:val="24"/>
          <w:u w:val="single"/>
        </w:rPr>
        <w:t>Person</w:t>
      </w:r>
      <w:r>
        <w:rPr>
          <w:rFonts w:ascii="Times New Roman" w:hAnsi="Times New Roman"/>
          <w:color w:val="000000"/>
          <w:sz w:val="24"/>
        </w:rPr>
        <w:t xml:space="preserve">” </w:t>
      </w:r>
      <w:r>
        <w:rPr>
          <w:rFonts w:ascii="Times New Roman" w:hAnsi="Times New Roman"/>
          <w:b w:val="false"/>
          <w:color w:val="000000"/>
          <w:sz w:val="24"/>
        </w:rPr>
        <w:t>shall mean an individual, a corporation, a partnership, a limited liability company, a trust or other entity or organization, including a government or political subdivision or an agency or instrumentality thereof.</w:t>
      </w:r>
    </w:p>
    <w:p>
      <w:pPr>
        <w:pStyle w:val="Heading2"/>
        <w:bidi w:val="0"/>
        <w:spacing w:before="0" w:after="240"/>
        <w:jc w:val="both"/>
        <w:rPr/>
      </w:pPr>
      <w:r>
        <w:rPr>
          <w:color w:val="000000"/>
        </w:rPr>
        <w:t>“</w:t>
      </w:r>
      <w:r>
        <w:rPr>
          <w:rFonts w:ascii="Times New Roman" w:hAnsi="Times New Roman"/>
          <w:b w:val="false"/>
          <w:color w:val="000000"/>
          <w:sz w:val="24"/>
          <w:u w:val="single"/>
        </w:rPr>
        <w:t>Plan of Distribution</w:t>
      </w:r>
      <w:r>
        <w:rPr>
          <w:rFonts w:ascii="Times New Roman" w:hAnsi="Times New Roman"/>
          <w:color w:val="000000"/>
          <w:sz w:val="24"/>
        </w:rPr>
        <w:t xml:space="preserve">” </w:t>
      </w:r>
      <w:r>
        <w:rPr>
          <w:rFonts w:ascii="Times New Roman" w:hAnsi="Times New Roman"/>
          <w:b w:val="false"/>
          <w:color w:val="000000"/>
          <w:sz w:val="24"/>
        </w:rPr>
        <w:t>shall mean the section of a Registration Statement disclosing the plan of distribution of the Shares.</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Pricing Period</w:t>
      </w:r>
      <w:r>
        <w:rPr>
          <w:rFonts w:ascii="Times New Roman" w:hAnsi="Times New Roman"/>
          <w:color w:val="000000"/>
          <w:sz w:val="24"/>
        </w:rPr>
        <w:t xml:space="preserve">” </w:t>
      </w:r>
      <w:r>
        <w:rPr>
          <w:rFonts w:ascii="Times New Roman" w:hAnsi="Times New Roman"/>
          <w:b w:val="false"/>
          <w:color w:val="000000"/>
          <w:sz w:val="24"/>
        </w:rPr>
        <w:t>shall mean the three (3) consecutive Trading Days commencing on the Advance Notice Date, unless otherwise agreed between the Parties.</w:t>
      </w:r>
    </w:p>
    <w:p>
      <w:pPr>
        <w:pStyle w:val="Heading2"/>
        <w:bidi w:val="0"/>
        <w:spacing w:before="0" w:after="240"/>
        <w:jc w:val="both"/>
        <w:rPr/>
      </w:pPr>
      <w:r>
        <w:rPr>
          <w:color w:val="000000"/>
        </w:rPr>
        <w:t>“</w:t>
      </w:r>
      <w:r>
        <w:rPr>
          <w:rFonts w:ascii="Times New Roman" w:hAnsi="Times New Roman"/>
          <w:b w:val="false"/>
          <w:color w:val="000000"/>
          <w:sz w:val="24"/>
          <w:u w:val="single"/>
        </w:rPr>
        <w:t>Principal Market</w:t>
      </w:r>
      <w:r>
        <w:rPr>
          <w:rFonts w:ascii="Times New Roman" w:hAnsi="Times New Roman"/>
          <w:color w:val="000000"/>
          <w:sz w:val="24"/>
        </w:rPr>
        <w:t xml:space="preserve">” </w:t>
      </w:r>
      <w:r>
        <w:rPr>
          <w:rFonts w:ascii="Times New Roman" w:hAnsi="Times New Roman"/>
          <w:b w:val="false"/>
          <w:color w:val="000000"/>
          <w:sz w:val="24"/>
        </w:rPr>
        <w:t>shall mean the OTCQB; provided however, that in the event the Common Shares are ever listed or traded on the Nasdaq Capital Market, Nasdaq Global Select Market, the Nasdaq Global Market, the New York Stock Exchange, or the NYSE American, then the “Principal Market” shall mean such other market or exchange on which the Common Shares are then listed or traded to the extent such other market or exchange is the principal trading market or exchange for the Common Shares.</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pPr>
      <w:r>
        <w:rPr>
          <w:color w:val="000000"/>
        </w:rPr>
        <w:t>“</w:t>
      </w:r>
      <w:r>
        <w:rPr>
          <w:rFonts w:ascii="Times New Roman" w:hAnsi="Times New Roman"/>
          <w:b w:val="false"/>
          <w:color w:val="000000"/>
          <w:sz w:val="24"/>
          <w:u w:val="single"/>
        </w:rPr>
        <w:t>Prospectus</w:t>
      </w:r>
      <w:r>
        <w:rPr>
          <w:rFonts w:ascii="Times New Roman" w:hAnsi="Times New Roman"/>
          <w:color w:val="000000"/>
          <w:sz w:val="24"/>
        </w:rPr>
        <w:t xml:space="preserve">” </w:t>
      </w:r>
      <w:r>
        <w:rPr>
          <w:rFonts w:ascii="Times New Roman" w:hAnsi="Times New Roman"/>
          <w:b w:val="false"/>
          <w:color w:val="000000"/>
          <w:sz w:val="24"/>
        </w:rPr>
        <w:t>shall mean any prospectus (including, without limitation, all amendments and supplements thereto) used by the Company in connection with a Registration Statement.</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Prospectus Supplement</w:t>
      </w:r>
      <w:r>
        <w:rPr>
          <w:rFonts w:ascii="Times New Roman" w:hAnsi="Times New Roman"/>
          <w:color w:val="000000"/>
          <w:sz w:val="24"/>
        </w:rPr>
        <w:t xml:space="preserve">” </w:t>
      </w:r>
      <w:r>
        <w:rPr>
          <w:rFonts w:ascii="Times New Roman" w:hAnsi="Times New Roman"/>
          <w:b w:val="false"/>
          <w:color w:val="000000"/>
          <w:sz w:val="24"/>
        </w:rPr>
        <w:t>shall mean any prospectus supplement to a Prospectus filed with the SEC from time to time pursuant to Rule 424(b) under the Securities Act, including the documents incorporated by reference therein, including, without limitation, any prospectus supplement to be filed in accordance with Section 6.01 hereof.</w:t>
      </w:r>
    </w:p>
    <w:p>
      <w:pPr>
        <w:pStyle w:val="Heading2"/>
        <w:bidi w:val="0"/>
        <w:spacing w:before="0" w:after="240"/>
        <w:jc w:val="both"/>
        <w:rPr/>
      </w:pPr>
      <w:r>
        <w:rPr>
          <w:color w:val="000000"/>
        </w:rPr>
        <w:t>“</w:t>
      </w:r>
      <w:r>
        <w:rPr>
          <w:rFonts w:ascii="Times New Roman" w:hAnsi="Times New Roman"/>
          <w:b w:val="false"/>
          <w:color w:val="000000"/>
          <w:sz w:val="24"/>
          <w:u w:val="single"/>
        </w:rPr>
        <w:t>Purchase Price</w:t>
      </w:r>
      <w:r>
        <w:rPr>
          <w:rFonts w:ascii="Times New Roman" w:hAnsi="Times New Roman"/>
          <w:color w:val="000000"/>
          <w:sz w:val="24"/>
        </w:rPr>
        <w:t xml:space="preserve">” </w:t>
      </w:r>
      <w:r>
        <w:rPr>
          <w:rFonts w:ascii="Times New Roman" w:hAnsi="Times New Roman"/>
          <w:b w:val="false"/>
          <w:color w:val="000000"/>
          <w:sz w:val="24"/>
        </w:rPr>
        <w:t>shall mean the price per Advance Share obtained by multiplying the Market Price by 97%.</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Registrable Securities</w:t>
      </w:r>
      <w:r>
        <w:rPr>
          <w:rFonts w:ascii="Times New Roman" w:hAnsi="Times New Roman"/>
          <w:color w:val="000000"/>
          <w:sz w:val="24"/>
        </w:rPr>
        <w:t xml:space="preserve">” </w:t>
      </w:r>
      <w:r>
        <w:rPr>
          <w:rFonts w:ascii="Times New Roman" w:hAnsi="Times New Roman"/>
          <w:b w:val="false"/>
          <w:color w:val="000000"/>
          <w:sz w:val="24"/>
        </w:rPr>
        <w:t>shall mean (i) the Shares, and (ii) any securities issued or issuable with respect to the Shares by way of exchange, stock dividend or stock split or in connection with a combination of shares, recapitalization, merger, consolidation or other reorganization or otherwise.</w:t>
      </w:r>
    </w:p>
    <w:p>
      <w:pPr>
        <w:pStyle w:val="Heading2"/>
        <w:bidi w:val="0"/>
        <w:spacing w:before="0" w:after="240"/>
        <w:jc w:val="both"/>
        <w:rPr/>
      </w:pPr>
      <w:r>
        <w:rPr>
          <w:color w:val="000000"/>
        </w:rPr>
        <w:t>“</w:t>
      </w:r>
      <w:r>
        <w:rPr>
          <w:rFonts w:ascii="Times New Roman" w:hAnsi="Times New Roman"/>
          <w:b w:val="false"/>
          <w:color w:val="000000"/>
          <w:sz w:val="24"/>
          <w:u w:val="single"/>
        </w:rPr>
        <w:t>Registration Limitation</w:t>
      </w:r>
      <w:r>
        <w:rPr>
          <w:rFonts w:ascii="Times New Roman" w:hAnsi="Times New Roman"/>
          <w:color w:val="000000"/>
          <w:sz w:val="24"/>
        </w:rPr>
        <w:t xml:space="preserve">” </w:t>
      </w:r>
      <w:r>
        <w:rPr>
          <w:rFonts w:ascii="Times New Roman" w:hAnsi="Times New Roman"/>
          <w:b w:val="false"/>
          <w:color w:val="000000"/>
          <w:sz w:val="24"/>
        </w:rPr>
        <w:t>shall have the meaning set forth in Section 2.01(c)(ii).</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Registration Statement</w:t>
      </w:r>
      <w:r>
        <w:rPr>
          <w:rFonts w:ascii="Times New Roman" w:hAnsi="Times New Roman"/>
          <w:color w:val="000000"/>
          <w:sz w:val="24"/>
        </w:rPr>
        <w:t xml:space="preserve">” </w:t>
      </w:r>
      <w:r>
        <w:rPr>
          <w:rFonts w:ascii="Times New Roman" w:hAnsi="Times New Roman"/>
          <w:b w:val="false"/>
          <w:color w:val="000000"/>
          <w:sz w:val="24"/>
        </w:rPr>
        <w:t>shall mean a registration statement on Form S-1 or Form S-3 or on such other form promulgated by the SEC for which the Company then qualifies and which counsel for the Company shall deem appropriate, and which form shall be available for the registration of the resale by the Investor of the Registrable Securities under the Securities Act, which registration statement provides for the resale from time to time of the Shares as provided herein.</w:t>
      </w:r>
    </w:p>
    <w:p>
      <w:pPr>
        <w:pStyle w:val="Heading2"/>
        <w:bidi w:val="0"/>
        <w:spacing w:before="0" w:after="240"/>
        <w:jc w:val="both"/>
        <w:rPr/>
      </w:pPr>
      <w:r>
        <w:rPr>
          <w:color w:val="000000"/>
        </w:rPr>
        <w:t>“</w:t>
      </w:r>
      <w:r>
        <w:rPr>
          <w:rFonts w:ascii="Times New Roman" w:hAnsi="Times New Roman"/>
          <w:b w:val="false"/>
          <w:color w:val="000000"/>
          <w:sz w:val="24"/>
          <w:u w:val="single"/>
        </w:rPr>
        <w:t>Regulation D</w:t>
      </w:r>
      <w:r>
        <w:rPr>
          <w:rFonts w:ascii="Times New Roman" w:hAnsi="Times New Roman"/>
          <w:color w:val="000000"/>
          <w:sz w:val="24"/>
        </w:rPr>
        <w:t xml:space="preserve">” </w:t>
      </w:r>
      <w:r>
        <w:rPr>
          <w:rFonts w:ascii="Times New Roman" w:hAnsi="Times New Roman"/>
          <w:b w:val="false"/>
          <w:color w:val="000000"/>
          <w:sz w:val="24"/>
        </w:rPr>
        <w:t>shall mean the provisions of Regulation D promulgated under the Securities Act.</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Sanctions</w:t>
      </w:r>
      <w:r>
        <w:rPr>
          <w:rFonts w:ascii="Times New Roman" w:hAnsi="Times New Roman"/>
          <w:color w:val="000000"/>
          <w:sz w:val="24"/>
        </w:rPr>
        <w:t xml:space="preserve">” </w:t>
      </w:r>
      <w:r>
        <w:rPr>
          <w:rFonts w:ascii="Times New Roman" w:hAnsi="Times New Roman"/>
          <w:b w:val="false"/>
          <w:color w:val="000000"/>
          <w:sz w:val="24"/>
        </w:rPr>
        <w:t>shall have the meaning set forth in Section 4.30.</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Sanctioned Countries</w:t>
      </w:r>
      <w:r>
        <w:rPr>
          <w:rFonts w:ascii="Times New Roman" w:hAnsi="Times New Roman"/>
          <w:color w:val="000000"/>
          <w:sz w:val="24"/>
        </w:rPr>
        <w:t xml:space="preserve">” </w:t>
      </w:r>
      <w:r>
        <w:rPr>
          <w:rFonts w:ascii="Times New Roman" w:hAnsi="Times New Roman"/>
          <w:b w:val="false"/>
          <w:color w:val="000000"/>
          <w:sz w:val="24"/>
        </w:rPr>
        <w:t>shall have the meaning set forth in Section 4.30.</w:t>
      </w:r>
      <w:r>
        <w:rPr>
          <w:rFonts w:ascii="Times New Roman" w:hAnsi="Times New Roman"/>
          <w:color w:val="000000"/>
          <w:sz w:val="24"/>
        </w:rPr>
        <w:t xml:space="preserve"> </w:t>
      </w:r>
    </w:p>
    <w:p>
      <w:pPr>
        <w:pStyle w:val="Heading2"/>
        <w:bidi w:val="0"/>
        <w:spacing w:before="0" w:after="240"/>
        <w:jc w:val="both"/>
        <w:rPr/>
      </w:pPr>
      <w:r>
        <w:rPr>
          <w:color w:val="000000"/>
        </w:rPr>
        <w:t>“</w:t>
      </w:r>
      <w:r>
        <w:rPr>
          <w:rFonts w:ascii="Times New Roman" w:hAnsi="Times New Roman"/>
          <w:b w:val="false"/>
          <w:color w:val="000000"/>
          <w:sz w:val="24"/>
          <w:u w:val="single"/>
        </w:rPr>
        <w:t>SEC</w:t>
      </w:r>
      <w:r>
        <w:rPr>
          <w:rFonts w:ascii="Times New Roman" w:hAnsi="Times New Roman"/>
          <w:color w:val="000000"/>
          <w:sz w:val="24"/>
        </w:rPr>
        <w:t xml:space="preserve">” </w:t>
      </w:r>
      <w:r>
        <w:rPr>
          <w:rFonts w:ascii="Times New Roman" w:hAnsi="Times New Roman"/>
          <w:b w:val="false"/>
          <w:color w:val="000000"/>
          <w:sz w:val="24"/>
        </w:rPr>
        <w:t>shall mean the U.S. Securities and Exchange Commission.</w:t>
      </w:r>
    </w:p>
    <w:p>
      <w:pPr>
        <w:pStyle w:val="Heading2"/>
        <w:bidi w:val="0"/>
        <w:spacing w:before="0" w:after="240"/>
        <w:jc w:val="both"/>
        <w:rPr/>
      </w:pPr>
      <w:r>
        <w:rPr>
          <w:color w:val="000000"/>
        </w:rPr>
        <w:t>“</w:t>
      </w:r>
      <w:r>
        <w:rPr>
          <w:rFonts w:ascii="Times New Roman" w:hAnsi="Times New Roman"/>
          <w:b w:val="false"/>
          <w:color w:val="000000"/>
          <w:sz w:val="24"/>
          <w:u w:val="single"/>
        </w:rPr>
        <w:t>SEC Documents</w:t>
      </w:r>
      <w:r>
        <w:rPr>
          <w:rFonts w:ascii="Times New Roman" w:hAnsi="Times New Roman"/>
          <w:color w:val="000000"/>
          <w:sz w:val="24"/>
        </w:rPr>
        <w:t xml:space="preserve">” </w:t>
      </w:r>
      <w:r>
        <w:rPr>
          <w:rFonts w:ascii="Times New Roman" w:hAnsi="Times New Roman"/>
          <w:b w:val="false"/>
          <w:color w:val="000000"/>
          <w:sz w:val="24"/>
        </w:rPr>
        <w:t>shall mean (1) any registration statement filed by the Company with the SEC, including any related prospectus or prospectuses, for the registration of the Common Shares, on file with the SEC at the time such registration statement became effective, including the financial statements, schedules, exhibits and all other documents filed as a part thereof or incorporated therein and all information deemed to be a part thereof as of the effective date of such registration statement under the Securities Act, (2) any proxy statement or prospectus filed by the Company with the SEC, including all documents incorporated or deemed incorporated therein by reference, whether or not included in a registration statement on Form S-3, in the form in which such proxy statement or prospectus has most recently been filed with the SEC pursuant to Rule 424(b) under the Securities Act, (3) all reports, schedules, registrations, forms, statements, information and other documents filed with or furnished to the SEC by the Company pursuant to Section 13(a), 13(c), 14 or 15(d) of the Exchange Act during the two years prior to the date hereof, including, without limitation, the Current Report, (4) each Registration Statement, as the same may be amended from time to time, the Prospectus contained therein and each Prospectus Supplement</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thereto and (5) all information contained in such filings and all documents and disclosures that have been and heretofore shall be incorporated by reference therein.</w:t>
      </w:r>
    </w:p>
    <w:p>
      <w:pPr>
        <w:pStyle w:val="Heading2"/>
        <w:bidi w:val="0"/>
        <w:spacing w:before="0" w:after="240"/>
        <w:jc w:val="both"/>
        <w:rPr/>
      </w:pPr>
      <w:r>
        <w:rPr>
          <w:color w:val="000000"/>
        </w:rPr>
        <w:t>“</w:t>
      </w:r>
      <w:r>
        <w:rPr>
          <w:rFonts w:ascii="Times New Roman" w:hAnsi="Times New Roman"/>
          <w:b w:val="false"/>
          <w:color w:val="000000"/>
          <w:sz w:val="24"/>
          <w:u w:val="single"/>
        </w:rPr>
        <w:t>Securities Act</w:t>
      </w:r>
      <w:r>
        <w:rPr>
          <w:rFonts w:ascii="Times New Roman" w:hAnsi="Times New Roman"/>
          <w:color w:val="000000"/>
          <w:sz w:val="24"/>
        </w:rPr>
        <w:t xml:space="preserve">” </w:t>
      </w:r>
      <w:r>
        <w:rPr>
          <w:rFonts w:ascii="Times New Roman" w:hAnsi="Times New Roman"/>
          <w:b w:val="false"/>
          <w:color w:val="000000"/>
          <w:sz w:val="24"/>
        </w:rPr>
        <w:t>shall have the meaning set forth in the recitals of this Agreement.</w:t>
      </w:r>
    </w:p>
    <w:p>
      <w:pPr>
        <w:pStyle w:val="Heading2"/>
        <w:bidi w:val="0"/>
        <w:spacing w:before="0" w:after="240"/>
        <w:jc w:val="both"/>
        <w:rPr/>
      </w:pPr>
      <w:r>
        <w:rPr>
          <w:color w:val="000000"/>
        </w:rPr>
        <w:t>“</w:t>
      </w:r>
      <w:r>
        <w:rPr>
          <w:rFonts w:ascii="Times New Roman" w:hAnsi="Times New Roman"/>
          <w:b w:val="false"/>
          <w:color w:val="000000"/>
          <w:sz w:val="24"/>
          <w:u w:val="single"/>
        </w:rPr>
        <w:t>Settlement Document</w:t>
      </w:r>
      <w:r>
        <w:rPr>
          <w:rFonts w:ascii="Times New Roman" w:hAnsi="Times New Roman"/>
          <w:color w:val="000000"/>
          <w:sz w:val="24"/>
        </w:rPr>
        <w:t xml:space="preserve">” </w:t>
      </w:r>
      <w:r>
        <w:rPr>
          <w:rFonts w:ascii="Times New Roman" w:hAnsi="Times New Roman"/>
          <w:b w:val="false"/>
          <w:color w:val="000000"/>
          <w:sz w:val="24"/>
        </w:rPr>
        <w:t>shall have the meaning set forth in Section 2.02(a).</w:t>
      </w:r>
    </w:p>
    <w:p>
      <w:pPr>
        <w:pStyle w:val="Heading2"/>
        <w:bidi w:val="0"/>
        <w:spacing w:before="0" w:after="240"/>
        <w:jc w:val="both"/>
        <w:rPr/>
      </w:pPr>
      <w:r>
        <w:rPr>
          <w:color w:val="000000"/>
        </w:rPr>
        <w:t>“</w:t>
      </w:r>
      <w:r>
        <w:rPr>
          <w:rFonts w:ascii="Times New Roman" w:hAnsi="Times New Roman"/>
          <w:b w:val="false"/>
          <w:color w:val="000000"/>
          <w:sz w:val="24"/>
          <w:u w:val="single"/>
        </w:rPr>
        <w:t>Shares</w:t>
      </w:r>
      <w:r>
        <w:rPr>
          <w:rFonts w:ascii="Times New Roman" w:hAnsi="Times New Roman"/>
          <w:color w:val="000000"/>
          <w:sz w:val="24"/>
        </w:rPr>
        <w:t xml:space="preserve">” </w:t>
      </w:r>
      <w:r>
        <w:rPr>
          <w:rFonts w:ascii="Times New Roman" w:hAnsi="Times New Roman"/>
          <w:b w:val="false"/>
          <w:color w:val="000000"/>
          <w:sz w:val="24"/>
        </w:rPr>
        <w:t>shall mean the Commitment Shares and the Common Shares to be issued from time to time hereunder pursuant to an Advance.</w:t>
      </w:r>
    </w:p>
    <w:p>
      <w:pPr>
        <w:pStyle w:val="Heading2"/>
        <w:bidi w:val="0"/>
        <w:spacing w:before="0" w:after="240"/>
        <w:jc w:val="both"/>
        <w:rPr/>
      </w:pPr>
      <w:r>
        <w:rPr>
          <w:color w:val="000000"/>
        </w:rPr>
        <w:t>“</w:t>
      </w:r>
      <w:r>
        <w:rPr>
          <w:rFonts w:ascii="Times New Roman" w:hAnsi="Times New Roman"/>
          <w:b w:val="false"/>
          <w:color w:val="000000"/>
          <w:sz w:val="24"/>
          <w:u w:val="single"/>
        </w:rPr>
        <w:t>Subsidiaries</w:t>
      </w:r>
      <w:r>
        <w:rPr>
          <w:rFonts w:ascii="Times New Roman" w:hAnsi="Times New Roman"/>
          <w:color w:val="000000"/>
          <w:sz w:val="24"/>
        </w:rPr>
        <w:t xml:space="preserve">” </w:t>
      </w:r>
      <w:r>
        <w:rPr>
          <w:rFonts w:ascii="Times New Roman" w:hAnsi="Times New Roman"/>
          <w:b w:val="false"/>
          <w:color w:val="000000"/>
          <w:sz w:val="24"/>
        </w:rPr>
        <w:t>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hAnsi="Times New Roman"/>
          <w:b w:val="false"/>
          <w:color w:val="000000"/>
          <w:sz w:val="24"/>
          <w:u w:val="single"/>
        </w:rPr>
        <w:t>Subsidiaries</w:t>
      </w:r>
      <w:r>
        <w:rPr>
          <w:rFonts w:ascii="Times New Roman" w:hAnsi="Times New Roman"/>
          <w:b w:val="false"/>
          <w:color w:val="000000"/>
          <w:sz w:val="24"/>
        </w:rPr>
        <w:t>.”</w:t>
      </w:r>
    </w:p>
    <w:p>
      <w:pPr>
        <w:pStyle w:val="Heading2"/>
        <w:bidi w:val="0"/>
        <w:spacing w:before="0" w:after="240"/>
        <w:jc w:val="both"/>
        <w:rPr/>
      </w:pPr>
      <w:r>
        <w:rPr>
          <w:color w:val="000000"/>
        </w:rPr>
        <w:t>“</w:t>
      </w:r>
      <w:r>
        <w:rPr>
          <w:rFonts w:ascii="Times New Roman" w:hAnsi="Times New Roman"/>
          <w:b w:val="false"/>
          <w:color w:val="000000"/>
          <w:sz w:val="24"/>
          <w:u w:val="single"/>
        </w:rPr>
        <w:t>Trading Day</w:t>
      </w:r>
      <w:r>
        <w:rPr>
          <w:rFonts w:ascii="Times New Roman" w:hAnsi="Times New Roman"/>
          <w:color w:val="000000"/>
          <w:sz w:val="24"/>
        </w:rPr>
        <w:t xml:space="preserve">” </w:t>
      </w:r>
      <w:r>
        <w:rPr>
          <w:rFonts w:ascii="Times New Roman" w:hAnsi="Times New Roman"/>
          <w:b w:val="false"/>
          <w:color w:val="000000"/>
          <w:sz w:val="24"/>
        </w:rPr>
        <w:t>shall mean any day during which the Principal Market shall be open for business.</w:t>
      </w:r>
    </w:p>
    <w:p>
      <w:pPr>
        <w:pStyle w:val="Heading2"/>
        <w:bidi w:val="0"/>
        <w:spacing w:before="0" w:after="240"/>
        <w:jc w:val="both"/>
        <w:rPr/>
      </w:pPr>
      <w:r>
        <w:rPr>
          <w:color w:val="000000"/>
        </w:rPr>
        <w:t>“</w:t>
      </w:r>
      <w:r>
        <w:rPr>
          <w:rFonts w:ascii="Times New Roman" w:hAnsi="Times New Roman"/>
          <w:b w:val="false"/>
          <w:color w:val="000000"/>
          <w:sz w:val="24"/>
          <w:u w:val="single"/>
        </w:rPr>
        <w:t>Transaction Documents</w:t>
      </w:r>
      <w:r>
        <w:rPr>
          <w:rFonts w:ascii="Times New Roman" w:hAnsi="Times New Roman"/>
          <w:color w:val="000000"/>
          <w:sz w:val="24"/>
        </w:rPr>
        <w:t xml:space="preserve">” </w:t>
      </w:r>
      <w:r>
        <w:rPr>
          <w:rFonts w:ascii="Times New Roman" w:hAnsi="Times New Roman"/>
          <w:b w:val="false"/>
          <w:color w:val="000000"/>
          <w:sz w:val="24"/>
        </w:rPr>
        <w:t>means, collectively, this Agreement and each of the other agreements and instruments entered into or delivered by any of the parties hereto in connection with the transactions contemplated hereby and thereby, as may be amended from time to time.</w:t>
      </w:r>
    </w:p>
    <w:p>
      <w:pPr>
        <w:pStyle w:val="Heading2"/>
        <w:bidi w:val="0"/>
        <w:spacing w:before="0" w:after="240"/>
        <w:jc w:val="both"/>
        <w:rPr/>
      </w:pPr>
      <w:r>
        <w:rPr>
          <w:color w:val="000000"/>
        </w:rPr>
        <w:t>“</w:t>
      </w:r>
      <w:r>
        <w:rPr>
          <w:rFonts w:ascii="Times New Roman" w:hAnsi="Times New Roman"/>
          <w:b w:val="false"/>
          <w:color w:val="000000"/>
          <w:sz w:val="24"/>
          <w:u w:val="single"/>
        </w:rPr>
        <w:t>Variable Rate Transaction</w:t>
      </w:r>
      <w:r>
        <w:rPr>
          <w:rFonts w:ascii="Times New Roman" w:hAnsi="Times New Roman"/>
          <w:color w:val="000000"/>
          <w:sz w:val="24"/>
        </w:rPr>
        <w:t xml:space="preserve">” </w:t>
      </w:r>
      <w:r>
        <w:rPr>
          <w:rFonts w:ascii="Times New Roman" w:hAnsi="Times New Roman"/>
          <w:b w:val="false"/>
          <w:color w:val="000000"/>
          <w:sz w:val="24"/>
        </w:rPr>
        <w:t>shall mean a transaction in which the Company (i) issues or sells any Common Shares or Common Share Equivalents that are convertible into, exchangeable or exercisable for, or include the right to receive additional Common Shares either (A) at a conversion price, exercise price, exchange rate or other price that is based upon and/or varies with the trading prices of or quotations for the Common Shares at any time after the initial issuance of Common Shares or Common Share Equivalents,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Shares (including, without limitation, any “full ratchet,” “share ratchet,” “price ratchet,” or “weighted average” anti-dilution provisions, but not including any standard anti-dilution protection for any reorganization, recapitalization, non-cash dividend, stock split or other similar transaction), (ii) enters into, or effects a transaction under, any agreement, including but not limited to an “equity line of credit” or other continuous offering or similar offering of Common Shares or Common Share Equivalents, or (iii) any forward purchase agreement, equity pre-paid forward transaction or other similar offering of securities where the purchaser of securities of the Company receives an upfront or periodic payment of all, or a portion of, the value of the securities so purchased, and the Company receives proceeds from such purchaser based on a price or value that varies with the trading prices of the Common Shares.</w:t>
      </w:r>
    </w:p>
    <w:p>
      <w:pPr>
        <w:pStyle w:val="TextBody"/>
        <w:bidi w:val="0"/>
        <w:jc w:val="both"/>
        <w:rPr/>
      </w:pPr>
      <w:r>
        <w:rPr>
          <w:color w:val="000000"/>
        </w:rPr>
        <w:t>“</w:t>
      </w:r>
      <w:r>
        <w:rPr>
          <w:rFonts w:ascii="Times New Roman" w:hAnsi="Times New Roman"/>
          <w:color w:val="000000"/>
          <w:sz w:val="24"/>
          <w:u w:val="single"/>
        </w:rPr>
        <w:t>VWAP</w:t>
      </w:r>
      <w:r>
        <w:rPr>
          <w:rFonts w:ascii="Times New Roman" w:hAnsi="Times New Roman"/>
          <w:color w:val="000000"/>
          <w:sz w:val="24"/>
        </w:rPr>
        <w:t xml:space="preserve">” shall mean for any Trading Day or specified period, the volume weighted average price of the Common Shares on the Principal Market, for such period as reported by Bloomberg L.P. through its “AQR” function.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ANNEX II</w:t>
      </w:r>
    </w:p>
    <w:p>
      <w:pPr>
        <w:pStyle w:val="TextBody"/>
        <w:bidi w:val="0"/>
        <w:jc w:val="center"/>
        <w:rPr>
          <w:rFonts w:ascii="Times New Roman" w:hAnsi="Times New Roman"/>
          <w:b/>
          <w:color w:val="000000"/>
          <w:sz w:val="24"/>
        </w:rPr>
      </w:pPr>
      <w:r>
        <w:rPr>
          <w:rFonts w:ascii="Times New Roman" w:hAnsi="Times New Roman"/>
          <w:b/>
          <w:color w:val="000000"/>
          <w:sz w:val="24"/>
        </w:rPr>
        <w:t>TO THE STANDBY EQUITY PURCHASE AGREEMENT</w:t>
      </w:r>
    </w:p>
    <w:p>
      <w:pPr>
        <w:pStyle w:val="TextBody"/>
        <w:bidi w:val="0"/>
        <w:jc w:val="center"/>
        <w:rPr>
          <w:rFonts w:ascii="Times New Roman" w:hAnsi="Times New Roman"/>
          <w:b/>
          <w:color w:val="000000"/>
          <w:sz w:val="24"/>
        </w:rPr>
      </w:pPr>
      <w:r>
        <w:rPr>
          <w:rFonts w:ascii="Times New Roman" w:hAnsi="Times New Roman"/>
          <w:b/>
          <w:color w:val="000000"/>
          <w:sz w:val="24"/>
        </w:rPr>
        <w:t>CONDITIONS PRECEDENT TO THE RIGHT OF THE COMPANY</w:t>
      </w:r>
    </w:p>
    <w:p>
      <w:pPr>
        <w:pStyle w:val="TextBody"/>
        <w:bidi w:val="0"/>
        <w:jc w:val="center"/>
        <w:rPr>
          <w:rFonts w:ascii="Times New Roman" w:hAnsi="Times New Roman"/>
          <w:b/>
          <w:color w:val="000000"/>
          <w:sz w:val="24"/>
        </w:rPr>
      </w:pPr>
      <w:r>
        <w:rPr>
          <w:rFonts w:ascii="Times New Roman" w:hAnsi="Times New Roman"/>
          <w:b/>
          <w:color w:val="000000"/>
          <w:sz w:val="24"/>
        </w:rPr>
        <w:t>TO DELIVER AN ADVANCE NOTICE</w:t>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The right of the Company to deliver an Advance Notice and the obligations of the Investor hereunder with respect to an Advance are subject to the satisfaction or waiver (any such waiver by the Investor shall only be valid and recognized if pursuant to a written agreement signed by the Investor), on each Advance Notice Date (a “</w:t>
      </w:r>
      <w:r>
        <w:rPr>
          <w:rFonts w:ascii="Times New Roman" w:hAnsi="Times New Roman"/>
          <w:b w:val="false"/>
          <w:color w:val="000000"/>
          <w:sz w:val="24"/>
          <w:u w:val="single"/>
        </w:rPr>
        <w:t>Condition Satisfaction Date</w:t>
      </w:r>
      <w:r>
        <w:rPr>
          <w:rFonts w:ascii="Times New Roman" w:hAnsi="Times New Roman"/>
          <w:color w:val="000000"/>
          <w:sz w:val="24"/>
        </w:rPr>
        <w:t>”</w:t>
      </w:r>
      <w:r>
        <w:rPr>
          <w:rFonts w:ascii="Times New Roman" w:hAnsi="Times New Roman"/>
          <w:b w:val="false"/>
          <w:color w:val="000000"/>
          <w:sz w:val="24"/>
        </w:rPr>
        <w:t>), of each of the following conditions: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Accuracy of the Company’s Representations and Warranties</w:t>
      </w:r>
      <w:r>
        <w:rPr>
          <w:rFonts w:ascii="Times New Roman" w:hAnsi="Times New Roman"/>
          <w:color w:val="000000"/>
          <w:sz w:val="24"/>
        </w:rPr>
        <w:t>. The representations and warranties of the Company in this Agreement shall be true and correct in all material respects as of the Advance Notice Date (except to the extent such representations and warranties are as of another date, such representations and warranties shall be true and correct as of such other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Commitment Fee</w:t>
      </w:r>
      <w:r>
        <w:rPr>
          <w:rFonts w:ascii="Times New Roman" w:hAnsi="Times New Roman"/>
          <w:color w:val="000000"/>
          <w:sz w:val="24"/>
        </w:rPr>
        <w:t xml:space="preserve">. The Company shall have paid the portion of the Commitment Fee then due and payable in accordance with Section 11.04.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Registration of the Common Shares with the SEC</w:t>
      </w:r>
      <w:r>
        <w:rPr>
          <w:rFonts w:ascii="Times New Roman" w:hAnsi="Times New Roman"/>
          <w:color w:val="000000"/>
          <w:sz w:val="24"/>
        </w:rPr>
        <w:t>. There is an effective Registration Statement pursuant to which the Investor is permitted to utilize the prospectus thereunder to resell all of the Common Shares issuable pursuant to such Advance Notice. The Current Report shall have been filed with the SEC, and the Company shall have filed with the SEC in a timely manner all reports, notices and other documents required under the Exchange Act and applicable SEC regulations during the twelve-month period immediately preceding the applicable Condition Satisfaction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Authority</w:t>
      </w:r>
      <w:r>
        <w:rPr>
          <w:rFonts w:ascii="Times New Roman" w:hAnsi="Times New Roman"/>
          <w:color w:val="000000"/>
          <w:sz w:val="24"/>
        </w:rPr>
        <w:t>. The Company shall have obtained all permits and qualifications required by any applicable state for the offer and sale of all the Common Shares issuable pursuant to such Advance Notice or shall have the availability of exemptions therefrom. The sale and issuance of such Common Shares shall be legally permitted by all laws and regulations to which the Company is subject.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Material Outside Event</w:t>
      </w:r>
      <w:r>
        <w:rPr>
          <w:rFonts w:ascii="Times New Roman" w:hAnsi="Times New Roman"/>
          <w:color w:val="000000"/>
          <w:sz w:val="24"/>
        </w:rPr>
        <w:t xml:space="preserve">. No Material Outside Event shall have occurred and be continuing.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u w:val="single"/>
        </w:rPr>
        <w:t>Board</w:t>
      </w:r>
      <w:r>
        <w:rPr>
          <w:rFonts w:ascii="Times New Roman" w:hAnsi="Times New Roman"/>
          <w:color w:val="000000"/>
          <w:sz w:val="24"/>
        </w:rPr>
        <w:t>. (I) The board of directors of the Company has approved the transactions contemplated by the Transaction Documents, (II) said approval has not been amended, rescinded or modified and remains in full force and effect as of the date hereof, and (III) a true, correct and complete copy of such resolutions duly adopted by the board of directors of the Company shall have been provided to the Investor.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Performance by the Company</w:t>
      </w:r>
      <w:r>
        <w:rPr>
          <w:rFonts w:ascii="Times New Roman" w:hAnsi="Times New Roman"/>
          <w:color w:val="000000"/>
          <w:sz w:val="24"/>
        </w:rPr>
        <w:t xml:space="preserve">. The Company shall have performed, satisfied and complied in all respects with all covenants, agreements and conditions required by this Agreement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be performed, satisfied or complied with by the Company at or prior the applicable Condition Satisfaction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Injunction</w:t>
      </w:r>
      <w:r>
        <w:rPr>
          <w:rFonts w:ascii="Times New Roman" w:hAnsi="Times New Roman"/>
          <w:color w:val="000000"/>
          <w:sz w:val="24"/>
        </w:rPr>
        <w:t>. No statute, rule, regulation, executive order, decree, ruling or injunction shall have been enacted, entered, promulgated or endorsed by any court or governmental authority of competent jurisdiction that prohibits or materially and adversely affects any of the transactions contemplated by the Transaction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Suspension of Trading in or Removal from Quotation or Delisting of Common Shares</w:t>
      </w:r>
      <w:r>
        <w:rPr>
          <w:rFonts w:ascii="Times New Roman" w:hAnsi="Times New Roman"/>
          <w:color w:val="000000"/>
          <w:sz w:val="24"/>
        </w:rPr>
        <w:t>. (I) Trading in the Common Shares shall not have been suspended by the SEC, the Principal Market or FINRA, (II) the Company shall not have received any notice that the quotation or listing of the Common Shares on the Principal Market shall be terminated (it being understood that a transfer of the quotation or listing of the Common Shares from one Principal Market to another shall not be a failure of this condition), nor shall there have been imposed any suspension of, or restriction on, accepting additional deposits of the Common Shares, electronic trading or book-entry services by DTC with respect to the Common Shares that is continuing, (III) the Company shall not have received any notice from DTC to the effect that a suspension of, or restriction on, accepting additional deposits of the Common Shares, electronic trading or book-entry services by DTC with respect to the Common Shares is being imposed or is contemplated, and (IV) all of the Common Shares issuable pursuant to the applicable Advance Notice shall be eligible for deposit at the brokerage account provided by the Investor for the delivery of such Common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Authorized</w:t>
      </w:r>
      <w:r>
        <w:rPr>
          <w:rFonts w:ascii="Times New Roman" w:hAnsi="Times New Roman"/>
          <w:color w:val="000000"/>
          <w:sz w:val="24"/>
        </w:rPr>
        <w:t>. All of the Common Shares issuable pursuant to the applicable Advance Notice shall have been duly authorized by all necessary corporate action of the Company. All Common Shares relating to all prior Advance Notices required to have been received by the Investor under this Agreement shall have been delivered to the Investor in accordance with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Executed Advance Notice</w:t>
      </w:r>
      <w:r>
        <w:rPr>
          <w:rFonts w:ascii="Times New Roman" w:hAnsi="Times New Roman"/>
          <w:color w:val="000000"/>
          <w:sz w:val="24"/>
        </w:rPr>
        <w:t>. The representations contained in the applicable Advance Notice shall be true and correct in all material respects as of the applicable Condition Satisfaction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Consecutive Advance Notices</w:t>
      </w:r>
      <w:r>
        <w:rPr>
          <w:rFonts w:ascii="Times New Roman" w:hAnsi="Times New Roman"/>
          <w:color w:val="000000"/>
          <w:sz w:val="24"/>
        </w:rPr>
        <w:t>. Except with respect to the first Advance Notice, the Company shall have delivered all Shares relating to all prior Advances.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sz w:val="24"/>
        </w:rPr>
      </w:pPr>
      <w:r>
        <w:rPr>
          <w:rFonts w:ascii="Times New Roman" w:hAnsi="Times New Roman"/>
          <w:color w:val="000000"/>
          <w:sz w:val="24"/>
          <w:u w:val="single"/>
        </w:rPr>
        <w:t>Other Agreements</w:t>
      </w:r>
      <w:r>
        <w:rPr>
          <w:rFonts w:ascii="Times New Roman" w:hAnsi="Times New Roman"/>
          <w:color w:val="000000"/>
          <w:sz w:val="24"/>
        </w:rPr>
        <w:t>. The Company shall not have breached or failed to observe any term of any debenture, note, or other instrument held by the Investor in the Company or any other agreement between or among the Company and the Investor.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rFonts w:ascii="Times New Roman" w:hAnsi="Times New Roman"/>
          <w:sz w:val="24"/>
        </w:rPr>
      </w:pPr>
      <w:r>
        <w:rPr>
          <w:rFonts w:ascii="Times New Roman" w:hAnsi="Times New Roman"/>
          <w:color w:val="000000"/>
          <w:sz w:val="24"/>
          <w:u w:val="single"/>
        </w:rPr>
        <w:t>Material Non-Public Information</w:t>
      </w:r>
      <w:r>
        <w:rPr>
          <w:rFonts w:ascii="Times New Roman" w:hAnsi="Times New Roman"/>
          <w:color w:val="000000"/>
          <w:sz w:val="24"/>
        </w:rPr>
        <w:t xml:space="preserve">. Neither the Company nor the Investor shall be in possession of any material non-public information regarding the Company.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40"/>
        <w:jc w:val="center"/>
        <w:rPr>
          <w:rFonts w:ascii="Times New Roman" w:hAnsi="Times New Roman"/>
          <w:b/>
          <w:color w:val="000000"/>
          <w:sz w:val="24"/>
        </w:rPr>
      </w:pPr>
      <w:r>
        <w:rPr>
          <w:rFonts w:ascii="Times New Roman" w:hAnsi="Times New Roman"/>
          <w:b/>
          <w:color w:val="000000"/>
          <w:sz w:val="24"/>
        </w:rPr>
        <w:t>EXHIBIT A</w:t>
        <w:br/>
        <w:t>ADVANCE NOTICE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BioAtla,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Dated: ______________ Advance Notice Number: ____</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The undersigned, _______________________, hereby certifies, with respect to the sale of </w:t>
      </w:r>
      <w:r>
        <w:rPr>
          <w:rFonts w:ascii="Times New Roman" w:hAnsi="Times New Roman"/>
          <w:color w:val="000000"/>
          <w:sz w:val="24"/>
        </w:rPr>
        <w:t>Common Shares</w:t>
      </w:r>
      <w:r>
        <w:rPr>
          <w:rFonts w:ascii="Times New Roman" w:hAnsi="Times New Roman"/>
          <w:color w:val="000000"/>
          <w:sz w:val="22"/>
        </w:rPr>
        <w:t xml:space="preserve"> of BioAtla, Inc. (the “</w:t>
      </w:r>
      <w:r>
        <w:rPr>
          <w:rFonts w:ascii="Times New Roman" w:hAnsi="Times New Roman"/>
          <w:color w:val="000000"/>
          <w:sz w:val="22"/>
          <w:u w:val="single"/>
        </w:rPr>
        <w:t>Company</w:t>
      </w:r>
      <w:r>
        <w:rPr>
          <w:rFonts w:ascii="Times New Roman" w:hAnsi="Times New Roman"/>
          <w:color w:val="000000"/>
          <w:sz w:val="22"/>
        </w:rPr>
        <w:t>”) issuable in connection with this Advance Notice, delivered pursuant to that certain Standby Equity Purchase Agreement, dated as of [____________], 2026 (the “</w:t>
      </w:r>
      <w:r>
        <w:rPr>
          <w:rFonts w:ascii="Times New Roman" w:hAnsi="Times New Roman"/>
          <w:color w:val="000000"/>
          <w:sz w:val="22"/>
          <w:u w:val="single"/>
        </w:rPr>
        <w:t>Agreement</w:t>
      </w:r>
      <w:r>
        <w:rPr>
          <w:rFonts w:ascii="Times New Roman" w:hAnsi="Times New Roman"/>
          <w:color w:val="000000"/>
          <w:sz w:val="22"/>
        </w:rPr>
        <w:t xml:space="preserve">”), as follows (with capitalized terms used herein without definition having the same meanings as given to them in the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The undersigned is the duly elected ______________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2. There are no fundamental changes to the information set forth in the Registration Statement which would require the Company to file a post-effective amendment to the Registration Statement.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 The Company has performed in all material respects all covenants and agreements to be performed by the Company contained in the Agreement on or prior to the Advance Notice Date. All conditions to the delivery of this Advance Notice are satisfied as of the date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 The number of Advance Shares the Company is requesting is _____________________.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5. The Minimum Acceptable Price with respect to this Advance Notice is ____________ (if left blank then no Minimum Acceptable Price will be applicable to this Advance).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 The number of Common Shares of the Company outstanding as of the date hereof is ___________.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has executed this Advance Notice as of the date first set forth above.</w:t>
      </w:r>
    </w:p>
    <w:p>
      <w:pPr>
        <w:pStyle w:val="TextBody"/>
        <w:bidi w:val="0"/>
        <w:jc w:val="left"/>
        <w:rPr>
          <w:rFonts w:ascii="Times New Roman" w:hAnsi="Times New Roman"/>
          <w:b/>
          <w:color w:val="000000"/>
          <w:sz w:val="22"/>
        </w:rPr>
      </w:pPr>
      <w:r>
        <w:rPr>
          <w:rFonts w:ascii="Times New Roman" w:hAnsi="Times New Roman"/>
          <w:b/>
          <w:color w:val="000000"/>
          <w:sz w:val="22"/>
        </w:rPr>
        <w:t>BioAtla,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4"/>
        </w:rPr>
        <w:t>_______________________________________</w:t>
      </w:r>
      <w:r>
        <w:rPr>
          <w:rFonts w:ascii="Times New Roman" w:hAnsi="Times New Roman"/>
          <w:color w:val="000000"/>
          <w:sz w:val="22"/>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 xml:space="preserve">Name: </w:t>
      </w:r>
    </w:p>
    <w:p>
      <w:pPr>
        <w:pStyle w:val="TextBody"/>
        <w:bidi w:val="0"/>
        <w:jc w:val="left"/>
        <w:rPr>
          <w:rFonts w:ascii="Times New Roman" w:hAnsi="Times New Roman"/>
          <w:color w:val="000000"/>
          <w:sz w:val="22"/>
        </w:rPr>
      </w:pPr>
      <w:r>
        <w:rPr>
          <w:rFonts w:ascii="Times New Roman" w:hAnsi="Times New Roman"/>
          <w:color w:val="000000"/>
          <w:sz w:val="22"/>
        </w:rPr>
        <w:t xml:space="preserve">Title: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Please deliver this Advance Notice by email to: </w:t>
      </w:r>
    </w:p>
    <w:p>
      <w:pPr>
        <w:pStyle w:val="TextBody"/>
        <w:bidi w:val="0"/>
        <w:jc w:val="both"/>
        <w:rPr>
          <w:rFonts w:ascii="Times New Roman" w:hAnsi="Times New Roman"/>
          <w:color w:val="000000"/>
          <w:sz w:val="20"/>
        </w:rPr>
      </w:pPr>
      <w:r>
        <w:rPr>
          <w:rFonts w:ascii="Times New Roman" w:hAnsi="Times New Roman"/>
          <w:color w:val="000000"/>
          <w:sz w:val="20"/>
        </w:rPr>
        <w:t xml:space="preserve">Email: Trading@yorkvilleadvisors.com Attention: Trading Department </w:t>
      </w:r>
    </w:p>
    <w:p>
      <w:pPr>
        <w:pStyle w:val="TextBody"/>
        <w:bidi w:val="0"/>
        <w:jc w:val="left"/>
        <w:rPr>
          <w:rFonts w:ascii="Times New Roman" w:hAnsi="Times New Roman"/>
          <w:color w:val="000000"/>
          <w:sz w:val="20"/>
        </w:rPr>
      </w:pPr>
      <w:r>
        <w:rPr>
          <w:rFonts w:ascii="Times New Roman" w:hAnsi="Times New Roman"/>
          <w:color w:val="000000"/>
          <w:sz w:val="20"/>
        </w:rPr>
        <w:t>Telephone: 201-985-8300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B</w:t>
      </w:r>
    </w:p>
    <w:p>
      <w:pPr>
        <w:pStyle w:val="TextBody"/>
        <w:bidi w:val="0"/>
        <w:jc w:val="center"/>
        <w:rPr>
          <w:rFonts w:ascii="Times New Roman" w:hAnsi="Times New Roman"/>
          <w:b/>
          <w:color w:val="000000"/>
          <w:sz w:val="20"/>
        </w:rPr>
      </w:pPr>
      <w:r>
        <w:rPr>
          <w:rFonts w:ascii="Times New Roman" w:hAnsi="Times New Roman"/>
          <w:b/>
          <w:color w:val="000000"/>
          <w:sz w:val="20"/>
        </w:rPr>
        <w:t>FORM OF SETTLEMENT DOCUMENT</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VIA EMAIL</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BioAtla, Inc.</w:t>
      </w:r>
    </w:p>
    <w:p>
      <w:pPr>
        <w:pStyle w:val="TextBody"/>
        <w:bidi w:val="0"/>
        <w:jc w:val="left"/>
        <w:rPr>
          <w:rFonts w:ascii="Times New Roman" w:hAnsi="Times New Roman"/>
          <w:color w:val="000000"/>
          <w:sz w:val="20"/>
        </w:rPr>
      </w:pPr>
      <w:r>
        <w:rPr>
          <w:rFonts w:ascii="Times New Roman" w:hAnsi="Times New Roman"/>
          <w:color w:val="000000"/>
          <w:sz w:val="20"/>
        </w:rPr>
        <w:t xml:space="preserve">Attn: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Email: </w:t>
      </w:r>
    </w:p>
    <w:tbl>
      <w:tblPr>
        <w:tblW w:w="8938" w:type="dxa"/>
        <w:jc w:val="left"/>
        <w:tblInd w:w="0" w:type="dxa"/>
        <w:tblLayout w:type="fixed"/>
        <w:tblCellMar>
          <w:top w:w="28" w:type="dxa"/>
          <w:left w:w="28" w:type="dxa"/>
          <w:bottom w:w="28" w:type="dxa"/>
          <w:right w:w="28" w:type="dxa"/>
        </w:tblCellMar>
      </w:tblPr>
      <w:tblGrid>
        <w:gridCol w:w="301"/>
        <w:gridCol w:w="8446"/>
        <w:gridCol w:w="191"/>
      </w:tblGrid>
      <w:tr>
        <w:trPr/>
        <w:tc>
          <w:tcPr>
            <w:tcW w:w="301" w:type="dxa"/>
            <w:tcBorders/>
            <w:vAlign w:val="center"/>
          </w:tcPr>
          <w:p>
            <w:pPr>
              <w:pStyle w:val="TableContents"/>
              <w:bidi w:val="0"/>
              <w:spacing w:before="0" w:after="283"/>
              <w:jc w:val="left"/>
              <w:rPr>
                <w:sz w:val="4"/>
                <w:szCs w:val="4"/>
              </w:rPr>
            </w:pPr>
            <w:r>
              <w:rPr>
                <w:sz w:val="4"/>
                <w:szCs w:val="4"/>
              </w:rPr>
            </w:r>
          </w:p>
        </w:tc>
        <w:tc>
          <w:tcPr>
            <w:tcW w:w="84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sz w:val="4"/>
                <w:szCs w:val="4"/>
              </w:rPr>
            </w:pPr>
            <w:r>
              <w:rPr>
                <w:sz w:val="4"/>
                <w:szCs w:val="4"/>
              </w:rPr>
            </w:r>
          </w:p>
        </w:tc>
        <w:tc>
          <w:tcPr>
            <w:tcW w:w="84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Below please find the settlement information with respect to the Advance Notice Date of:</w:t>
            </w:r>
          </w:p>
        </w:tc>
        <w:tc>
          <w:tcPr>
            <w:tcW w:w="19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sz w:val="4"/>
                <w:szCs w:val="4"/>
              </w:rPr>
            </w:pPr>
            <w:r>
              <w:rPr>
                <w:sz w:val="4"/>
                <w:szCs w:val="4"/>
              </w:rPr>
            </w:r>
          </w:p>
        </w:tc>
      </w:tr>
      <w:tr>
        <w:trPr/>
        <w:tc>
          <w:tcPr>
            <w:tcW w:w="3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w:t>
            </w:r>
          </w:p>
        </w:tc>
        <w:tc>
          <w:tcPr>
            <w:tcW w:w="84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Number of Common Shares requested in the Advance Notice</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w:t>
            </w:r>
          </w:p>
        </w:tc>
        <w:tc>
          <w:tcPr>
            <w:tcW w:w="84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Minimum Acceptable Price for this Advance (if any)</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3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w:t>
            </w:r>
          </w:p>
        </w:tc>
        <w:tc>
          <w:tcPr>
            <w:tcW w:w="84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Number of Excluded Days (if any)</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3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w:t>
            </w:r>
          </w:p>
        </w:tc>
        <w:tc>
          <w:tcPr>
            <w:tcW w:w="84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Adjusted Advance Amount (if applicable)</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w:t>
            </w:r>
          </w:p>
        </w:tc>
        <w:tc>
          <w:tcPr>
            <w:tcW w:w="84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Market Price</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w:t>
            </w:r>
          </w:p>
        </w:tc>
        <w:tc>
          <w:tcPr>
            <w:tcW w:w="84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Purchase Price (Market Price x 97%) per share</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3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w:t>
            </w:r>
          </w:p>
        </w:tc>
        <w:tc>
          <w:tcPr>
            <w:tcW w:w="84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Number of Advance Shares due to the Investor</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3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w:t>
            </w:r>
          </w:p>
        </w:tc>
        <w:tc>
          <w:tcPr>
            <w:tcW w:w="84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Purchase Price due to Company (row 6 x row 7)</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rFonts w:ascii="Times New Roman" w:hAnsi="Times New Roman"/>
          <w:b/>
          <w:i/>
          <w:color w:val="000000"/>
          <w:sz w:val="24"/>
          <w:u w:val="single"/>
        </w:rPr>
      </w:pPr>
      <w:r>
        <w:rPr>
          <w:rFonts w:ascii="Times New Roman" w:hAnsi="Times New Roman"/>
          <w:b/>
          <w:i/>
          <w:color w:val="000000"/>
          <w:sz w:val="24"/>
          <w:u w:val="single"/>
        </w:rPr>
        <w:t>If there were any Excluded Days then add the following</w:t>
      </w:r>
    </w:p>
    <w:tbl>
      <w:tblPr>
        <w:tblW w:w="10205" w:type="dxa"/>
        <w:jc w:val="left"/>
        <w:tblInd w:w="0" w:type="dxa"/>
        <w:tblLayout w:type="fixed"/>
        <w:tblCellMar>
          <w:top w:w="28" w:type="dxa"/>
          <w:left w:w="28" w:type="dxa"/>
          <w:bottom w:w="28" w:type="dxa"/>
          <w:right w:w="28" w:type="dxa"/>
        </w:tblCellMar>
      </w:tblPr>
      <w:tblGrid>
        <w:gridCol w:w="407"/>
        <w:gridCol w:w="9606"/>
        <w:gridCol w:w="192"/>
      </w:tblGrid>
      <w:tr>
        <w:trPr/>
        <w:tc>
          <w:tcPr>
            <w:tcW w:w="407" w:type="dxa"/>
            <w:tcBorders/>
            <w:vAlign w:val="center"/>
          </w:tcPr>
          <w:p>
            <w:pPr>
              <w:pStyle w:val="TableContents"/>
              <w:bidi w:val="0"/>
              <w:spacing w:before="0" w:after="283"/>
              <w:jc w:val="left"/>
              <w:rPr>
                <w:sz w:val="4"/>
                <w:szCs w:val="4"/>
              </w:rPr>
            </w:pPr>
            <w:r>
              <w:rPr>
                <w:sz w:val="4"/>
                <w:szCs w:val="4"/>
              </w:rPr>
            </w:r>
          </w:p>
        </w:tc>
        <w:tc>
          <w:tcPr>
            <w:tcW w:w="960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0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w:t>
            </w:r>
          </w:p>
        </w:tc>
        <w:tc>
          <w:tcPr>
            <w:tcW w:w="96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Number of Additional Shares to be issued to the Investor</w:t>
            </w:r>
          </w:p>
        </w:tc>
        <w:tc>
          <w:tcPr>
            <w:tcW w:w="19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sz w:val="4"/>
                <w:szCs w:val="4"/>
              </w:rPr>
            </w:pPr>
            <w:r>
              <w:rPr>
                <w:sz w:val="4"/>
                <w:szCs w:val="4"/>
              </w:rPr>
            </w:r>
          </w:p>
        </w:tc>
      </w:tr>
      <w:tr>
        <w:trPr/>
        <w:tc>
          <w:tcPr>
            <w:tcW w:w="40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w:t>
            </w:r>
          </w:p>
        </w:tc>
        <w:tc>
          <w:tcPr>
            <w:tcW w:w="9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Additional amount to be paid to the Company by the Investor (Additional Shares in row 9 x Minimum Acceptable Price x 97%)</w:t>
            </w:r>
          </w:p>
        </w:tc>
        <w:tc>
          <w:tcPr>
            <w:tcW w:w="1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0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w:t>
            </w:r>
          </w:p>
        </w:tc>
        <w:tc>
          <w:tcPr>
            <w:tcW w:w="9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Amount to be paid to the Company (Purchase Price in row 8 + additional amount in row 10)</w:t>
            </w:r>
          </w:p>
        </w:tc>
        <w:tc>
          <w:tcPr>
            <w:tcW w:w="1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0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w:t>
            </w:r>
          </w:p>
        </w:tc>
        <w:tc>
          <w:tcPr>
            <w:tcW w:w="9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 Advance Shares to be issued to the Investor (Advance Shares due to the Investor in row 7 + Additional Shares in row 9)</w:t>
            </w:r>
          </w:p>
        </w:tc>
        <w:tc>
          <w:tcPr>
            <w:tcW w:w="1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spacing w:before="0" w:after="240"/>
        <w:jc w:val="left"/>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Please issue the number of Advance Shares due to the Investor to the account of the Investor as follows:</w:t>
      </w:r>
    </w:p>
    <w:p>
      <w:pPr>
        <w:pStyle w:val="TextBody"/>
        <w:bidi w:val="0"/>
        <w:spacing w:before="0" w:after="240"/>
        <w:jc w:val="left"/>
        <w:rPr>
          <w:rFonts w:ascii="Times New Roman" w:hAnsi="Times New Roman"/>
          <w:sz w:val="20"/>
        </w:rPr>
      </w:pPr>
      <w:r>
        <w:rPr>
          <w:rFonts w:ascii="Times New Roman" w:hAnsi="Times New Roman"/>
          <w:b/>
          <w:caps/>
          <w:color w:val="000000"/>
          <w:sz w:val="20"/>
        </w:rPr>
        <w:t>Investor’s DTC participant #</w:t>
      </w:r>
      <w:r>
        <w:rPr>
          <w:rFonts w:ascii="Times New Roman" w:hAnsi="Times New Roman"/>
          <w:b/>
          <w:color w:val="000000"/>
          <w:sz w:val="20"/>
        </w:rPr>
        <w: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ACCOUNT NAME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ACCOUNT NUMBER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ADDRESS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CITY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COUNTRY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aps/>
          <w:color w:val="000000"/>
          <w:sz w:val="20"/>
        </w:rPr>
        <w:t>Contact person</w:t>
      </w:r>
      <w:r>
        <w:rPr>
          <w:rFonts w:ascii="Times New Roman" w:hAnsi="Times New Roman"/>
          <w:caps/>
          <w:color w:val="000000"/>
          <w:sz w:val="20"/>
        </w:rPr>
        <w:t>:</w:t>
      </w:r>
    </w:p>
    <w:p>
      <w:pPr>
        <w:pStyle w:val="TextBody"/>
        <w:bidi w:val="0"/>
        <w:jc w:val="left"/>
        <w:rPr>
          <w:rFonts w:ascii="Times New Roman" w:hAnsi="Times New Roman"/>
          <w:sz w:val="20"/>
        </w:rPr>
      </w:pPr>
      <w:r>
        <w:rPr>
          <w:rFonts w:ascii="Times New Roman" w:hAnsi="Times New Roman"/>
          <w:b/>
          <w:caps/>
          <w:color w:val="000000"/>
          <w:sz w:val="20"/>
        </w:rPr>
        <w:t>Number and/or email</w:t>
      </w:r>
      <w:r>
        <w:rPr>
          <w:rFonts w:ascii="Times New Roman" w:hAnsi="Times New Roman"/>
          <w:caps/>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0"/>
        </w:rPr>
        <w:t>Sincerely,</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YA II PN, LTD.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Agreed and approved by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BioAtla,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__________________________________</w:t>
      </w:r>
    </w:p>
    <w:p>
      <w:pPr>
        <w:pStyle w:val="TextBody"/>
        <w:bidi w:val="0"/>
        <w:jc w:val="left"/>
        <w:rPr>
          <w:rFonts w:ascii="Times New Roman" w:hAnsi="Times New Roman"/>
          <w:sz w:val="20"/>
        </w:rPr>
      </w:pPr>
      <w:r>
        <w:rPr>
          <w:rFonts w:ascii="Times New Roman" w:hAnsi="Times New Roman"/>
          <w:b/>
          <w:color w:val="000000"/>
          <w:sz w:val="20"/>
        </w:rPr>
        <w:t>Name:</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Title: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4"/>
        </w:rPr>
      </w:pPr>
      <w:r>
        <w:rPr>
          <w:rFonts w:ascii="Times New Roman" w:hAnsi="Times New Roman"/>
          <w:b/>
          <w:color w:val="000000"/>
          <w:sz w:val="24"/>
        </w:rPr>
        <w:t>EXHIBIT C</w:t>
        <w:br/>
        <w:t>FORM OF COMMITMENT FEE WARRANTS</w:t>
      </w:r>
    </w:p>
    <w:p>
      <w:pPr>
        <w:pStyle w:val="TextBody"/>
        <w:bidi w:val="0"/>
        <w:jc w:val="center"/>
        <w:rPr>
          <w:rFonts w:ascii="Times New Roman" w:hAnsi="Times New Roman"/>
          <w:i/>
          <w:color w:val="000000"/>
          <w:sz w:val="24"/>
        </w:rPr>
      </w:pPr>
      <w:r>
        <w:rPr>
          <w:rFonts w:ascii="Times New Roman" w:hAnsi="Times New Roman"/>
          <w:i/>
          <w:color w:val="000000"/>
          <w:sz w:val="24"/>
        </w:rPr>
        <w:t>See attached.</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30824</Words>
  <Characters>161959</Characters>
  <CharactersWithSpaces>192495</CharactersWithSpaces>
  <Paragraphs>1105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