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Vasquez Christian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BIOATLA, INC. 11085 TORREYANA ROAD</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SAN DIEGO</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92121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BioAtla, Inc.</w:t>
              </w:r>
            </w:hyperlink>
            <w:r>
              <w:rPr/>
              <w:t xml:space="preserve"> [ </w:t>
            </w:r>
            <w:r>
              <w:rPr>
                <w:rFonts w:ascii="Times;serif" w:hAnsi="Times;serif"/>
                <w:color w:val="0000FF"/>
                <w:sz w:val="24"/>
                <w:shd w:fill="FFFFFF" w:val="clear"/>
              </w:rPr>
              <w:t>BCAB</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Financial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08/31/2026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7"/>
        <w:gridCol w:w="775"/>
        <w:gridCol w:w="602"/>
        <w:gridCol w:w="353"/>
        <w:gridCol w:w="819"/>
        <w:gridCol w:w="465"/>
        <w:gridCol w:w="679"/>
        <w:gridCol w:w="1183"/>
        <w:gridCol w:w="1012"/>
        <w:gridCol w:w="932"/>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5"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63"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8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1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1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7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8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1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78"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08/31/2026</w:t>
            </w:r>
          </w:p>
        </w:tc>
        <w:tc>
          <w:tcPr>
            <w:tcW w:w="77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F</w:t>
            </w:r>
            <w:r>
              <w:rPr>
                <w:rFonts w:ascii="Times;serif" w:hAnsi="Times;serif"/>
                <w:color w:val="008000"/>
                <w:position w:val="7"/>
                <w:sz w:val="16"/>
                <w:sz w:val="20"/>
                <w:shd w:fill="FFFFFF" w:val="clear"/>
              </w:rPr>
              <w:t>(1)</w:t>
            </w:r>
          </w:p>
        </w:tc>
        <w:tc>
          <w:tcPr>
            <w:tcW w:w="35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71</w:t>
            </w:r>
          </w:p>
        </w:tc>
        <w:tc>
          <w:tcPr>
            <w:tcW w:w="46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67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1.69</w:t>
            </w:r>
          </w:p>
        </w:tc>
        <w:tc>
          <w:tcPr>
            <w:tcW w:w="118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10,476</w:t>
            </w:r>
            <w:r>
              <w:rPr>
                <w:rFonts w:ascii="Times;serif" w:hAnsi="Times;serif"/>
                <w:color w:val="008000"/>
                <w:position w:val="7"/>
                <w:sz w:val="16"/>
                <w:sz w:val="20"/>
                <w:shd w:fill="FFFFFF" w:val="clear"/>
              </w:rPr>
              <w:t>(2)</w:t>
            </w:r>
          </w:p>
        </w:tc>
        <w:tc>
          <w:tcPr>
            <w:tcW w:w="101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This transaction is not a sale of shares by the Reporting Person. Instead, this represents shares that have been withheld by the Issuer to satisfy its income tax and withholding and remittance obligations in connection with the vesting and net settlement of previously reported restricted stock units.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Includes shares purchased under the Issuer's ESPP.</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Christian Vasquez</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09/02/2026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835732" TargetMode="External"/><Relationship Id="rId5" Type="http://schemas.openxmlformats.org/officeDocument/2006/relationships/hyperlink" Target="http://www.sec.gov/cgi-bin/browse-edgar?action=getcompany&amp;CIK=0001826892"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618</Words>
  <Characters>3370</Characters>
  <CharactersWithSpaces>3920</CharactersWithSpaces>
  <Paragraphs>96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